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197485</wp:posOffset>
            </wp:positionH>
            <wp:positionV relativeFrom="page">
              <wp:posOffset>518795</wp:posOffset>
            </wp:positionV>
            <wp:extent cx="71539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6350"/>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544195</wp:posOffset>
            </wp:positionV>
            <wp:extent cx="71539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35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59690</wp:posOffset>
            </wp:positionV>
            <wp:extent cx="59988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98845" cy="635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165" w:lineRule="exact"/>
        <w:rPr>
          <w:sz w:val="24"/>
          <w:szCs w:val="24"/>
          <w:color w:val="auto"/>
        </w:rPr>
      </w:pPr>
    </w:p>
    <w:p>
      <w:pPr>
        <w:ind w:left="360" w:hanging="150"/>
        <w:spacing w:after="0"/>
        <w:tabs>
          <w:tab w:leader="none" w:pos="3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30, 2023</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230" w:lineRule="exact"/>
        <w:rPr>
          <w:sz w:val="24"/>
          <w:szCs w:val="24"/>
          <w:color w:val="auto"/>
        </w:rPr>
      </w:pPr>
    </w:p>
    <w:p>
      <w:pPr>
        <w:ind w:left="360" w:hanging="150"/>
        <w:spacing w:after="0"/>
        <w:tabs>
          <w:tab w:leader="none" w:pos="3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Commission File Number 001-06714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GRAHAM HOLDINGS COMPANY</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jc w:val="center"/>
              <w:ind w:left="919"/>
              <w:spacing w:after="0"/>
              <w:rPr>
                <w:sz w:val="20"/>
                <w:szCs w:val="20"/>
                <w:color w:val="auto"/>
              </w:rPr>
            </w:pPr>
            <w:r>
              <w:rPr>
                <w:rFonts w:ascii="Arial" w:cs="Arial" w:eastAsia="Arial" w:hAnsi="Arial"/>
                <w:sz w:val="13"/>
                <w:szCs w:val="13"/>
                <w:b w:val="1"/>
                <w:bCs w:val="1"/>
                <w:color w:val="auto"/>
              </w:rPr>
              <w:t>Delaware</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320" w:type="dxa"/>
            <w:vAlign w:val="bottom"/>
            <w:gridSpan w:val="2"/>
          </w:tcPr>
          <w:p>
            <w:pPr>
              <w:jc w:val="right"/>
              <w:ind w:right="1823"/>
              <w:spacing w:after="0"/>
              <w:rPr>
                <w:sz w:val="20"/>
                <w:szCs w:val="20"/>
                <w:color w:val="auto"/>
              </w:rPr>
            </w:pPr>
            <w:r>
              <w:rPr>
                <w:rFonts w:ascii="Arial" w:cs="Arial" w:eastAsia="Arial" w:hAnsi="Arial"/>
                <w:sz w:val="13"/>
                <w:szCs w:val="13"/>
                <w:b w:val="1"/>
                <w:bCs w:val="1"/>
                <w:color w:val="auto"/>
              </w:rPr>
              <w:t>53-0182885</w:t>
            </w:r>
          </w:p>
        </w:tc>
      </w:tr>
      <w:tr>
        <w:trPr>
          <w:trHeight w:val="127"/>
        </w:trPr>
        <w:tc>
          <w:tcPr>
            <w:tcW w:w="4140" w:type="dxa"/>
            <w:vAlign w:val="bottom"/>
          </w:tcPr>
          <w:p>
            <w:pPr>
              <w:jc w:val="center"/>
              <w:ind w:left="939"/>
              <w:spacing w:after="0"/>
              <w:rPr>
                <w:sz w:val="20"/>
                <w:szCs w:val="20"/>
                <w:color w:val="auto"/>
              </w:rPr>
            </w:pPr>
            <w:r>
              <w:rPr>
                <w:rFonts w:ascii="Arial" w:cs="Arial" w:eastAsia="Arial" w:hAnsi="Arial"/>
                <w:sz w:val="11"/>
                <w:szCs w:val="11"/>
                <w:color w:val="auto"/>
                <w:w w:val="97"/>
              </w:rPr>
              <w:t>(State or other jurisdiction of</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jc w:val="center"/>
              <w:ind w:right="303"/>
              <w:spacing w:after="0"/>
              <w:rPr>
                <w:sz w:val="20"/>
                <w:szCs w:val="20"/>
                <w:color w:val="auto"/>
              </w:rPr>
            </w:pPr>
            <w:r>
              <w:rPr>
                <w:rFonts w:ascii="Arial" w:cs="Arial" w:eastAsia="Arial" w:hAnsi="Arial"/>
                <w:sz w:val="11"/>
                <w:szCs w:val="11"/>
                <w:color w:val="auto"/>
                <w:w w:val="96"/>
              </w:rPr>
              <w:t>(I.R.S. Employer</w:t>
            </w:r>
          </w:p>
        </w:tc>
      </w:tr>
      <w:tr>
        <w:trPr>
          <w:trHeight w:val="137"/>
        </w:trPr>
        <w:tc>
          <w:tcPr>
            <w:tcW w:w="4140" w:type="dxa"/>
            <w:vAlign w:val="bottom"/>
          </w:tcPr>
          <w:p>
            <w:pPr>
              <w:jc w:val="center"/>
              <w:ind w:left="919"/>
              <w:spacing w:after="0"/>
              <w:rPr>
                <w:sz w:val="20"/>
                <w:szCs w:val="20"/>
                <w:color w:val="auto"/>
              </w:rPr>
            </w:pPr>
            <w:r>
              <w:rPr>
                <w:rFonts w:ascii="Arial" w:cs="Arial" w:eastAsia="Arial" w:hAnsi="Arial"/>
                <w:sz w:val="11"/>
                <w:szCs w:val="11"/>
                <w:color w:val="auto"/>
                <w:w w:val="97"/>
              </w:rPr>
              <w:t>incorporation or organization)</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jc w:val="center"/>
              <w:ind w:right="303"/>
              <w:spacing w:after="0"/>
              <w:rPr>
                <w:sz w:val="20"/>
                <w:szCs w:val="20"/>
                <w:color w:val="auto"/>
              </w:rPr>
            </w:pPr>
            <w:r>
              <w:rPr>
                <w:rFonts w:ascii="Arial" w:cs="Arial" w:eastAsia="Arial" w:hAnsi="Arial"/>
                <w:sz w:val="11"/>
                <w:szCs w:val="11"/>
                <w:color w:val="auto"/>
                <w:w w:val="95"/>
              </w:rPr>
              <w:t>Identification No.)</w:t>
            </w:r>
          </w:p>
        </w:tc>
      </w:tr>
      <w:tr>
        <w:trPr>
          <w:trHeight w:val="240"/>
        </w:trPr>
        <w:tc>
          <w:tcPr>
            <w:tcW w:w="4140" w:type="dxa"/>
            <w:vAlign w:val="bottom"/>
          </w:tcPr>
          <w:p>
            <w:pPr>
              <w:jc w:val="center"/>
              <w:ind w:left="939"/>
              <w:spacing w:after="0"/>
              <w:rPr>
                <w:sz w:val="20"/>
                <w:szCs w:val="20"/>
                <w:color w:val="auto"/>
              </w:rPr>
            </w:pPr>
            <w:r>
              <w:rPr>
                <w:rFonts w:ascii="Arial" w:cs="Arial" w:eastAsia="Arial" w:hAnsi="Arial"/>
                <w:sz w:val="13"/>
                <w:szCs w:val="13"/>
                <w:b w:val="1"/>
                <w:bCs w:val="1"/>
                <w:color w:val="auto"/>
              </w:rPr>
              <w:t>1300 North 17th Street, Arlington, Virginia</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320" w:type="dxa"/>
            <w:vAlign w:val="bottom"/>
            <w:gridSpan w:val="2"/>
          </w:tcPr>
          <w:p>
            <w:pPr>
              <w:jc w:val="right"/>
              <w:ind w:right="1983"/>
              <w:spacing w:after="0"/>
              <w:rPr>
                <w:sz w:val="20"/>
                <w:szCs w:val="20"/>
                <w:color w:val="auto"/>
              </w:rPr>
            </w:pPr>
            <w:r>
              <w:rPr>
                <w:rFonts w:ascii="Arial" w:cs="Arial" w:eastAsia="Arial" w:hAnsi="Arial"/>
                <w:sz w:val="13"/>
                <w:szCs w:val="13"/>
                <w:b w:val="1"/>
                <w:bCs w:val="1"/>
                <w:color w:val="auto"/>
              </w:rPr>
              <w:t>22209</w:t>
            </w:r>
          </w:p>
        </w:tc>
      </w:tr>
      <w:tr>
        <w:trPr>
          <w:trHeight w:val="154"/>
        </w:trPr>
        <w:tc>
          <w:tcPr>
            <w:tcW w:w="4140" w:type="dxa"/>
            <w:vAlign w:val="bottom"/>
          </w:tcPr>
          <w:p>
            <w:pPr>
              <w:jc w:val="center"/>
              <w:ind w:left="919"/>
              <w:spacing w:after="0"/>
              <w:rPr>
                <w:sz w:val="20"/>
                <w:szCs w:val="20"/>
                <w:color w:val="auto"/>
              </w:rPr>
            </w:pPr>
            <w:r>
              <w:rPr>
                <w:rFonts w:ascii="Arial" w:cs="Arial" w:eastAsia="Arial" w:hAnsi="Arial"/>
                <w:sz w:val="11"/>
                <w:szCs w:val="11"/>
                <w:color w:val="auto"/>
                <w:w w:val="97"/>
              </w:rPr>
              <w:t>(Address of principal executive offices)</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00" w:type="dxa"/>
            <w:vAlign w:val="bottom"/>
          </w:tcPr>
          <w:p>
            <w:pPr>
              <w:jc w:val="center"/>
              <w:ind w:right="303"/>
              <w:spacing w:after="0"/>
              <w:rPr>
                <w:sz w:val="20"/>
                <w:szCs w:val="20"/>
                <w:color w:val="auto"/>
              </w:rPr>
            </w:pPr>
            <w:r>
              <w:rPr>
                <w:rFonts w:ascii="Arial" w:cs="Arial" w:eastAsia="Arial" w:hAnsi="Arial"/>
                <w:sz w:val="11"/>
                <w:szCs w:val="11"/>
                <w:color w:val="auto"/>
                <w:w w:val="96"/>
              </w:rPr>
              <w:t>(Zip Code)</w:t>
            </w:r>
          </w:p>
        </w:tc>
      </w:tr>
      <w:tr>
        <w:trPr>
          <w:trHeight w:val="341"/>
        </w:trPr>
        <w:tc>
          <w:tcPr>
            <w:tcW w:w="4140" w:type="dxa"/>
            <w:vAlign w:val="bottom"/>
          </w:tcPr>
          <w:p>
            <w:pPr>
              <w:spacing w:after="0"/>
              <w:rPr>
                <w:sz w:val="24"/>
                <w:szCs w:val="24"/>
                <w:color w:val="auto"/>
              </w:rPr>
            </w:pPr>
          </w:p>
        </w:tc>
        <w:tc>
          <w:tcPr>
            <w:tcW w:w="2800" w:type="dxa"/>
            <w:vAlign w:val="bottom"/>
            <w:gridSpan w:val="3"/>
          </w:tcPr>
          <w:p>
            <w:pPr>
              <w:jc w:val="right"/>
              <w:ind w:right="779"/>
              <w:spacing w:after="0"/>
              <w:rPr>
                <w:sz w:val="20"/>
                <w:szCs w:val="20"/>
                <w:color w:val="auto"/>
              </w:rPr>
            </w:pPr>
            <w:r>
              <w:rPr>
                <w:rFonts w:ascii="Arial" w:cs="Arial" w:eastAsia="Arial" w:hAnsi="Arial"/>
                <w:sz w:val="13"/>
                <w:szCs w:val="13"/>
                <w:b w:val="1"/>
                <w:bCs w:val="1"/>
                <w:color w:val="auto"/>
              </w:rPr>
              <w:t>(703) 345-6300</w:t>
            </w: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64"/>
        </w:trPr>
        <w:tc>
          <w:tcPr>
            <w:tcW w:w="414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1"/>
                <w:szCs w:val="11"/>
                <w:color w:val="auto"/>
              </w:rPr>
              <w:t>(Registrant’s telephone number, including area code)</w:t>
            </w: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271"/>
        </w:trPr>
        <w:tc>
          <w:tcPr>
            <w:tcW w:w="414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38"/>
        </w:trPr>
        <w:tc>
          <w:tcPr>
            <w:tcW w:w="4140" w:type="dxa"/>
            <w:vAlign w:val="bottom"/>
          </w:tcPr>
          <w:p>
            <w:pPr>
              <w:jc w:val="center"/>
              <w:ind w:left="519"/>
              <w:spacing w:after="0"/>
              <w:rPr>
                <w:sz w:val="20"/>
                <w:szCs w:val="20"/>
                <w:color w:val="auto"/>
              </w:rPr>
            </w:pPr>
            <w:r>
              <w:rPr>
                <w:rFonts w:ascii="Arial" w:cs="Arial" w:eastAsia="Arial" w:hAnsi="Arial"/>
                <w:sz w:val="12"/>
                <w:szCs w:val="12"/>
                <w:color w:val="auto"/>
                <w:w w:val="99"/>
              </w:rPr>
              <w:t>Title of each class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ind w:right="439"/>
              <w:spacing w:after="0"/>
              <w:rPr>
                <w:sz w:val="20"/>
                <w:szCs w:val="20"/>
                <w:color w:val="auto"/>
              </w:rPr>
            </w:pPr>
            <w:r>
              <w:rPr>
                <w:rFonts w:ascii="Arial" w:cs="Arial" w:eastAsia="Arial" w:hAnsi="Arial"/>
                <w:sz w:val="12"/>
                <w:szCs w:val="12"/>
                <w:color w:val="auto"/>
              </w:rPr>
              <w:t>Trading Symbol(s)</w:t>
            </w:r>
          </w:p>
        </w:tc>
        <w:tc>
          <w:tcPr>
            <w:tcW w:w="2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2"/>
                <w:szCs w:val="12"/>
                <w:color w:val="auto"/>
              </w:rPr>
              <w:t>Name of each exchange on which registered</w:t>
            </w:r>
          </w:p>
        </w:tc>
      </w:tr>
      <w:tr>
        <w:trPr>
          <w:trHeight w:val="25"/>
        </w:trPr>
        <w:tc>
          <w:tcPr>
            <w:tcW w:w="4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147"/>
        </w:trPr>
        <w:tc>
          <w:tcPr>
            <w:tcW w:w="4140" w:type="dxa"/>
            <w:vAlign w:val="bottom"/>
          </w:tcPr>
          <w:p>
            <w:pPr>
              <w:jc w:val="center"/>
              <w:ind w:left="539"/>
              <w:spacing w:after="0"/>
              <w:rPr>
                <w:sz w:val="20"/>
                <w:szCs w:val="20"/>
                <w:color w:val="auto"/>
              </w:rPr>
            </w:pPr>
            <w:r>
              <w:rPr>
                <w:rFonts w:ascii="Arial" w:cs="Arial" w:eastAsia="Arial" w:hAnsi="Arial"/>
                <w:sz w:val="12"/>
                <w:szCs w:val="12"/>
                <w:color w:val="auto"/>
              </w:rPr>
              <w:t>Class B Common Stock, par value $1.00 per share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tcPr>
          <w:p>
            <w:pPr>
              <w:jc w:val="right"/>
              <w:ind w:right="779"/>
              <w:spacing w:after="0"/>
              <w:rPr>
                <w:sz w:val="20"/>
                <w:szCs w:val="20"/>
                <w:color w:val="auto"/>
              </w:rPr>
            </w:pPr>
            <w:r>
              <w:rPr>
                <w:rFonts w:ascii="Arial" w:cs="Arial" w:eastAsia="Arial" w:hAnsi="Arial"/>
                <w:sz w:val="12"/>
                <w:szCs w:val="12"/>
                <w:color w:val="auto"/>
              </w:rPr>
              <w:t>GHC</w:t>
            </w:r>
          </w:p>
        </w:tc>
        <w:tc>
          <w:tcPr>
            <w:tcW w:w="220" w:type="dxa"/>
            <w:vAlign w:val="bottom"/>
          </w:tcPr>
          <w:p>
            <w:pPr>
              <w:spacing w:after="0"/>
              <w:rPr>
                <w:sz w:val="12"/>
                <w:szCs w:val="12"/>
                <w:color w:val="auto"/>
              </w:rPr>
            </w:pPr>
          </w:p>
        </w:tc>
        <w:tc>
          <w:tcPr>
            <w:tcW w:w="4100" w:type="dxa"/>
            <w:vAlign w:val="bottom"/>
          </w:tcPr>
          <w:p>
            <w:pPr>
              <w:jc w:val="center"/>
              <w:spacing w:after="0"/>
              <w:rPr>
                <w:sz w:val="20"/>
                <w:szCs w:val="20"/>
                <w:color w:val="auto"/>
              </w:rPr>
            </w:pPr>
            <w:r>
              <w:rPr>
                <w:rFonts w:ascii="Arial" w:cs="Arial" w:eastAsia="Arial" w:hAnsi="Arial"/>
                <w:sz w:val="12"/>
                <w:szCs w:val="12"/>
                <w:color w:val="auto"/>
                <w:w w:val="99"/>
              </w:rPr>
              <w:t>New York Stock Exchange</w:t>
            </w:r>
          </w:p>
        </w:tc>
      </w:tr>
    </w:tbl>
    <w:p>
      <w:pPr>
        <w:spacing w:after="0" w:line="155" w:lineRule="exact"/>
        <w:rPr>
          <w:sz w:val="24"/>
          <w:szCs w:val="24"/>
          <w:color w:val="auto"/>
        </w:rPr>
      </w:pPr>
    </w:p>
    <w:p>
      <w:pPr>
        <w:jc w:val="both"/>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ind w:right="360"/>
        <w:spacing w:after="0" w:line="17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ind w:right="100"/>
        <w:spacing w:after="0" w:line="26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300" w:type="dxa"/>
        <w:tblCellMar>
          <w:top w:w="0" w:type="dxa"/>
          <w:left w:w="0" w:type="dxa"/>
          <w:bottom w:w="0" w:type="dxa"/>
          <w:right w:w="0" w:type="dxa"/>
        </w:tblCellMar>
      </w:tblPr>
      <w:tr>
        <w:trPr>
          <w:trHeight w:val="141"/>
        </w:trPr>
        <w:tc>
          <w:tcPr>
            <w:tcW w:w="1460" w:type="dxa"/>
            <w:vAlign w:val="bottom"/>
          </w:tcPr>
          <w:p>
            <w:pPr>
              <w:spacing w:after="0"/>
              <w:rPr>
                <w:sz w:val="12"/>
                <w:szCs w:val="12"/>
                <w:color w:val="auto"/>
              </w:rPr>
            </w:pPr>
          </w:p>
        </w:tc>
        <w:tc>
          <w:tcPr>
            <w:tcW w:w="72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380" w:type="dxa"/>
            <w:vAlign w:val="bottom"/>
          </w:tcPr>
          <w:p>
            <w:pPr>
              <w:jc w:val="center"/>
              <w:spacing w:after="0"/>
              <w:rPr>
                <w:sz w:val="20"/>
                <w:szCs w:val="20"/>
                <w:color w:val="auto"/>
              </w:rPr>
            </w:pPr>
            <w:r>
              <w:rPr>
                <w:rFonts w:ascii="Arial" w:cs="Arial" w:eastAsia="Arial" w:hAnsi="Arial"/>
                <w:sz w:val="12"/>
                <w:szCs w:val="12"/>
                <w:color w:val="auto"/>
              </w:rPr>
              <w:t>Accelerated</w:t>
            </w:r>
          </w:p>
        </w:tc>
        <w:tc>
          <w:tcPr>
            <w:tcW w:w="800" w:type="dxa"/>
            <w:vAlign w:val="bottom"/>
            <w:vMerge w:val="restart"/>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1500" w:type="dxa"/>
            <w:vAlign w:val="bottom"/>
          </w:tcPr>
          <w:p>
            <w:pPr>
              <w:jc w:val="center"/>
              <w:spacing w:after="0"/>
              <w:rPr>
                <w:sz w:val="20"/>
                <w:szCs w:val="20"/>
                <w:color w:val="auto"/>
              </w:rPr>
            </w:pPr>
            <w:r>
              <w:rPr>
                <w:rFonts w:ascii="Arial" w:cs="Arial" w:eastAsia="Arial" w:hAnsi="Arial"/>
                <w:sz w:val="12"/>
                <w:szCs w:val="12"/>
                <w:color w:val="auto"/>
              </w:rPr>
              <w:t>Non-accelerated</w:t>
            </w:r>
          </w:p>
        </w:tc>
        <w:tc>
          <w:tcPr>
            <w:tcW w:w="72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1540" w:type="dxa"/>
            <w:vAlign w:val="bottom"/>
          </w:tcPr>
          <w:p>
            <w:pPr>
              <w:jc w:val="center"/>
              <w:spacing w:after="0"/>
              <w:rPr>
                <w:sz w:val="20"/>
                <w:szCs w:val="20"/>
                <w:color w:val="auto"/>
              </w:rPr>
            </w:pPr>
            <w:r>
              <w:rPr>
                <w:rFonts w:ascii="Arial" w:cs="Arial" w:eastAsia="Arial" w:hAnsi="Arial"/>
                <w:sz w:val="12"/>
                <w:szCs w:val="12"/>
                <w:color w:val="auto"/>
              </w:rPr>
              <w:t>Smaller reporting</w:t>
            </w:r>
          </w:p>
        </w:tc>
        <w:tc>
          <w:tcPr>
            <w:tcW w:w="72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2"/>
                <w:szCs w:val="12"/>
                <w:color w:val="auto"/>
              </w:rPr>
              <w:t>Emerging growth</w:t>
            </w:r>
          </w:p>
        </w:tc>
        <w:tc>
          <w:tcPr>
            <w:tcW w:w="440" w:type="dxa"/>
            <w:vAlign w:val="bottom"/>
            <w:vMerge w:val="restart"/>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70"/>
        </w:trPr>
        <w:tc>
          <w:tcPr>
            <w:tcW w:w="14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720" w:type="dxa"/>
            <w:vAlign w:val="bottom"/>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rPr>
              <w:t>filer</w:t>
            </w:r>
          </w:p>
        </w:tc>
        <w:tc>
          <w:tcPr>
            <w:tcW w:w="800" w:type="dxa"/>
            <w:vAlign w:val="bottom"/>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rPr>
              <w:t>filer</w:t>
            </w:r>
          </w:p>
        </w:tc>
        <w:tc>
          <w:tcPr>
            <w:tcW w:w="720" w:type="dxa"/>
            <w:vAlign w:val="bottom"/>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2"/>
                <w:szCs w:val="12"/>
                <w:color w:val="auto"/>
              </w:rPr>
              <w:t>company</w:t>
            </w:r>
          </w:p>
        </w:tc>
        <w:tc>
          <w:tcPr>
            <w:tcW w:w="720" w:type="dxa"/>
            <w:vAlign w:val="bottom"/>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2"/>
                <w:szCs w:val="12"/>
                <w:color w:val="auto"/>
                <w:w w:val="98"/>
              </w:rPr>
              <w:t>company</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360"/>
        <w:spacing w:after="0" w:line="17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tabs>
          <w:tab w:leader="none" w:pos="73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w:t>
        <w:tab/>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3"/>
          <w:szCs w:val="13"/>
          <w:color w:val="auto"/>
        </w:rPr>
        <w:t>Shares outstanding at July 28, 2023:</w:t>
      </w:r>
    </w:p>
    <w:p>
      <w:pPr>
        <w:spacing w:after="0" w:line="93" w:lineRule="exact"/>
        <w:rPr>
          <w:sz w:val="24"/>
          <w:szCs w:val="24"/>
          <w:color w:val="auto"/>
        </w:rPr>
      </w:pPr>
    </w:p>
    <w:p>
      <w:pPr>
        <w:ind w:left="2000"/>
        <w:spacing w:after="0"/>
        <w:rPr>
          <w:sz w:val="20"/>
          <w:szCs w:val="20"/>
          <w:color w:val="auto"/>
        </w:rPr>
      </w:pPr>
      <w:r>
        <w:rPr>
          <w:rFonts w:ascii="Arial" w:cs="Arial" w:eastAsia="Arial" w:hAnsi="Arial"/>
          <w:sz w:val="13"/>
          <w:szCs w:val="13"/>
          <w:color w:val="auto"/>
        </w:rPr>
        <w:t>Class A Common Stock – 964,001 Shares</w:t>
      </w:r>
    </w:p>
    <w:p>
      <w:pPr>
        <w:spacing w:after="0" w:line="22" w:lineRule="exact"/>
        <w:rPr>
          <w:sz w:val="24"/>
          <w:szCs w:val="24"/>
          <w:color w:val="auto"/>
        </w:rPr>
      </w:pPr>
    </w:p>
    <w:p>
      <w:pPr>
        <w:ind w:left="2000"/>
        <w:spacing w:after="0"/>
        <w:rPr>
          <w:sz w:val="20"/>
          <w:szCs w:val="20"/>
          <w:color w:val="auto"/>
        </w:rPr>
      </w:pPr>
      <w:r>
        <w:rPr>
          <w:rFonts w:ascii="Arial" w:cs="Arial" w:eastAsia="Arial" w:hAnsi="Arial"/>
          <w:sz w:val="13"/>
          <w:szCs w:val="13"/>
          <w:color w:val="auto"/>
        </w:rPr>
        <w:t>Class B Common Stock – 3,684,526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541020</wp:posOffset>
            </wp:positionV>
            <wp:extent cx="719201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2010"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85090</wp:posOffset>
            </wp:positionV>
            <wp:extent cx="71539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6350"/>
                    </a:xfrm>
                    <a:prstGeom prst="rect">
                      <a:avLst/>
                    </a:prstGeom>
                    <a:noFill/>
                  </pic:spPr>
                </pic:pic>
              </a:graphicData>
            </a:graphic>
          </wp:anchor>
        </w:drawing>
      </w:r>
    </w:p>
    <w:p>
      <w:pPr>
        <w:sectPr>
          <w:pgSz w:w="11900" w:h="16838" w:orient="portrait"/>
          <w:cols w:equalWidth="0" w:num="1">
            <w:col w:w="11280"/>
          </w:cols>
          <w:pgMar w:left="300" w:top="888" w:right="319" w:bottom="1440" w:gutter="0" w:footer="0" w:header="0"/>
        </w:sectPr>
      </w:pPr>
    </w:p>
    <w:bookmarkStart w:id="1" w:name="page2"/>
    <w:bookmarkEnd w:id="1"/>
    <w:p>
      <w:pPr>
        <w:jc w:val="center"/>
        <w:ind w:left="860"/>
        <w:spacing w:after="0"/>
        <w:rPr>
          <w:sz w:val="20"/>
          <w:szCs w:val="20"/>
          <w:color w:val="auto"/>
        </w:rPr>
      </w:pPr>
      <w:r>
        <w:rPr>
          <w:rFonts w:ascii="Arial" w:cs="Arial" w:eastAsia="Arial" w:hAnsi="Arial"/>
          <w:sz w:val="13"/>
          <w:szCs w:val="13"/>
          <w:b w:val="1"/>
          <w:bCs w:val="1"/>
          <w:color w:val="auto"/>
        </w:rPr>
        <w:t>GRAHAM HOLDINGS COMPANY</w:t>
      </w:r>
    </w:p>
    <w:p>
      <w:pPr>
        <w:spacing w:after="0" w:line="83" w:lineRule="exact"/>
        <w:rPr>
          <w:sz w:val="20"/>
          <w:szCs w:val="20"/>
          <w:color w:val="auto"/>
        </w:rPr>
      </w:pPr>
    </w:p>
    <w:p>
      <w:pPr>
        <w:jc w:val="center"/>
        <w:ind w:left="860"/>
        <w:spacing w:after="0"/>
        <w:rPr>
          <w:sz w:val="20"/>
          <w:szCs w:val="20"/>
          <w:color w:val="auto"/>
        </w:rPr>
      </w:pPr>
      <w:r>
        <w:rPr>
          <w:rFonts w:ascii="Arial" w:cs="Arial" w:eastAsia="Arial" w:hAnsi="Arial"/>
          <w:sz w:val="13"/>
          <w:szCs w:val="13"/>
          <w:b w:val="1"/>
          <w:bCs w:val="1"/>
          <w:color w:val="auto"/>
        </w:rPr>
        <w:t>Index to Form 10-Q</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PART I. FINANCIAL INFORMATION</w:t>
      </w:r>
    </w:p>
    <w:p>
      <w:pPr>
        <w:spacing w:after="0" w:line="145"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Item 1.</w:t>
      </w:r>
      <w:r>
        <w:rPr>
          <w:sz w:val="20"/>
          <w:szCs w:val="20"/>
          <w:color w:val="auto"/>
        </w:rPr>
        <w:tab/>
      </w:r>
      <w:r>
        <w:rPr>
          <w:rFonts w:ascii="Arial" w:cs="Arial" w:eastAsia="Arial" w:hAnsi="Arial"/>
          <w:sz w:val="12"/>
          <w:szCs w:val="12"/>
          <w:color w:val="auto"/>
        </w:rPr>
        <w:t>Financial Statements</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Condensed Consolidated Statements of Operations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Condensed Consolidated Statements of Comprehensive Income (Loss)</w:t>
      </w:r>
    </w:p>
    <w:p>
      <w:pPr>
        <w:spacing w:after="0" w:line="206"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Condensed Consolidated Balance Sheets</w:t>
      </w:r>
    </w:p>
    <w:p>
      <w:pPr>
        <w:spacing w:after="0" w:line="216"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Condensed Consolidated Statements of Cash Flows</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Condensed Consolidated Statements of Changes in Common Stockholders' Equity</w:t>
      </w:r>
    </w:p>
    <w:p>
      <w:pPr>
        <w:spacing w:after="0" w:line="206"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Notes to Condensed Consolidated Financial Statements</w:t>
      </w:r>
    </w:p>
    <w:p>
      <w:pPr>
        <w:spacing w:after="0" w:line="1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Organization, Basis of Presentation and Recent Accounting Pronouncements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Acquisitions and Dispositions of Businesses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Investments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Accounts Receivable, Accounts Payable and Accrued Liabilities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Inventories, Contracts in Progress and Vehicle Floor Plan Payable</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Goodwill and Other Intangible Assets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Debt</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Fair Value Measurements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 From Contracts With Customers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Earnings (Loss) Per Share</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Pension and Postretirement Plans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Non-Operating Income</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Accumulated Other Comprehensive Income (Loss)</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Contingencies</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Business Segments</w:t>
      </w:r>
    </w:p>
    <w:p>
      <w:pPr>
        <w:spacing w:after="0" w:line="195"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Item 2.</w:t>
      </w:r>
      <w:r>
        <w:rPr>
          <w:sz w:val="20"/>
          <w:szCs w:val="20"/>
          <w:color w:val="auto"/>
        </w:rPr>
        <w:tab/>
      </w:r>
      <w:r>
        <w:rPr>
          <w:rFonts w:ascii="Arial" w:cs="Arial" w:eastAsia="Arial" w:hAnsi="Arial"/>
          <w:sz w:val="12"/>
          <w:szCs w:val="12"/>
          <w:color w:val="auto"/>
        </w:rPr>
        <w:t>Management’s Discussion and Analysis of Results of Operations and Financial Condition</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Item 3.</w:t>
      </w:r>
      <w:r>
        <w:rPr>
          <w:sz w:val="20"/>
          <w:szCs w:val="20"/>
          <w:color w:val="auto"/>
        </w:rPr>
        <w:tab/>
      </w:r>
      <w:r>
        <w:rPr>
          <w:rFonts w:ascii="Arial" w:cs="Arial" w:eastAsia="Arial" w:hAnsi="Arial"/>
          <w:sz w:val="12"/>
          <w:szCs w:val="12"/>
          <w:color w:val="auto"/>
        </w:rPr>
        <w:t>Quantitative and Qualitative Disclosures about Market Risk</w:t>
      </w:r>
    </w:p>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Item 4.</w:t>
      </w:r>
      <w:r>
        <w:rPr>
          <w:sz w:val="20"/>
          <w:szCs w:val="20"/>
          <w:color w:val="auto"/>
        </w:rPr>
        <w:tab/>
      </w:r>
      <w:r>
        <w:rPr>
          <w:rFonts w:ascii="Arial" w:cs="Arial" w:eastAsia="Arial" w:hAnsi="Arial"/>
          <w:sz w:val="12"/>
          <w:szCs w:val="12"/>
          <w:color w:val="auto"/>
        </w:rPr>
        <w:t>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PART II. OTHER INFORMATION</w:t>
      </w:r>
    </w:p>
    <w:p>
      <w:pPr>
        <w:spacing w:after="0" w:line="145"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Item 2.</w:t>
      </w:r>
      <w:r>
        <w:rPr>
          <w:sz w:val="20"/>
          <w:szCs w:val="20"/>
          <w:color w:val="auto"/>
        </w:rPr>
        <w:tab/>
      </w:r>
      <w:r>
        <w:rPr>
          <w:rFonts w:ascii="Arial" w:cs="Arial" w:eastAsia="Arial" w:hAnsi="Arial"/>
          <w:sz w:val="12"/>
          <w:szCs w:val="12"/>
          <w:color w:val="auto"/>
        </w:rPr>
        <w:t>Unregistered Sales of Equity Securities and Use of Proceeds</w:t>
      </w:r>
    </w:p>
    <w:p>
      <w:pPr>
        <w:spacing w:after="0" w:line="195"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Item 6.</w:t>
      </w:r>
      <w:r>
        <w:rPr>
          <w:sz w:val="20"/>
          <w:szCs w:val="20"/>
          <w:color w:val="auto"/>
        </w:rPr>
        <w:tab/>
      </w:r>
      <w:r>
        <w:rPr>
          <w:rFonts w:ascii="Arial" w:cs="Arial" w:eastAsia="Arial" w:hAnsi="Arial"/>
          <w:sz w:val="12"/>
          <w:szCs w:val="12"/>
          <w:color w:val="auto"/>
        </w:rPr>
        <w:t>Exhibits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468630</wp:posOffset>
            </wp:positionV>
            <wp:extent cx="719201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1</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2</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3</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4</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5</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7</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7</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7</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2"/>
          <w:szCs w:val="12"/>
          <w:u w:val="single" w:color="auto"/>
          <w:color w:val="0000FF"/>
        </w:rPr>
        <w:t>9</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10</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0"/>
          <w:szCs w:val="10"/>
          <w:u w:val="single" w:color="auto"/>
          <w:color w:val="0000FF"/>
        </w:rPr>
        <w:t>11</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0"/>
          <w:szCs w:val="10"/>
          <w:u w:val="single" w:color="auto"/>
          <w:color w:val="0000FF"/>
        </w:rPr>
        <w:t>11</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13</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14</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15</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17</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18</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19</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20</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21</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23</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26</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36</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37</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38</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39</w:t>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FF"/>
        </w:rPr>
        <w:t>40</w:t>
      </w:r>
    </w:p>
    <w:p>
      <w:pPr>
        <w:sectPr>
          <w:pgSz w:w="11900" w:h="16838" w:orient="portrait"/>
          <w:cols w:equalWidth="0" w:num="2">
            <w:col w:w="10380" w:space="720"/>
            <w:col w:w="140"/>
          </w:cols>
          <w:pgMar w:left="320" w:top="69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PART I.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 (UNAUDITED)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60" w:type="dxa"/>
            <w:vAlign w:val="bottom"/>
          </w:tcPr>
          <w:p>
            <w:pPr>
              <w:spacing w:after="0"/>
              <w:rPr>
                <w:sz w:val="10"/>
                <w:szCs w:val="10"/>
                <w:color w:val="auto"/>
              </w:rPr>
            </w:pPr>
          </w:p>
        </w:tc>
      </w:tr>
      <w:tr>
        <w:trPr>
          <w:trHeight w:val="155"/>
        </w:trPr>
        <w:tc>
          <w:tcPr>
            <w:tcW w:w="6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r>
      <w:tr>
        <w:trPr>
          <w:trHeight w:val="152"/>
        </w:trPr>
        <w:tc>
          <w:tcPr>
            <w:tcW w:w="61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 except per share amounts)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color w:val="auto"/>
                <w:w w:val="89"/>
              </w:rPr>
              <w:t>2022</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color w:val="auto"/>
              </w:rPr>
              <w:t>2022</w:t>
            </w:r>
          </w:p>
        </w:tc>
      </w:tr>
      <w:tr>
        <w:trPr>
          <w:trHeight w:val="163"/>
        </w:trPr>
        <w:tc>
          <w:tcPr>
            <w:tcW w:w="6140" w:type="dxa"/>
            <w:vAlign w:val="bottom"/>
          </w:tcPr>
          <w:p>
            <w:pPr>
              <w:spacing w:after="0"/>
              <w:rPr>
                <w:sz w:val="20"/>
                <w:szCs w:val="20"/>
                <w:color w:val="auto"/>
              </w:rPr>
            </w:pPr>
            <w:r>
              <w:rPr>
                <w:rFonts w:ascii="Arial" w:cs="Arial" w:eastAsia="Arial" w:hAnsi="Arial"/>
                <w:sz w:val="12"/>
                <w:szCs w:val="12"/>
                <w:b w:val="1"/>
                <w:bCs w:val="1"/>
                <w:color w:val="auto"/>
              </w:rPr>
              <w:t>Operating Revenues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9"/>
        </w:trPr>
        <w:tc>
          <w:tcPr>
            <w:tcW w:w="6140" w:type="dxa"/>
            <w:vAlign w:val="bottom"/>
          </w:tcPr>
          <w:p>
            <w:pPr>
              <w:ind w:left="160"/>
              <w:spacing w:after="0"/>
              <w:rPr>
                <w:sz w:val="20"/>
                <w:szCs w:val="20"/>
                <w:color w:val="auto"/>
              </w:rPr>
            </w:pPr>
            <w:r>
              <w:rPr>
                <w:rFonts w:ascii="Arial" w:cs="Arial" w:eastAsia="Arial" w:hAnsi="Arial"/>
                <w:sz w:val="12"/>
                <w:szCs w:val="12"/>
                <w:color w:val="auto"/>
              </w:rPr>
              <w:t>Sales of services</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60" w:type="dxa"/>
            <w:vAlign w:val="bottom"/>
          </w:tcPr>
          <w:p>
            <w:pPr>
              <w:jc w:val="right"/>
              <w:ind w:right="43"/>
              <w:spacing w:after="0"/>
              <w:rPr>
                <w:sz w:val="20"/>
                <w:szCs w:val="20"/>
                <w:color w:val="auto"/>
              </w:rPr>
            </w:pPr>
            <w:r>
              <w:rPr>
                <w:rFonts w:ascii="Arial" w:cs="Arial" w:eastAsia="Arial" w:hAnsi="Arial"/>
                <w:sz w:val="12"/>
                <w:szCs w:val="12"/>
                <w:b w:val="1"/>
                <w:bCs w:val="1"/>
                <w:color w:val="auto"/>
              </w:rPr>
              <w:t>625,219</w:t>
            </w:r>
          </w:p>
        </w:tc>
        <w:tc>
          <w:tcPr>
            <w:tcW w:w="54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563,113</w:t>
            </w:r>
          </w:p>
        </w:tc>
        <w:tc>
          <w:tcPr>
            <w:tcW w:w="34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23"/>
              <w:spacing w:after="0"/>
              <w:rPr>
                <w:sz w:val="20"/>
                <w:szCs w:val="20"/>
                <w:color w:val="auto"/>
              </w:rPr>
            </w:pPr>
            <w:r>
              <w:rPr>
                <w:rFonts w:ascii="Arial" w:cs="Arial" w:eastAsia="Arial" w:hAnsi="Arial"/>
                <w:sz w:val="12"/>
                <w:szCs w:val="12"/>
                <w:b w:val="1"/>
                <w:bCs w:val="1"/>
                <w:color w:val="auto"/>
              </w:rPr>
              <w:t>1,212,082</w:t>
            </w:r>
          </w:p>
        </w:tc>
        <w:tc>
          <w:tcPr>
            <w:tcW w:w="52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1,120,682</w:t>
            </w:r>
          </w:p>
        </w:tc>
      </w:tr>
      <w:tr>
        <w:trPr>
          <w:trHeight w:val="176"/>
        </w:trPr>
        <w:tc>
          <w:tcPr>
            <w:tcW w:w="6140" w:type="dxa"/>
            <w:vAlign w:val="bottom"/>
          </w:tcPr>
          <w:p>
            <w:pPr>
              <w:ind w:left="160"/>
              <w:spacing w:after="0"/>
              <w:rPr>
                <w:sz w:val="20"/>
                <w:szCs w:val="20"/>
                <w:color w:val="auto"/>
              </w:rPr>
            </w:pPr>
            <w:r>
              <w:rPr>
                <w:rFonts w:ascii="Arial" w:cs="Arial" w:eastAsia="Arial" w:hAnsi="Arial"/>
                <w:sz w:val="12"/>
                <w:szCs w:val="12"/>
                <w:color w:val="auto"/>
              </w:rPr>
              <w:t>Sales of goods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479,780</w:t>
            </w: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370,189</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924,463</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727,341</w:t>
            </w:r>
          </w:p>
        </w:tc>
      </w:tr>
      <w:tr>
        <w:trPr>
          <w:trHeight w:val="160"/>
        </w:trPr>
        <w:tc>
          <w:tcPr>
            <w:tcW w:w="6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1,104,999</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933,302</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2,136,545</w:t>
            </w: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1,848,023</w:t>
            </w:r>
          </w:p>
        </w:tc>
      </w:tr>
      <w:tr>
        <w:trPr>
          <w:trHeight w:val="159"/>
        </w:trPr>
        <w:tc>
          <w:tcPr>
            <w:tcW w:w="6140" w:type="dxa"/>
            <w:vAlign w:val="bottom"/>
          </w:tcPr>
          <w:p>
            <w:pPr>
              <w:spacing w:after="0"/>
              <w:rPr>
                <w:sz w:val="20"/>
                <w:szCs w:val="20"/>
                <w:color w:val="auto"/>
              </w:rPr>
            </w:pPr>
            <w:r>
              <w:rPr>
                <w:rFonts w:ascii="Arial" w:cs="Arial" w:eastAsia="Arial" w:hAnsi="Arial"/>
                <w:sz w:val="12"/>
                <w:szCs w:val="12"/>
                <w:b w:val="1"/>
                <w:bCs w:val="1"/>
                <w:color w:val="auto"/>
              </w:rPr>
              <w:t>Operating Costs and Expenses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4" w:lineRule="exact"/>
        <w:rPr>
          <w:sz w:val="20"/>
          <w:szCs w:val="20"/>
          <w:color w:val="auto"/>
        </w:rPr>
      </w:pPr>
    </w:p>
    <w:p>
      <w:pPr>
        <w:sectPr>
          <w:pgSz w:w="11900" w:h="16838" w:orient="portrait"/>
          <w:cols w:equalWidth="0" w:num="1">
            <w:col w:w="11280"/>
          </w:cols>
          <w:pgMar w:left="300" w:top="689" w:right="319" w:bottom="1440" w:gutter="0" w:footer="0" w:header="0"/>
        </w:sectPr>
      </w:pP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Cost of services sold (exclusive of items shown below)</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Cost of goods sold (exclusive of items shown below)</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Selling, general and administrative</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Depreciation of property, plant and equipment</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Amortization of intangible assets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Impairment of long-lived assets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Income from Operations</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Equity in (losses) earnings of affiliates, net</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Interest income</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Interest expense</w:t>
      </w:r>
    </w:p>
    <w:p>
      <w:pPr>
        <w:spacing w:after="0" w:line="44" w:lineRule="exact"/>
        <w:rPr>
          <w:sz w:val="20"/>
          <w:szCs w:val="20"/>
          <w:color w:val="auto"/>
        </w:rPr>
      </w:pPr>
    </w:p>
    <w:p>
      <w:pPr>
        <w:ind w:left="180" w:right="1940"/>
        <w:spacing w:after="0" w:line="307" w:lineRule="auto"/>
        <w:rPr>
          <w:sz w:val="20"/>
          <w:szCs w:val="20"/>
          <w:color w:val="auto"/>
        </w:rPr>
      </w:pPr>
      <w:r>
        <w:rPr>
          <w:rFonts w:ascii="Arial" w:cs="Arial" w:eastAsia="Arial" w:hAnsi="Arial"/>
          <w:sz w:val="12"/>
          <w:szCs w:val="12"/>
          <w:color w:val="auto"/>
        </w:rPr>
        <w:t>Non-operating pension and postretirement benefit income, net Gain (loss) on marketable equity securities, net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Other income,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Income (Loss) Before Income Taxes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Provision for (Benefit from) Income Taxes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Income (Loss)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Income Attributable to Noncontrolling Interests</w:t>
      </w:r>
    </w:p>
    <w:p>
      <w:pPr>
        <w:spacing w:after="0" w:line="64" w:lineRule="exact"/>
        <w:rPr>
          <w:sz w:val="20"/>
          <w:szCs w:val="20"/>
          <w:color w:val="auto"/>
        </w:rPr>
      </w:pPr>
    </w:p>
    <w:p>
      <w:pPr>
        <w:ind w:left="20" w:right="300"/>
        <w:spacing w:after="0" w:line="339" w:lineRule="auto"/>
        <w:rPr>
          <w:sz w:val="20"/>
          <w:szCs w:val="20"/>
          <w:color w:val="auto"/>
        </w:rPr>
      </w:pPr>
      <w:r>
        <w:rPr>
          <w:rFonts w:ascii="Arial" w:cs="Arial" w:eastAsia="Arial" w:hAnsi="Arial"/>
          <w:sz w:val="12"/>
          <w:szCs w:val="12"/>
          <w:b w:val="1"/>
          <w:bCs w:val="1"/>
          <w:color w:val="auto"/>
        </w:rPr>
        <w:t>Net Income (Loss) Attributable to Graham Holdings Company Common Stockholders Per Share Information Attributable to Graham Holdings Company Common Stockholders</w:t>
      </w:r>
    </w:p>
    <w:p>
      <w:pPr>
        <w:ind w:left="180"/>
        <w:spacing w:after="0"/>
        <w:rPr>
          <w:sz w:val="20"/>
          <w:szCs w:val="20"/>
          <w:color w:val="auto"/>
        </w:rPr>
      </w:pPr>
      <w:r>
        <w:rPr>
          <w:rFonts w:ascii="Arial" w:cs="Arial" w:eastAsia="Arial" w:hAnsi="Arial"/>
          <w:sz w:val="12"/>
          <w:szCs w:val="12"/>
          <w:color w:val="auto"/>
        </w:rPr>
        <w:t>Basic net income (loss) per common share</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Basic average number of common shares outstanding</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Diluted net income (loss) per common share</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363,030</w:t>
            </w:r>
          </w:p>
        </w:tc>
        <w:tc>
          <w:tcPr>
            <w:tcW w:w="44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329,702</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719,972</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654,683</w:t>
            </w:r>
          </w:p>
        </w:tc>
      </w:tr>
      <w:tr>
        <w:trPr>
          <w:trHeight w:val="172"/>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404,824</w:t>
            </w:r>
          </w:p>
        </w:tc>
        <w:tc>
          <w:tcPr>
            <w:tcW w:w="44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302,126</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775,096</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592,646</w:t>
            </w:r>
          </w:p>
        </w:tc>
      </w:tr>
      <w:tr>
        <w:trPr>
          <w:trHeight w:val="172"/>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244,683</w:t>
            </w:r>
          </w:p>
        </w:tc>
        <w:tc>
          <w:tcPr>
            <w:tcW w:w="44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227,844</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486,645</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452,706</w:t>
            </w:r>
          </w:p>
        </w:tc>
      </w:tr>
      <w:tr>
        <w:trPr>
          <w:trHeight w:val="172"/>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21,103</w:t>
            </w:r>
          </w:p>
        </w:tc>
        <w:tc>
          <w:tcPr>
            <w:tcW w:w="44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19,413</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41,128</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38,888</w:t>
            </w:r>
          </w:p>
        </w:tc>
      </w:tr>
      <w:tr>
        <w:trPr>
          <w:trHeight w:val="172"/>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13,304</w:t>
            </w:r>
          </w:p>
        </w:tc>
        <w:tc>
          <w:tcPr>
            <w:tcW w:w="44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14,889</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27,248</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29,801</w:t>
            </w:r>
          </w:p>
        </w:tc>
      </w:tr>
      <w:tr>
        <w:trPr>
          <w:trHeight w:val="185"/>
        </w:trPr>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745</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1,046,944</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893,974</w:t>
            </w: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2,050,834</w:t>
            </w: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1,768,724</w:t>
            </w:r>
          </w:p>
        </w:tc>
      </w:tr>
      <w:tr>
        <w:trPr>
          <w:trHeight w:val="160"/>
        </w:trPr>
        <w:tc>
          <w:tcPr>
            <w:tcW w:w="340" w:type="dxa"/>
            <w:vAlign w:val="bottom"/>
          </w:tcPr>
          <w:p>
            <w:pPr>
              <w:spacing w:after="0"/>
              <w:rPr>
                <w:sz w:val="13"/>
                <w:szCs w:val="13"/>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58,055</w:t>
            </w:r>
          </w:p>
        </w:tc>
        <w:tc>
          <w:tcPr>
            <w:tcW w:w="440" w:type="dxa"/>
            <w:vAlign w:val="bottom"/>
          </w:tcPr>
          <w:p>
            <w:pPr>
              <w:spacing w:after="0"/>
              <w:rPr>
                <w:sz w:val="13"/>
                <w:szCs w:val="13"/>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39,328</w:t>
            </w:r>
          </w:p>
        </w:tc>
        <w:tc>
          <w:tcPr>
            <w:tcW w:w="400" w:type="dxa"/>
            <w:vAlign w:val="bottom"/>
          </w:tcPr>
          <w:p>
            <w:pPr>
              <w:spacing w:after="0"/>
              <w:rPr>
                <w:sz w:val="13"/>
                <w:szCs w:val="13"/>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85,711</w:t>
            </w: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79,299</w:t>
            </w:r>
          </w:p>
        </w:tc>
      </w:tr>
      <w:tr>
        <w:trPr>
          <w:trHeight w:val="169"/>
        </w:trPr>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(6,115)</w:t>
            </w:r>
          </w:p>
        </w:tc>
        <w:tc>
          <w:tcPr>
            <w:tcW w:w="44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1,427</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(1,454)</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4,031</w:t>
            </w:r>
          </w:p>
        </w:tc>
      </w:tr>
      <w:tr>
        <w:trPr>
          <w:trHeight w:val="172"/>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1,548</w:t>
            </w:r>
          </w:p>
        </w:tc>
        <w:tc>
          <w:tcPr>
            <w:tcW w:w="44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696</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2,752</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1,411</w:t>
            </w:r>
          </w:p>
        </w:tc>
      </w:tr>
      <w:tr>
        <w:trPr>
          <w:trHeight w:val="172"/>
        </w:trPr>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(11,774)</w:t>
            </w:r>
          </w:p>
        </w:tc>
        <w:tc>
          <w:tcPr>
            <w:tcW w:w="44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(15,973)</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(26,068)</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(27,390)</w:t>
            </w:r>
          </w:p>
        </w:tc>
      </w:tr>
      <w:tr>
        <w:trPr>
          <w:trHeight w:val="182"/>
        </w:trPr>
        <w:tc>
          <w:tcPr>
            <w:tcW w:w="340" w:type="dxa"/>
            <w:vAlign w:val="bottom"/>
          </w:tcPr>
          <w:p>
            <w:pPr>
              <w:spacing w:after="0"/>
              <w:rPr>
                <w:sz w:val="15"/>
                <w:szCs w:val="15"/>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29,815</w:t>
            </w:r>
          </w:p>
        </w:tc>
        <w:tc>
          <w:tcPr>
            <w:tcW w:w="44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50,871</w:t>
            </w:r>
          </w:p>
        </w:tc>
        <w:tc>
          <w:tcPr>
            <w:tcW w:w="400" w:type="dxa"/>
            <w:vAlign w:val="bottom"/>
          </w:tcPr>
          <w:p>
            <w:pPr>
              <w:spacing w:after="0"/>
              <w:rPr>
                <w:sz w:val="15"/>
                <w:szCs w:val="15"/>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61,660</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101,376</w:t>
            </w:r>
          </w:p>
        </w:tc>
      </w:tr>
      <w:tr>
        <w:trPr>
          <w:trHeight w:val="172"/>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78,648</w:t>
            </w:r>
          </w:p>
        </w:tc>
        <w:tc>
          <w:tcPr>
            <w:tcW w:w="44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(165,540)</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96,670</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(118,628)</w:t>
            </w:r>
          </w:p>
        </w:tc>
      </w:tr>
      <w:tr>
        <w:trPr>
          <w:trHeight w:val="175"/>
        </w:trPr>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15,794</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1,176</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18,877</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4,052</w:t>
            </w:r>
          </w:p>
        </w:tc>
      </w:tr>
      <w:tr>
        <w:trPr>
          <w:trHeight w:val="161"/>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165,971</w:t>
            </w:r>
          </w:p>
        </w:tc>
        <w:tc>
          <w:tcPr>
            <w:tcW w:w="44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(88,015)</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238,148</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44,151</w:t>
            </w:r>
          </w:p>
        </w:tc>
      </w:tr>
      <w:tr>
        <w:trPr>
          <w:trHeight w:val="178"/>
        </w:trPr>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41,800</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(21,400)</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61,000</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14,200</w:t>
            </w:r>
          </w:p>
        </w:tc>
      </w:tr>
      <w:tr>
        <w:trPr>
          <w:trHeight w:val="166"/>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124,171</w:t>
            </w:r>
          </w:p>
        </w:tc>
        <w:tc>
          <w:tcPr>
            <w:tcW w:w="44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(66,615)</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177,148</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29,951</w:t>
            </w:r>
          </w:p>
        </w:tc>
      </w:tr>
      <w:tr>
        <w:trPr>
          <w:trHeight w:val="173"/>
        </w:trPr>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(1,383)</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(870)</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(2,088)</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(1,812)</w:t>
            </w:r>
          </w:p>
        </w:tc>
      </w:tr>
      <w:tr>
        <w:trPr>
          <w:trHeight w:val="163"/>
        </w:trPr>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122,788</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(67,485)</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175,060</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28,139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40"/>
        </w:trPr>
        <w:tc>
          <w:tcPr>
            <w:tcW w:w="340" w:type="dxa"/>
            <w:vAlign w:val="bottom"/>
          </w:tcPr>
          <w:p>
            <w:pPr>
              <w:jc w:val="right"/>
              <w:ind w:right="19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25.96</w:t>
            </w:r>
          </w:p>
        </w:tc>
        <w:tc>
          <w:tcPr>
            <w:tcW w:w="44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(13.95)</w:t>
            </w:r>
          </w:p>
        </w:tc>
        <w:tc>
          <w:tcPr>
            <w:tcW w:w="400" w:type="dxa"/>
            <w:vAlign w:val="bottom"/>
          </w:tcPr>
          <w:p>
            <w:pPr>
              <w:jc w:val="right"/>
              <w:ind w:right="219"/>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36.78</w:t>
            </w:r>
          </w:p>
        </w:tc>
        <w:tc>
          <w:tcPr>
            <w:tcW w:w="4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5.76</w:t>
            </w:r>
          </w:p>
        </w:tc>
      </w:tr>
      <w:tr>
        <w:trPr>
          <w:trHeight w:val="182"/>
        </w:trPr>
        <w:tc>
          <w:tcPr>
            <w:tcW w:w="340" w:type="dxa"/>
            <w:vAlign w:val="bottom"/>
          </w:tcPr>
          <w:p>
            <w:pPr>
              <w:spacing w:after="0"/>
              <w:rPr>
                <w:sz w:val="15"/>
                <w:szCs w:val="15"/>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4,700</w:t>
            </w:r>
          </w:p>
        </w:tc>
        <w:tc>
          <w:tcPr>
            <w:tcW w:w="44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4,842</w:t>
            </w:r>
          </w:p>
        </w:tc>
        <w:tc>
          <w:tcPr>
            <w:tcW w:w="400" w:type="dxa"/>
            <w:vAlign w:val="bottom"/>
          </w:tcPr>
          <w:p>
            <w:pPr>
              <w:spacing w:after="0"/>
              <w:rPr>
                <w:sz w:val="15"/>
                <w:szCs w:val="15"/>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4,729</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4,857</w:t>
            </w:r>
          </w:p>
        </w:tc>
      </w:tr>
      <w:tr>
        <w:trPr>
          <w:trHeight w:val="172"/>
        </w:trPr>
        <w:tc>
          <w:tcPr>
            <w:tcW w:w="340" w:type="dxa"/>
            <w:vAlign w:val="bottom"/>
          </w:tcPr>
          <w:p>
            <w:pPr>
              <w:jc w:val="right"/>
              <w:ind w:right="19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25.89</w:t>
            </w:r>
          </w:p>
        </w:tc>
        <w:tc>
          <w:tcPr>
            <w:tcW w:w="44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(13.95)</w:t>
            </w:r>
          </w:p>
        </w:tc>
        <w:tc>
          <w:tcPr>
            <w:tcW w:w="400" w:type="dxa"/>
            <w:vAlign w:val="bottom"/>
          </w:tcPr>
          <w:p>
            <w:pPr>
              <w:jc w:val="right"/>
              <w:ind w:right="219"/>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36.67</w:t>
            </w:r>
          </w:p>
        </w:tc>
        <w:tc>
          <w:tcPr>
            <w:tcW w:w="4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5.74</w:t>
            </w:r>
          </w:p>
        </w:tc>
      </w:tr>
      <w:tr>
        <w:trPr>
          <w:trHeight w:val="172"/>
        </w:trPr>
        <w:tc>
          <w:tcPr>
            <w:tcW w:w="34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4,713</w:t>
            </w:r>
          </w:p>
        </w:tc>
        <w:tc>
          <w:tcPr>
            <w:tcW w:w="44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4,842</w:t>
            </w:r>
          </w:p>
        </w:tc>
        <w:tc>
          <w:tcPr>
            <w:tcW w:w="4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4,744</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4,870</w:t>
            </w:r>
          </w:p>
        </w:tc>
      </w:tr>
    </w:tbl>
    <w:p>
      <w:pPr>
        <w:spacing w:after="0" w:line="154" w:lineRule="exact"/>
        <w:rPr>
          <w:sz w:val="20"/>
          <w:szCs w:val="20"/>
          <w:color w:val="auto"/>
        </w:rPr>
      </w:pPr>
    </w:p>
    <w:p>
      <w:pPr>
        <w:sectPr>
          <w:pgSz w:w="11900" w:h="16838" w:orient="portrait"/>
          <w:cols w:equalWidth="0" w:num="2">
            <w:col w:w="5440" w:space="720"/>
            <w:col w:w="5120"/>
          </w:cols>
          <w:pgMar w:left="300" w:top="689" w:right="319" w:bottom="1440" w:gutter="0" w:footer="0" w:header="0"/>
          <w:type w:val="continuous"/>
        </w:sectPr>
      </w:pPr>
    </w:p>
    <w:p>
      <w:pPr>
        <w:spacing w:after="0"/>
        <w:rPr>
          <w:sz w:val="20"/>
          <w:szCs w:val="20"/>
          <w:color w:val="auto"/>
        </w:rPr>
      </w:pPr>
      <w:r>
        <w:rPr>
          <w:rFonts w:ascii="Arial" w:cs="Arial" w:eastAsia="Arial" w:hAnsi="Arial"/>
          <w:sz w:val="11"/>
          <w:szCs w:val="11"/>
          <w:color w:val="auto"/>
        </w:rPr>
        <w:t>See accompanying Notes to Condensed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89" w:right="31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GRAHAM HOLDINGS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COMPREHENSIVE INCOME (LOSS) (UNAUDITED)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180" w:type="dxa"/>
            <w:vAlign w:val="bottom"/>
          </w:tcPr>
          <w:p>
            <w:pPr>
              <w:spacing w:after="0"/>
              <w:rPr>
                <w:sz w:val="10"/>
                <w:szCs w:val="10"/>
                <w:color w:val="auto"/>
              </w:rPr>
            </w:pPr>
          </w:p>
        </w:tc>
        <w:tc>
          <w:tcPr>
            <w:tcW w:w="2040" w:type="dxa"/>
            <w:vAlign w:val="bottom"/>
            <w:gridSpan w:val="2"/>
          </w:tcPr>
          <w:p>
            <w:pPr>
              <w:jc w:val="right"/>
              <w:ind w:right="466"/>
              <w:spacing w:after="0"/>
              <w:rPr>
                <w:sz w:val="20"/>
                <w:szCs w:val="20"/>
                <w:color w:val="auto"/>
              </w:rPr>
            </w:pPr>
            <w:r>
              <w:rPr>
                <w:rFonts w:ascii="Arial" w:cs="Arial" w:eastAsia="Arial" w:hAnsi="Arial"/>
                <w:sz w:val="11"/>
                <w:szCs w:val="11"/>
                <w:b w:val="1"/>
                <w:bCs w:val="1"/>
                <w:color w:val="auto"/>
              </w:rPr>
              <w:t>Three Months Ended</w:t>
            </w:r>
          </w:p>
        </w:tc>
        <w:tc>
          <w:tcPr>
            <w:tcW w:w="2040" w:type="dxa"/>
            <w:vAlign w:val="bottom"/>
            <w:gridSpan w:val="2"/>
          </w:tcPr>
          <w:p>
            <w:pPr>
              <w:jc w:val="right"/>
              <w:ind w:right="486"/>
              <w:spacing w:after="0"/>
              <w:rPr>
                <w:sz w:val="20"/>
                <w:szCs w:val="20"/>
                <w:color w:val="auto"/>
              </w:rPr>
            </w:pPr>
            <w:r>
              <w:rPr>
                <w:rFonts w:ascii="Arial" w:cs="Arial" w:eastAsia="Arial" w:hAnsi="Arial"/>
                <w:sz w:val="11"/>
                <w:szCs w:val="11"/>
                <w:b w:val="1"/>
                <w:bCs w:val="1"/>
                <w:color w:val="auto"/>
              </w:rPr>
              <w:t>Six Months Ended</w:t>
            </w:r>
          </w:p>
        </w:tc>
      </w:tr>
      <w:tr>
        <w:trPr>
          <w:trHeight w:val="155"/>
        </w:trPr>
        <w:tc>
          <w:tcPr>
            <w:tcW w:w="7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b w:val="1"/>
                <w:bCs w:val="1"/>
                <w:color w:val="auto"/>
              </w:rPr>
              <w:t>June 30</w:t>
            </w:r>
          </w:p>
        </w:tc>
      </w:tr>
      <w:tr>
        <w:trPr>
          <w:trHeight w:val="147"/>
        </w:trPr>
        <w:tc>
          <w:tcPr>
            <w:tcW w:w="7180" w:type="dxa"/>
            <w:vAlign w:val="bottom"/>
          </w:tcPr>
          <w:p>
            <w:pPr>
              <w:spacing w:after="0"/>
              <w:rPr>
                <w:sz w:val="20"/>
                <w:szCs w:val="20"/>
                <w:color w:val="auto"/>
              </w:rPr>
            </w:pPr>
            <w:r>
              <w:rPr>
                <w:rFonts w:ascii="Arial" w:cs="Arial" w:eastAsia="Arial" w:hAnsi="Arial"/>
                <w:sz w:val="11"/>
                <w:szCs w:val="11"/>
                <w:color w:val="auto"/>
              </w:rPr>
              <w:t>(in thousands)</w:t>
            </w:r>
          </w:p>
        </w:tc>
        <w:tc>
          <w:tcPr>
            <w:tcW w:w="700" w:type="dxa"/>
            <w:vAlign w:val="bottom"/>
          </w:tcPr>
          <w:p>
            <w:pPr>
              <w:jc w:val="right"/>
              <w:ind w:right="46"/>
              <w:spacing w:after="0"/>
              <w:rPr>
                <w:sz w:val="20"/>
                <w:szCs w:val="20"/>
                <w:color w:val="auto"/>
              </w:rPr>
            </w:pPr>
            <w:r>
              <w:rPr>
                <w:rFonts w:ascii="Arial" w:cs="Arial" w:eastAsia="Arial" w:hAnsi="Arial"/>
                <w:sz w:val="11"/>
                <w:szCs w:val="11"/>
                <w:b w:val="1"/>
                <w:bCs w:val="1"/>
                <w:color w:val="auto"/>
              </w:rPr>
              <w:t>2023</w:t>
            </w:r>
          </w:p>
        </w:tc>
        <w:tc>
          <w:tcPr>
            <w:tcW w:w="1340" w:type="dxa"/>
            <w:vAlign w:val="bottom"/>
          </w:tcPr>
          <w:p>
            <w:pPr>
              <w:jc w:val="right"/>
              <w:ind w:right="346"/>
              <w:spacing w:after="0"/>
              <w:rPr>
                <w:sz w:val="20"/>
                <w:szCs w:val="20"/>
                <w:color w:val="auto"/>
              </w:rPr>
            </w:pPr>
            <w:r>
              <w:rPr>
                <w:rFonts w:ascii="Arial" w:cs="Arial" w:eastAsia="Arial" w:hAnsi="Arial"/>
                <w:sz w:val="11"/>
                <w:szCs w:val="11"/>
                <w:color w:val="auto"/>
              </w:rPr>
              <w:t>2022</w:t>
            </w:r>
          </w:p>
        </w:tc>
        <w:tc>
          <w:tcPr>
            <w:tcW w:w="760" w:type="dxa"/>
            <w:vAlign w:val="bottom"/>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1280" w:type="dxa"/>
            <w:vAlign w:val="bottom"/>
          </w:tcPr>
          <w:p>
            <w:pPr>
              <w:jc w:val="right"/>
              <w:ind w:right="286"/>
              <w:spacing w:after="0"/>
              <w:rPr>
                <w:sz w:val="20"/>
                <w:szCs w:val="20"/>
                <w:color w:val="auto"/>
              </w:rPr>
            </w:pPr>
            <w:r>
              <w:rPr>
                <w:rFonts w:ascii="Arial" w:cs="Arial" w:eastAsia="Arial" w:hAnsi="Arial"/>
                <w:sz w:val="11"/>
                <w:szCs w:val="1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666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Income (Loss)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Other Comprehensive Loss, Before Tax</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Foreign currency translation adjustments:</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Translation adjustments arising during the period</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2"/>
          <w:szCs w:val="12"/>
          <w:color w:val="auto"/>
        </w:rPr>
        <w:t>Pension and other postretirement plans:</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Amortization of net prior service cost included in net income</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Amortization of net actuarial gain included in net income</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Cash flow hedges gain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Other Comprehensive Loss, Before Tax</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Income tax benefit related to items of other comprehensive loss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Other Comprehensive Loss, Net of Tax</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Comprehensive Income (Loss)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Comprehensive income attributable to noncontrolling interests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124,171</w:t>
            </w:r>
          </w:p>
        </w:tc>
        <w:tc>
          <w:tcPr>
            <w:tcW w:w="3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(66,615)</w:t>
            </w:r>
          </w:p>
        </w:tc>
        <w:tc>
          <w:tcPr>
            <w:tcW w:w="320" w:type="dxa"/>
            <w:vAlign w:val="bottom"/>
          </w:tcPr>
          <w:p>
            <w:pPr>
              <w:jc w:val="right"/>
              <w:ind w:right="119"/>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177,148</w:t>
            </w:r>
          </w:p>
        </w:tc>
        <w:tc>
          <w:tcPr>
            <w:tcW w:w="34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29,951</w:t>
            </w:r>
          </w:p>
        </w:tc>
      </w:tr>
      <w:tr>
        <w:trPr>
          <w:trHeight w:val="515"/>
        </w:trPr>
        <w:tc>
          <w:tcPr>
            <w:tcW w:w="28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2,384</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(40,928)</w:t>
            </w:r>
          </w:p>
        </w:tc>
        <w:tc>
          <w:tcPr>
            <w:tcW w:w="32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11,378</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(42,666)</w:t>
            </w:r>
          </w:p>
        </w:tc>
      </w:tr>
      <w:tr>
        <w:trPr>
          <w:trHeight w:val="354"/>
        </w:trPr>
        <w:tc>
          <w:tcPr>
            <w:tcW w:w="28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411</w:t>
            </w:r>
          </w:p>
        </w:tc>
        <w:tc>
          <w:tcPr>
            <w:tcW w:w="30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2"/>
                <w:szCs w:val="12"/>
                <w:color w:val="auto"/>
              </w:rPr>
              <w:t>716</w:t>
            </w:r>
          </w:p>
        </w:tc>
        <w:tc>
          <w:tcPr>
            <w:tcW w:w="32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820</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1,432</w:t>
            </w:r>
          </w:p>
        </w:tc>
      </w:tr>
      <w:tr>
        <w:trPr>
          <w:trHeight w:val="175"/>
        </w:trPr>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(10,434)</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(18,082)</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(21,200)</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(35,856)</w:t>
            </w:r>
          </w:p>
        </w:tc>
      </w:tr>
      <w:tr>
        <w:trPr>
          <w:trHeight w:val="161"/>
        </w:trPr>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(10,023)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(17,366)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(20,380)</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(34,424)</w:t>
            </w:r>
          </w:p>
        </w:tc>
      </w:tr>
      <w:tr>
        <w:trPr>
          <w:trHeight w:val="173"/>
        </w:trPr>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1,188</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1,091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258</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2,733</w:t>
            </w:r>
          </w:p>
        </w:tc>
      </w:tr>
      <w:tr>
        <w:trPr>
          <w:trHeight w:val="161"/>
        </w:trPr>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(6,451)</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(57,203)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(8,744)</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(74,357)</w:t>
            </w:r>
          </w:p>
        </w:tc>
      </w:tr>
      <w:tr>
        <w:trPr>
          <w:trHeight w:val="173"/>
        </w:trPr>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2,305</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4,224</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5,183</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8,243</w:t>
            </w:r>
          </w:p>
        </w:tc>
      </w:tr>
      <w:tr>
        <w:trPr>
          <w:trHeight w:val="168"/>
        </w:trPr>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(4,146)</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(52,979)</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(3,561)</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(66,114)</w:t>
            </w:r>
          </w:p>
        </w:tc>
      </w:tr>
      <w:tr>
        <w:trPr>
          <w:trHeight w:val="165"/>
        </w:trPr>
        <w:tc>
          <w:tcPr>
            <w:tcW w:w="28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120,025</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(119,594)</w:t>
            </w:r>
          </w:p>
        </w:tc>
        <w:tc>
          <w:tcPr>
            <w:tcW w:w="32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173,587</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(36,163)</w:t>
            </w:r>
          </w:p>
        </w:tc>
      </w:tr>
      <w:tr>
        <w:trPr>
          <w:trHeight w:val="173"/>
        </w:trPr>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(1,383)</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(870)</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(2,088)</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(1,812)</w:t>
            </w:r>
          </w:p>
        </w:tc>
      </w:tr>
      <w:tr>
        <w:trPr>
          <w:trHeight w:val="163"/>
        </w:trPr>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118,642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(120,464)</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171,499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(37,975)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720"/>
            <w:col w:w="4080"/>
          </w:cols>
          <w:pgMar w:left="300" w:top="699"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See accompanying Notes to Condensed Consolidated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8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1"/>
                <w:szCs w:val="11"/>
                <w:b w:val="1"/>
                <w:bCs w:val="1"/>
                <w:color w:val="auto"/>
              </w:rPr>
              <w:t>As of</w:t>
            </w: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ind w:right="220"/>
              <w:spacing w:after="0" w:line="119" w:lineRule="exact"/>
              <w:rPr>
                <w:sz w:val="20"/>
                <w:szCs w:val="20"/>
                <w:color w:val="auto"/>
              </w:rPr>
            </w:pPr>
            <w:r>
              <w:rPr>
                <w:rFonts w:ascii="Arial" w:cs="Arial" w:eastAsia="Arial" w:hAnsi="Arial"/>
                <w:sz w:val="11"/>
                <w:szCs w:val="11"/>
                <w:b w:val="1"/>
                <w:bCs w:val="1"/>
                <w:color w:val="auto"/>
                <w:w w:val="99"/>
              </w:rPr>
              <w:t>June 30,</w:t>
            </w:r>
          </w:p>
        </w:tc>
        <w:tc>
          <w:tcPr>
            <w:tcW w:w="300" w:type="dxa"/>
            <w:vAlign w:val="bottom"/>
          </w:tcPr>
          <w:p>
            <w:pPr>
              <w:spacing w:after="0"/>
              <w:rPr>
                <w:sz w:val="10"/>
                <w:szCs w:val="10"/>
                <w:color w:val="auto"/>
              </w:rPr>
            </w:pPr>
          </w:p>
        </w:tc>
        <w:tc>
          <w:tcPr>
            <w:tcW w:w="1200" w:type="dxa"/>
            <w:vAlign w:val="bottom"/>
          </w:tcPr>
          <w:p>
            <w:pPr>
              <w:jc w:val="right"/>
              <w:ind w:right="320"/>
              <w:spacing w:after="0" w:line="119" w:lineRule="exact"/>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50"/>
        </w:trPr>
        <w:tc>
          <w:tcPr>
            <w:tcW w:w="82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20"/>
              <w:spacing w:after="0"/>
              <w:rPr>
                <w:sz w:val="20"/>
                <w:szCs w:val="20"/>
                <w:color w:val="auto"/>
              </w:rPr>
            </w:pPr>
            <w:r>
              <w:rPr>
                <w:rFonts w:ascii="Arial" w:cs="Arial" w:eastAsia="Arial" w:hAnsi="Arial"/>
                <w:sz w:val="11"/>
                <w:szCs w:val="11"/>
                <w:b w:val="1"/>
                <w:bCs w:val="1"/>
                <w:color w:val="auto"/>
                <w:w w:val="97"/>
              </w:rPr>
              <w:t>2023</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41"/>
        </w:trPr>
        <w:tc>
          <w:tcPr>
            <w:tcW w:w="8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220"/>
              <w:spacing w:after="0"/>
              <w:rPr>
                <w:sz w:val="20"/>
                <w:szCs w:val="20"/>
                <w:color w:val="auto"/>
              </w:rPr>
            </w:pPr>
            <w:r>
              <w:rPr>
                <w:rFonts w:ascii="Arial" w:cs="Arial" w:eastAsia="Arial" w:hAnsi="Arial"/>
                <w:sz w:val="11"/>
                <w:szCs w:val="11"/>
                <w:b w:val="1"/>
                <w:bCs w:val="1"/>
                <w:color w:val="auto"/>
                <w:w w:val="98"/>
              </w:rPr>
              <w:t>(Unaudited)</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28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160"/>
              <w:spacing w:after="0"/>
              <w:rPr>
                <w:sz w:val="20"/>
                <w:szCs w:val="20"/>
                <w:color w:val="auto"/>
              </w:rPr>
            </w:pPr>
            <w:r>
              <w:rPr>
                <w:rFonts w:ascii="Arial" w:cs="Arial" w:eastAsia="Arial" w:hAnsi="Arial"/>
                <w:sz w:val="12"/>
                <w:szCs w:val="12"/>
                <w:color w:val="auto"/>
              </w:rPr>
              <w:t>Cash and cash equivalents</w:t>
            </w:r>
          </w:p>
        </w:tc>
        <w:tc>
          <w:tcPr>
            <w:tcW w:w="240" w:type="dxa"/>
            <w:vAlign w:val="bottom"/>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111,738</w:t>
            </w:r>
          </w:p>
        </w:tc>
        <w:tc>
          <w:tcPr>
            <w:tcW w:w="3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169,319</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Restricted cash</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40,468</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20,467</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Investments in marketable equity securities and other investments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661,306</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622,408</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Accounts receivable, net</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468,363</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560,779</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Inventories and contracts in progress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259,224</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226,811</w:t>
            </w:r>
          </w:p>
        </w:tc>
        <w:tc>
          <w:tcPr>
            <w:tcW w:w="0" w:type="dxa"/>
            <w:vAlign w:val="bottom"/>
          </w:tcPr>
          <w:p>
            <w:pPr>
              <w:spacing w:after="0"/>
              <w:rPr>
                <w:sz w:val="1"/>
                <w:szCs w:val="1"/>
                <w:color w:val="auto"/>
              </w:rPr>
            </w:pPr>
          </w:p>
        </w:tc>
      </w:tr>
      <w:tr>
        <w:trPr>
          <w:trHeight w:val="182"/>
        </w:trPr>
        <w:tc>
          <w:tcPr>
            <w:tcW w:w="8280" w:type="dxa"/>
            <w:vAlign w:val="bottom"/>
          </w:tcPr>
          <w:p>
            <w:pPr>
              <w:ind w:left="160"/>
              <w:spacing w:after="0"/>
              <w:rPr>
                <w:sz w:val="20"/>
                <w:szCs w:val="20"/>
                <w:color w:val="auto"/>
              </w:rPr>
            </w:pPr>
            <w:r>
              <w:rPr>
                <w:rFonts w:ascii="Arial" w:cs="Arial" w:eastAsia="Arial" w:hAnsi="Arial"/>
                <w:sz w:val="12"/>
                <w:szCs w:val="12"/>
                <w:color w:val="auto"/>
              </w:rPr>
              <w:t>Prepaid expenses</w:t>
            </w:r>
          </w:p>
        </w:tc>
        <w:tc>
          <w:tcPr>
            <w:tcW w:w="240" w:type="dxa"/>
            <w:vAlign w:val="bottom"/>
          </w:tcPr>
          <w:p>
            <w:pPr>
              <w:spacing w:after="0"/>
              <w:rPr>
                <w:sz w:val="15"/>
                <w:szCs w:val="15"/>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119,100</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97,450</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Income taxes receivable</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2,048</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9,313</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Other current assets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3,683</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1,547</w:t>
            </w:r>
          </w:p>
        </w:tc>
        <w:tc>
          <w:tcPr>
            <w:tcW w:w="0" w:type="dxa"/>
            <w:vAlign w:val="bottom"/>
          </w:tcPr>
          <w:p>
            <w:pPr>
              <w:spacing w:after="0"/>
              <w:rPr>
                <w:sz w:val="1"/>
                <w:szCs w:val="1"/>
                <w:color w:val="auto"/>
              </w:rPr>
            </w:pPr>
          </w:p>
        </w:tc>
      </w:tr>
      <w:tr>
        <w:trPr>
          <w:trHeight w:val="164"/>
        </w:trPr>
        <w:tc>
          <w:tcPr>
            <w:tcW w:w="8280" w:type="dxa"/>
            <w:vAlign w:val="bottom"/>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1,665,930</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1,708,094</w:t>
            </w:r>
          </w:p>
        </w:tc>
        <w:tc>
          <w:tcPr>
            <w:tcW w:w="0" w:type="dxa"/>
            <w:vAlign w:val="bottom"/>
          </w:tcPr>
          <w:p>
            <w:pPr>
              <w:spacing w:after="0"/>
              <w:rPr>
                <w:sz w:val="1"/>
                <w:szCs w:val="1"/>
                <w:color w:val="auto"/>
              </w:rPr>
            </w:pPr>
          </w:p>
        </w:tc>
      </w:tr>
      <w:tr>
        <w:trPr>
          <w:trHeight w:val="169"/>
        </w:trPr>
        <w:tc>
          <w:tcPr>
            <w:tcW w:w="8280" w:type="dxa"/>
            <w:vAlign w:val="bottom"/>
          </w:tcPr>
          <w:p>
            <w:pPr>
              <w:spacing w:after="0"/>
              <w:rPr>
                <w:sz w:val="20"/>
                <w:szCs w:val="20"/>
                <w:color w:val="auto"/>
              </w:rPr>
            </w:pPr>
            <w:r>
              <w:rPr>
                <w:rFonts w:ascii="Arial" w:cs="Arial" w:eastAsia="Arial" w:hAnsi="Arial"/>
                <w:sz w:val="12"/>
                <w:szCs w:val="12"/>
                <w:b w:val="1"/>
                <w:bCs w:val="1"/>
                <w:color w:val="auto"/>
              </w:rPr>
              <w:t>Property, Plant and Equipment, Net</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511,182</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503,000</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Lease Right-of-Use Assets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420,357</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429,403</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Investments in Affiliates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198,261</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186,419</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Goodwill, Net</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1,568,020</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1,560,953</w:t>
            </w:r>
          </w:p>
        </w:tc>
        <w:tc>
          <w:tcPr>
            <w:tcW w:w="0" w:type="dxa"/>
            <w:vAlign w:val="bottom"/>
          </w:tcPr>
          <w:p>
            <w:pPr>
              <w:spacing w:after="0"/>
              <w:rPr>
                <w:sz w:val="1"/>
                <w:szCs w:val="1"/>
                <w:color w:val="auto"/>
              </w:rPr>
            </w:pPr>
          </w:p>
        </w:tc>
      </w:tr>
      <w:tr>
        <w:trPr>
          <w:trHeight w:val="182"/>
        </w:trPr>
        <w:tc>
          <w:tcPr>
            <w:tcW w:w="8280" w:type="dxa"/>
            <w:vAlign w:val="bottom"/>
          </w:tcPr>
          <w:p>
            <w:pPr>
              <w:spacing w:after="0"/>
              <w:rPr>
                <w:sz w:val="20"/>
                <w:szCs w:val="20"/>
                <w:color w:val="auto"/>
              </w:rPr>
            </w:pPr>
            <w:r>
              <w:rPr>
                <w:rFonts w:ascii="Arial" w:cs="Arial" w:eastAsia="Arial" w:hAnsi="Arial"/>
                <w:sz w:val="12"/>
                <w:szCs w:val="12"/>
                <w:b w:val="1"/>
                <w:bCs w:val="1"/>
                <w:color w:val="auto"/>
              </w:rPr>
              <w:t>Indefinite-Lived Intangible Assets</w:t>
            </w:r>
          </w:p>
        </w:tc>
        <w:tc>
          <w:tcPr>
            <w:tcW w:w="240" w:type="dxa"/>
            <w:vAlign w:val="bottom"/>
          </w:tcPr>
          <w:p>
            <w:pPr>
              <w:spacing w:after="0"/>
              <w:rPr>
                <w:sz w:val="15"/>
                <w:szCs w:val="15"/>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181,026</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178,934</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Amortized Intangible Assets, Net</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134,363</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161,422</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Prepaid Pension Cost</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1,684,914</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1,658,046</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Deferred Income Taxes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6,850</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6,812</w:t>
            </w:r>
          </w:p>
        </w:tc>
        <w:tc>
          <w:tcPr>
            <w:tcW w:w="0" w:type="dxa"/>
            <w:vAlign w:val="bottom"/>
          </w:tcPr>
          <w:p>
            <w:pPr>
              <w:spacing w:after="0"/>
              <w:rPr>
                <w:sz w:val="1"/>
                <w:szCs w:val="1"/>
                <w:color w:val="auto"/>
              </w:rPr>
            </w:pPr>
          </w:p>
        </w:tc>
      </w:tr>
      <w:tr>
        <w:trPr>
          <w:trHeight w:val="175"/>
        </w:trPr>
        <w:tc>
          <w:tcPr>
            <w:tcW w:w="8280" w:type="dxa"/>
            <w:vAlign w:val="bottom"/>
          </w:tcPr>
          <w:p>
            <w:pPr>
              <w:spacing w:after="0"/>
              <w:rPr>
                <w:sz w:val="20"/>
                <w:szCs w:val="20"/>
                <w:color w:val="auto"/>
              </w:rPr>
            </w:pPr>
            <w:r>
              <w:rPr>
                <w:rFonts w:ascii="Arial" w:cs="Arial" w:eastAsia="Arial" w:hAnsi="Arial"/>
                <w:sz w:val="12"/>
                <w:szCs w:val="12"/>
                <w:b w:val="1"/>
                <w:bCs w:val="1"/>
                <w:color w:val="auto"/>
              </w:rPr>
              <w:t>Deferred Charges and Other Assets (includes $174 and $646 of restricted cash)</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233,055</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189,132</w:t>
            </w:r>
          </w:p>
        </w:tc>
        <w:tc>
          <w:tcPr>
            <w:tcW w:w="0" w:type="dxa"/>
            <w:vAlign w:val="bottom"/>
          </w:tcPr>
          <w:p>
            <w:pPr>
              <w:spacing w:after="0"/>
              <w:rPr>
                <w:sz w:val="1"/>
                <w:szCs w:val="1"/>
                <w:color w:val="auto"/>
              </w:rPr>
            </w:pPr>
          </w:p>
        </w:tc>
      </w:tr>
      <w:tr>
        <w:trPr>
          <w:trHeight w:val="165"/>
        </w:trPr>
        <w:tc>
          <w:tcPr>
            <w:tcW w:w="8280" w:type="dxa"/>
            <w:vAlign w:val="bottom"/>
          </w:tcPr>
          <w:p>
            <w:pPr>
              <w:ind w:left="340"/>
              <w:spacing w:after="0"/>
              <w:rPr>
                <w:sz w:val="20"/>
                <w:szCs w:val="20"/>
                <w:color w:val="auto"/>
              </w:rPr>
            </w:pPr>
            <w:r>
              <w:rPr>
                <w:rFonts w:ascii="Arial" w:cs="Arial" w:eastAsia="Arial" w:hAnsi="Arial"/>
                <w:sz w:val="12"/>
                <w:szCs w:val="12"/>
                <w:b w:val="1"/>
                <w:bCs w:val="1"/>
                <w:color w:val="auto"/>
              </w:rPr>
              <w:t>Total Assets</w:t>
            </w: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6,603,958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6,582,215</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160"/>
              <w:spacing w:after="0"/>
              <w:rPr>
                <w:sz w:val="20"/>
                <w:szCs w:val="20"/>
                <w:color w:val="auto"/>
              </w:rPr>
            </w:pPr>
            <w:r>
              <w:rPr>
                <w:rFonts w:ascii="Arial" w:cs="Arial" w:eastAsia="Arial" w:hAnsi="Arial"/>
                <w:sz w:val="12"/>
                <w:szCs w:val="12"/>
                <w:color w:val="auto"/>
              </w:rPr>
              <w:t>Accounts payable and accrued liabilities</w:t>
            </w:r>
          </w:p>
        </w:tc>
        <w:tc>
          <w:tcPr>
            <w:tcW w:w="240" w:type="dxa"/>
            <w:vAlign w:val="bottom"/>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559,153</w:t>
            </w:r>
          </w:p>
        </w:tc>
        <w:tc>
          <w:tcPr>
            <w:tcW w:w="3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563,005</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Deferred revenue</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319,549</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381,416</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Income taxes payable</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10,305</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3,766</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Current portion of lease liabilities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70,431</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70,007</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Current portion of long-term debt</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141,161</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155,813</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Dividends declared</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7,788</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828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1,108,387</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1,174,007</w:t>
            </w:r>
          </w:p>
        </w:tc>
        <w:tc>
          <w:tcPr>
            <w:tcW w:w="0" w:type="dxa"/>
            <w:vAlign w:val="bottom"/>
          </w:tcPr>
          <w:p>
            <w:pPr>
              <w:spacing w:after="0"/>
              <w:rPr>
                <w:sz w:val="1"/>
                <w:szCs w:val="1"/>
                <w:color w:val="auto"/>
              </w:rPr>
            </w:pPr>
          </w:p>
        </w:tc>
      </w:tr>
      <w:tr>
        <w:trPr>
          <w:trHeight w:val="169"/>
        </w:trPr>
        <w:tc>
          <w:tcPr>
            <w:tcW w:w="8280" w:type="dxa"/>
            <w:vAlign w:val="bottom"/>
          </w:tcPr>
          <w:p>
            <w:pPr>
              <w:spacing w:after="0"/>
              <w:rPr>
                <w:sz w:val="20"/>
                <w:szCs w:val="20"/>
                <w:color w:val="auto"/>
              </w:rPr>
            </w:pPr>
            <w:r>
              <w:rPr>
                <w:rFonts w:ascii="Arial" w:cs="Arial" w:eastAsia="Arial" w:hAnsi="Arial"/>
                <w:sz w:val="12"/>
                <w:szCs w:val="12"/>
                <w:b w:val="1"/>
                <w:bCs w:val="1"/>
                <w:color w:val="auto"/>
              </w:rPr>
              <w:t>Accrued Compensation and Related Benefits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137,588</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134,921</w:t>
            </w:r>
          </w:p>
        </w:tc>
        <w:tc>
          <w:tcPr>
            <w:tcW w:w="0" w:type="dxa"/>
            <w:vAlign w:val="bottom"/>
          </w:tcPr>
          <w:p>
            <w:pPr>
              <w:spacing w:after="0"/>
              <w:rPr>
                <w:sz w:val="1"/>
                <w:szCs w:val="1"/>
                <w:color w:val="auto"/>
              </w:rPr>
            </w:pPr>
          </w:p>
        </w:tc>
      </w:tr>
      <w:tr>
        <w:trPr>
          <w:trHeight w:val="182"/>
        </w:trPr>
        <w:tc>
          <w:tcPr>
            <w:tcW w:w="8280" w:type="dxa"/>
            <w:vAlign w:val="bottom"/>
          </w:tcPr>
          <w:p>
            <w:pPr>
              <w:spacing w:after="0"/>
              <w:rPr>
                <w:sz w:val="20"/>
                <w:szCs w:val="20"/>
                <w:color w:val="auto"/>
              </w:rPr>
            </w:pPr>
            <w:r>
              <w:rPr>
                <w:rFonts w:ascii="Arial" w:cs="Arial" w:eastAsia="Arial" w:hAnsi="Arial"/>
                <w:sz w:val="12"/>
                <w:szCs w:val="12"/>
                <w:b w:val="1"/>
                <w:bCs w:val="1"/>
                <w:color w:val="auto"/>
              </w:rPr>
              <w:t>Other Liabilities</w:t>
            </w:r>
          </w:p>
        </w:tc>
        <w:tc>
          <w:tcPr>
            <w:tcW w:w="240" w:type="dxa"/>
            <w:vAlign w:val="bottom"/>
          </w:tcPr>
          <w:p>
            <w:pPr>
              <w:spacing w:after="0"/>
              <w:rPr>
                <w:sz w:val="15"/>
                <w:szCs w:val="15"/>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32,974</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37,506</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Deferred Income Taxes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485,467</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466,275</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Mandatorily Redeemable Noncontrolling Interest</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31,136</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30,845</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Lease Liabilities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383,318</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393,626</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Long-Term Debt</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565,564</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570,547</w:t>
            </w:r>
          </w:p>
        </w:tc>
        <w:tc>
          <w:tcPr>
            <w:tcW w:w="0" w:type="dxa"/>
            <w:vAlign w:val="bottom"/>
          </w:tcPr>
          <w:p>
            <w:pPr>
              <w:spacing w:after="0"/>
              <w:rPr>
                <w:sz w:val="1"/>
                <w:szCs w:val="1"/>
                <w:color w:val="auto"/>
              </w:rPr>
            </w:pPr>
          </w:p>
        </w:tc>
      </w:tr>
      <w:tr>
        <w:trPr>
          <w:trHeight w:val="164"/>
        </w:trPr>
        <w:tc>
          <w:tcPr>
            <w:tcW w:w="8280" w:type="dxa"/>
            <w:vAlign w:val="bottom"/>
          </w:tcPr>
          <w:p>
            <w:pPr>
              <w:ind w:left="340"/>
              <w:spacing w:after="0"/>
              <w:rPr>
                <w:sz w:val="20"/>
                <w:szCs w:val="20"/>
                <w:color w:val="auto"/>
              </w:rPr>
            </w:pPr>
            <w:r>
              <w:rPr>
                <w:rFonts w:ascii="Arial" w:cs="Arial" w:eastAsia="Arial" w:hAnsi="Arial"/>
                <w:sz w:val="12"/>
                <w:szCs w:val="12"/>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2,744,434</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2,807,727</w:t>
            </w:r>
          </w:p>
        </w:tc>
        <w:tc>
          <w:tcPr>
            <w:tcW w:w="0" w:type="dxa"/>
            <w:vAlign w:val="bottom"/>
          </w:tcPr>
          <w:p>
            <w:pPr>
              <w:spacing w:after="0"/>
              <w:rPr>
                <w:sz w:val="1"/>
                <w:szCs w:val="1"/>
                <w:color w:val="auto"/>
              </w:rPr>
            </w:pPr>
          </w:p>
        </w:tc>
      </w:tr>
      <w:tr>
        <w:trPr>
          <w:trHeight w:val="159"/>
        </w:trPr>
        <w:tc>
          <w:tcPr>
            <w:tcW w:w="8280" w:type="dxa"/>
            <w:vAlign w:val="bottom"/>
          </w:tcPr>
          <w:p>
            <w:pPr>
              <w:spacing w:after="0"/>
              <w:rPr>
                <w:sz w:val="20"/>
                <w:szCs w:val="20"/>
                <w:color w:val="auto"/>
              </w:rPr>
            </w:pPr>
            <w:r>
              <w:rPr>
                <w:rFonts w:ascii="Arial" w:cs="Arial" w:eastAsia="Arial" w:hAnsi="Arial"/>
                <w:sz w:val="12"/>
                <w:szCs w:val="12"/>
                <w:b w:val="1"/>
                <w:bCs w:val="1"/>
                <w:color w:val="auto"/>
              </w:rPr>
              <w:t xml:space="preserve">Commitments and Contingencies </w:t>
            </w:r>
            <w:r>
              <w:rPr>
                <w:rFonts w:ascii="Arial" w:cs="Arial" w:eastAsia="Arial" w:hAnsi="Arial"/>
                <w:sz w:val="12"/>
                <w:szCs w:val="12"/>
                <w:color w:val="auto"/>
              </w:rPr>
              <w:t>(Note 14)</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80" w:type="dxa"/>
            <w:vAlign w:val="bottom"/>
          </w:tcPr>
          <w:p>
            <w:pPr>
              <w:spacing w:after="0"/>
              <w:rPr>
                <w:sz w:val="20"/>
                <w:szCs w:val="20"/>
                <w:color w:val="auto"/>
              </w:rPr>
            </w:pPr>
            <w:r>
              <w:rPr>
                <w:rFonts w:ascii="Arial" w:cs="Arial" w:eastAsia="Arial" w:hAnsi="Arial"/>
                <w:sz w:val="12"/>
                <w:szCs w:val="12"/>
                <w:b w:val="1"/>
                <w:bCs w:val="1"/>
                <w:color w:val="auto"/>
              </w:rPr>
              <w:t>Redeemable Noncontrolling Interests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26,999</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21,827</w:t>
            </w:r>
          </w:p>
        </w:tc>
        <w:tc>
          <w:tcPr>
            <w:tcW w:w="0" w:type="dxa"/>
            <w:vAlign w:val="bottom"/>
          </w:tcPr>
          <w:p>
            <w:pPr>
              <w:spacing w:after="0"/>
              <w:rPr>
                <w:sz w:val="1"/>
                <w:szCs w:val="1"/>
                <w:color w:val="auto"/>
              </w:rPr>
            </w:pPr>
          </w:p>
        </w:tc>
      </w:tr>
      <w:tr>
        <w:trPr>
          <w:trHeight w:val="168"/>
        </w:trPr>
        <w:tc>
          <w:tcPr>
            <w:tcW w:w="8280" w:type="dxa"/>
            <w:vAlign w:val="bottom"/>
          </w:tcPr>
          <w:p>
            <w:pPr>
              <w:spacing w:after="0"/>
              <w:rPr>
                <w:sz w:val="20"/>
                <w:szCs w:val="20"/>
                <w:color w:val="auto"/>
              </w:rPr>
            </w:pPr>
            <w:r>
              <w:rPr>
                <w:rFonts w:ascii="Arial" w:cs="Arial" w:eastAsia="Arial" w:hAnsi="Arial"/>
                <w:sz w:val="12"/>
                <w:szCs w:val="12"/>
                <w:b w:val="1"/>
                <w:bCs w:val="1"/>
                <w:color w:val="auto"/>
              </w:rPr>
              <w:t>Preferred Stock</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8280" w:type="dxa"/>
            <w:vAlign w:val="bottom"/>
          </w:tcPr>
          <w:p>
            <w:pPr>
              <w:spacing w:after="0"/>
              <w:rPr>
                <w:sz w:val="20"/>
                <w:szCs w:val="20"/>
                <w:color w:val="auto"/>
              </w:rPr>
            </w:pPr>
            <w:r>
              <w:rPr>
                <w:rFonts w:ascii="Arial" w:cs="Arial" w:eastAsia="Arial" w:hAnsi="Arial"/>
                <w:sz w:val="12"/>
                <w:szCs w:val="12"/>
                <w:b w:val="1"/>
                <w:bCs w:val="1"/>
                <w:color w:val="auto"/>
              </w:rPr>
              <w:t>Common Stockholders’ Equity</w:t>
            </w:r>
          </w:p>
        </w:tc>
        <w:tc>
          <w:tcPr>
            <w:tcW w:w="240" w:type="dxa"/>
            <w:vAlign w:val="bottom"/>
          </w:tcPr>
          <w:p>
            <w:pPr>
              <w:spacing w:after="0"/>
              <w:rPr>
                <w:sz w:val="13"/>
                <w:szCs w:val="13"/>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20,000</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Common stock</w:t>
            </w:r>
          </w:p>
        </w:tc>
        <w:tc>
          <w:tcPr>
            <w:tcW w:w="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20,000</w:t>
            </w:r>
          </w:p>
        </w:tc>
        <w:tc>
          <w:tcPr>
            <w:tcW w:w="0" w:type="dxa"/>
            <w:vAlign w:val="bottom"/>
          </w:tcPr>
          <w:p>
            <w:pPr>
              <w:spacing w:after="0"/>
              <w:rPr>
                <w:sz w:val="1"/>
                <w:szCs w:val="1"/>
                <w:color w:val="auto"/>
              </w:rPr>
            </w:pPr>
          </w:p>
        </w:tc>
      </w:tr>
      <w:tr>
        <w:trPr>
          <w:trHeight w:val="182"/>
        </w:trPr>
        <w:tc>
          <w:tcPr>
            <w:tcW w:w="8280" w:type="dxa"/>
            <w:vAlign w:val="bottom"/>
          </w:tcPr>
          <w:p>
            <w:pPr>
              <w:ind w:left="160"/>
              <w:spacing w:after="0"/>
              <w:rPr>
                <w:sz w:val="20"/>
                <w:szCs w:val="20"/>
                <w:color w:val="auto"/>
              </w:rPr>
            </w:pPr>
            <w:r>
              <w:rPr>
                <w:rFonts w:ascii="Arial" w:cs="Arial" w:eastAsia="Arial" w:hAnsi="Arial"/>
                <w:sz w:val="12"/>
                <w:szCs w:val="12"/>
                <w:color w:val="auto"/>
              </w:rPr>
              <w:t>Capital in excess of par value</w:t>
            </w:r>
          </w:p>
        </w:tc>
        <w:tc>
          <w:tcPr>
            <w:tcW w:w="240" w:type="dxa"/>
            <w:vAlign w:val="bottom"/>
          </w:tcPr>
          <w:p>
            <w:pPr>
              <w:spacing w:after="0"/>
              <w:rPr>
                <w:sz w:val="15"/>
                <w:szCs w:val="15"/>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385,399</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390,438</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Retained earnings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7,314,654</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7,163,128</w:t>
            </w:r>
          </w:p>
        </w:tc>
        <w:tc>
          <w:tcPr>
            <w:tcW w:w="0" w:type="dxa"/>
            <w:vAlign w:val="bottom"/>
          </w:tcPr>
          <w:p>
            <w:pPr>
              <w:spacing w:after="0"/>
              <w:rPr>
                <w:sz w:val="1"/>
                <w:szCs w:val="1"/>
                <w:color w:val="auto"/>
              </w:rPr>
            </w:pPr>
          </w:p>
        </w:tc>
      </w:tr>
      <w:tr>
        <w:trPr>
          <w:trHeight w:val="164"/>
        </w:trPr>
        <w:tc>
          <w:tcPr>
            <w:tcW w:w="8280" w:type="dxa"/>
            <w:vAlign w:val="bottom"/>
          </w:tcPr>
          <w:p>
            <w:pPr>
              <w:ind w:left="160"/>
              <w:spacing w:after="0"/>
              <w:rPr>
                <w:sz w:val="20"/>
                <w:szCs w:val="20"/>
                <w:color w:val="auto"/>
              </w:rPr>
            </w:pPr>
            <w:r>
              <w:rPr>
                <w:rFonts w:ascii="Arial" w:cs="Arial" w:eastAsia="Arial" w:hAnsi="Arial"/>
                <w:sz w:val="12"/>
                <w:szCs w:val="12"/>
                <w:color w:val="auto"/>
              </w:rPr>
              <w:t>Accumulated other comprehensive income, net of taxes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80" w:type="dxa"/>
            <w:vAlign w:val="bottom"/>
          </w:tcPr>
          <w:p>
            <w:pPr>
              <w:ind w:left="340"/>
              <w:spacing w:after="0"/>
              <w:rPr>
                <w:sz w:val="20"/>
                <w:szCs w:val="20"/>
                <w:color w:val="auto"/>
              </w:rPr>
            </w:pPr>
            <w:r>
              <w:rPr>
                <w:rFonts w:ascii="Arial" w:cs="Arial" w:eastAsia="Arial" w:hAnsi="Arial"/>
                <w:sz w:val="12"/>
                <w:szCs w:val="12"/>
                <w:color w:val="auto"/>
              </w:rPr>
              <w:t>Cumulative foreign currency translation adjustment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(43,260)</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(54,638)</w:t>
            </w:r>
          </w:p>
        </w:tc>
        <w:tc>
          <w:tcPr>
            <w:tcW w:w="0" w:type="dxa"/>
            <w:vAlign w:val="bottom"/>
          </w:tcPr>
          <w:p>
            <w:pPr>
              <w:spacing w:after="0"/>
              <w:rPr>
                <w:sz w:val="1"/>
                <w:szCs w:val="1"/>
                <w:color w:val="auto"/>
              </w:rPr>
            </w:pPr>
          </w:p>
        </w:tc>
      </w:tr>
      <w:tr>
        <w:trPr>
          <w:trHeight w:val="172"/>
        </w:trPr>
        <w:tc>
          <w:tcPr>
            <w:tcW w:w="8280" w:type="dxa"/>
            <w:vAlign w:val="bottom"/>
          </w:tcPr>
          <w:p>
            <w:pPr>
              <w:ind w:left="340"/>
              <w:spacing w:after="0"/>
              <w:rPr>
                <w:sz w:val="20"/>
                <w:szCs w:val="20"/>
                <w:color w:val="auto"/>
              </w:rPr>
            </w:pPr>
            <w:r>
              <w:rPr>
                <w:rFonts w:ascii="Arial" w:cs="Arial" w:eastAsia="Arial" w:hAnsi="Arial"/>
                <w:sz w:val="12"/>
                <w:szCs w:val="12"/>
                <w:color w:val="auto"/>
              </w:rPr>
              <w:t>Unrealized gain on pensions and other postretirement plans</w:t>
            </w:r>
          </w:p>
        </w:tc>
        <w:tc>
          <w:tcPr>
            <w:tcW w:w="24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373,453</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388,591</w:t>
            </w:r>
          </w:p>
        </w:tc>
        <w:tc>
          <w:tcPr>
            <w:tcW w:w="0" w:type="dxa"/>
            <w:vAlign w:val="bottom"/>
          </w:tcPr>
          <w:p>
            <w:pPr>
              <w:spacing w:after="0"/>
              <w:rPr>
                <w:sz w:val="1"/>
                <w:szCs w:val="1"/>
                <w:color w:val="auto"/>
              </w:rPr>
            </w:pPr>
          </w:p>
        </w:tc>
      </w:tr>
      <w:tr>
        <w:trPr>
          <w:trHeight w:val="182"/>
        </w:trPr>
        <w:tc>
          <w:tcPr>
            <w:tcW w:w="8280" w:type="dxa"/>
            <w:vAlign w:val="bottom"/>
          </w:tcPr>
          <w:p>
            <w:pPr>
              <w:ind w:left="340"/>
              <w:spacing w:after="0"/>
              <w:rPr>
                <w:sz w:val="20"/>
                <w:szCs w:val="20"/>
                <w:color w:val="auto"/>
              </w:rPr>
            </w:pPr>
            <w:r>
              <w:rPr>
                <w:rFonts w:ascii="Arial" w:cs="Arial" w:eastAsia="Arial" w:hAnsi="Arial"/>
                <w:sz w:val="12"/>
                <w:szCs w:val="12"/>
                <w:color w:val="auto"/>
              </w:rPr>
              <w:t>Cash flow hedges</w:t>
            </w:r>
          </w:p>
        </w:tc>
        <w:tc>
          <w:tcPr>
            <w:tcW w:w="240" w:type="dxa"/>
            <w:vAlign w:val="bottom"/>
          </w:tcPr>
          <w:p>
            <w:pPr>
              <w:spacing w:after="0"/>
              <w:rPr>
                <w:sz w:val="15"/>
                <w:szCs w:val="15"/>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2,397</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2,198</w:t>
            </w:r>
          </w:p>
        </w:tc>
        <w:tc>
          <w:tcPr>
            <w:tcW w:w="0" w:type="dxa"/>
            <w:vAlign w:val="bottom"/>
          </w:tcPr>
          <w:p>
            <w:pPr>
              <w:spacing w:after="0"/>
              <w:rPr>
                <w:sz w:val="1"/>
                <w:szCs w:val="1"/>
                <w:color w:val="auto"/>
              </w:rPr>
            </w:pPr>
          </w:p>
        </w:tc>
      </w:tr>
      <w:tr>
        <w:trPr>
          <w:trHeight w:val="172"/>
        </w:trPr>
        <w:tc>
          <w:tcPr>
            <w:tcW w:w="8280" w:type="dxa"/>
            <w:vAlign w:val="bottom"/>
          </w:tcPr>
          <w:p>
            <w:pPr>
              <w:ind w:left="160"/>
              <w:spacing w:after="0"/>
              <w:rPr>
                <w:sz w:val="20"/>
                <w:szCs w:val="20"/>
                <w:color w:val="auto"/>
              </w:rPr>
            </w:pPr>
            <w:r>
              <w:rPr>
                <w:rFonts w:ascii="Arial" w:cs="Arial" w:eastAsia="Arial" w:hAnsi="Arial"/>
                <w:sz w:val="12"/>
                <w:szCs w:val="12"/>
                <w:color w:val="auto"/>
              </w:rPr>
              <w:t>Cost of Class B common stock held in treasury</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(4,243,166)</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(4,178,334)</w:t>
            </w:r>
          </w:p>
        </w:tc>
        <w:tc>
          <w:tcPr>
            <w:tcW w:w="0" w:type="dxa"/>
            <w:vAlign w:val="bottom"/>
          </w:tcPr>
          <w:p>
            <w:pPr>
              <w:spacing w:after="0"/>
              <w:rPr>
                <w:sz w:val="1"/>
                <w:szCs w:val="1"/>
                <w:color w:val="auto"/>
              </w:rPr>
            </w:pPr>
          </w:p>
        </w:tc>
      </w:tr>
      <w:tr>
        <w:trPr>
          <w:trHeight w:val="164"/>
        </w:trPr>
        <w:tc>
          <w:tcPr>
            <w:tcW w:w="8280" w:type="dxa"/>
            <w:vAlign w:val="bottom"/>
          </w:tcPr>
          <w:p>
            <w:pPr>
              <w:ind w:left="340"/>
              <w:spacing w:after="0"/>
              <w:rPr>
                <w:sz w:val="20"/>
                <w:szCs w:val="20"/>
                <w:color w:val="auto"/>
              </w:rPr>
            </w:pPr>
            <w:r>
              <w:rPr>
                <w:rFonts w:ascii="Arial" w:cs="Arial" w:eastAsia="Arial" w:hAnsi="Arial"/>
                <w:sz w:val="12"/>
                <w:szCs w:val="12"/>
                <w:b w:val="1"/>
                <w:bCs w:val="1"/>
                <w:color w:val="auto"/>
              </w:rPr>
              <w:t>Total Common Stockholders’ Equity</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3,809,477</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3,731,383</w:t>
            </w:r>
          </w:p>
        </w:tc>
        <w:tc>
          <w:tcPr>
            <w:tcW w:w="0" w:type="dxa"/>
            <w:vAlign w:val="bottom"/>
          </w:tcPr>
          <w:p>
            <w:pPr>
              <w:spacing w:after="0"/>
              <w:rPr>
                <w:sz w:val="1"/>
                <w:szCs w:val="1"/>
                <w:color w:val="auto"/>
              </w:rPr>
            </w:pPr>
          </w:p>
        </w:tc>
      </w:tr>
      <w:tr>
        <w:trPr>
          <w:trHeight w:val="166"/>
        </w:trPr>
        <w:tc>
          <w:tcPr>
            <w:tcW w:w="8280" w:type="dxa"/>
            <w:vAlign w:val="bottom"/>
          </w:tcPr>
          <w:p>
            <w:pPr>
              <w:spacing w:after="0"/>
              <w:rPr>
                <w:sz w:val="20"/>
                <w:szCs w:val="20"/>
                <w:color w:val="auto"/>
              </w:rPr>
            </w:pPr>
            <w:r>
              <w:rPr>
                <w:rFonts w:ascii="Arial" w:cs="Arial" w:eastAsia="Arial" w:hAnsi="Arial"/>
                <w:sz w:val="12"/>
                <w:szCs w:val="12"/>
                <w:b w:val="1"/>
                <w:bCs w:val="1"/>
                <w:color w:val="auto"/>
              </w:rPr>
              <w:t>Noncontrolling Interests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23,048</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21,278</w:t>
            </w:r>
          </w:p>
        </w:tc>
        <w:tc>
          <w:tcPr>
            <w:tcW w:w="0" w:type="dxa"/>
            <w:vAlign w:val="bottom"/>
          </w:tcPr>
          <w:p>
            <w:pPr>
              <w:spacing w:after="0"/>
              <w:rPr>
                <w:sz w:val="1"/>
                <w:szCs w:val="1"/>
                <w:color w:val="auto"/>
              </w:rPr>
            </w:pPr>
          </w:p>
        </w:tc>
      </w:tr>
      <w:tr>
        <w:trPr>
          <w:trHeight w:val="162"/>
        </w:trPr>
        <w:tc>
          <w:tcPr>
            <w:tcW w:w="8280" w:type="dxa"/>
            <w:vAlign w:val="bottom"/>
          </w:tcPr>
          <w:p>
            <w:pPr>
              <w:ind w:left="340"/>
              <w:spacing w:after="0"/>
              <w:rPr>
                <w:sz w:val="20"/>
                <w:szCs w:val="20"/>
                <w:color w:val="auto"/>
              </w:rPr>
            </w:pPr>
            <w:r>
              <w:rPr>
                <w:rFonts w:ascii="Arial" w:cs="Arial" w:eastAsia="Arial" w:hAnsi="Arial"/>
                <w:sz w:val="12"/>
                <w:szCs w:val="12"/>
                <w:b w:val="1"/>
                <w:bCs w:val="1"/>
                <w:color w:val="auto"/>
              </w:rPr>
              <w:t>Total Equity</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3,832,525</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3,752,661</w:t>
            </w:r>
          </w:p>
        </w:tc>
        <w:tc>
          <w:tcPr>
            <w:tcW w:w="0" w:type="dxa"/>
            <w:vAlign w:val="bottom"/>
          </w:tcPr>
          <w:p>
            <w:pPr>
              <w:spacing w:after="0"/>
              <w:rPr>
                <w:sz w:val="1"/>
                <w:szCs w:val="1"/>
                <w:color w:val="auto"/>
              </w:rPr>
            </w:pPr>
          </w:p>
        </w:tc>
      </w:tr>
      <w:tr>
        <w:trPr>
          <w:trHeight w:val="172"/>
        </w:trPr>
        <w:tc>
          <w:tcPr>
            <w:tcW w:w="8280" w:type="dxa"/>
            <w:vAlign w:val="bottom"/>
          </w:tcPr>
          <w:p>
            <w:pPr>
              <w:ind w:left="480"/>
              <w:spacing w:after="0"/>
              <w:rPr>
                <w:sz w:val="20"/>
                <w:szCs w:val="20"/>
                <w:color w:val="auto"/>
              </w:rPr>
            </w:pPr>
            <w:r>
              <w:rPr>
                <w:rFonts w:ascii="Arial" w:cs="Arial" w:eastAsia="Arial" w:hAnsi="Arial"/>
                <w:sz w:val="12"/>
                <w:szCs w:val="12"/>
                <w:b w:val="1"/>
                <w:bCs w:val="1"/>
                <w:color w:val="auto"/>
              </w:rPr>
              <w:t>Total Liabilities and Equity</w:t>
            </w: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6,603,958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6,582,215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1"/>
          <w:szCs w:val="1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GRAHAM HOLDINGS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 (UNAUDITED)</w:t>
      </w:r>
    </w:p>
    <w:p>
      <w:pPr>
        <w:spacing w:after="0" w:line="102" w:lineRule="exact"/>
        <w:rPr>
          <w:sz w:val="20"/>
          <w:szCs w:val="20"/>
          <w:color w:val="auto"/>
        </w:rPr>
      </w:pPr>
    </w:p>
    <w:p>
      <w:pPr>
        <w:ind w:left="9640"/>
        <w:spacing w:after="0"/>
        <w:rPr>
          <w:sz w:val="20"/>
          <w:szCs w:val="20"/>
          <w:color w:val="auto"/>
        </w:rPr>
      </w:pPr>
      <w:r>
        <w:rPr>
          <w:rFonts w:ascii="Arial" w:cs="Arial" w:eastAsia="Arial" w:hAnsi="Arial"/>
          <w:sz w:val="11"/>
          <w:szCs w:val="11"/>
          <w:b w:val="1"/>
          <w:bCs w:val="1"/>
          <w:color w:val="auto"/>
        </w:rPr>
        <w:t>Six Months Ended</w:t>
      </w:r>
    </w:p>
    <w:tbl>
      <w:tblPr>
        <w:tblLayout w:type="fixed"/>
        <w:tblInd w:w="20" w:type="dxa"/>
        <w:tblCellMar>
          <w:top w:w="0" w:type="dxa"/>
          <w:left w:w="0" w:type="dxa"/>
          <w:bottom w:w="0" w:type="dxa"/>
          <w:right w:w="0" w:type="dxa"/>
        </w:tblCellMar>
      </w:tblPr>
      <w:tr>
        <w:trPr>
          <w:trHeight w:val="148"/>
        </w:trPr>
        <w:tc>
          <w:tcPr>
            <w:tcW w:w="8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1"/>
                <w:szCs w:val="11"/>
                <w:b w:val="1"/>
                <w:bCs w:val="1"/>
                <w:color w:val="auto"/>
              </w:rPr>
              <w:t>June 30</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9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rPr>
              <w:t>2023</w:t>
            </w: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63"/>
        </w:trPr>
        <w:tc>
          <w:tcPr>
            <w:tcW w:w="894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940" w:type="dxa"/>
            <w:vAlign w:val="bottom"/>
          </w:tcPr>
          <w:p>
            <w:pPr>
              <w:spacing w:after="0"/>
              <w:rPr>
                <w:sz w:val="20"/>
                <w:szCs w:val="20"/>
                <w:color w:val="auto"/>
              </w:rPr>
            </w:pPr>
            <w:r>
              <w:rPr>
                <w:rFonts w:ascii="Arial" w:cs="Arial" w:eastAsia="Arial" w:hAnsi="Arial"/>
                <w:sz w:val="12"/>
                <w:szCs w:val="12"/>
                <w:b w:val="1"/>
                <w:bCs w:val="1"/>
                <w:color w:val="auto"/>
              </w:rPr>
              <w:t>Net Income</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177,148</w:t>
            </w: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29,951</w:t>
            </w:r>
          </w:p>
        </w:tc>
        <w:tc>
          <w:tcPr>
            <w:tcW w:w="0" w:type="dxa"/>
            <w:vAlign w:val="bottom"/>
          </w:tcPr>
          <w:p>
            <w:pPr>
              <w:spacing w:after="0"/>
              <w:rPr>
                <w:sz w:val="1"/>
                <w:szCs w:val="1"/>
                <w:color w:val="auto"/>
              </w:rPr>
            </w:pPr>
          </w:p>
        </w:tc>
      </w:tr>
      <w:tr>
        <w:trPr>
          <w:trHeight w:val="164"/>
        </w:trPr>
        <w:tc>
          <w:tcPr>
            <w:tcW w:w="8940" w:type="dxa"/>
            <w:vAlign w:val="bottom"/>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940" w:type="dxa"/>
            <w:vAlign w:val="bottom"/>
          </w:tcPr>
          <w:p>
            <w:pPr>
              <w:ind w:left="160"/>
              <w:spacing w:after="0"/>
              <w:rPr>
                <w:sz w:val="20"/>
                <w:szCs w:val="20"/>
                <w:color w:val="auto"/>
              </w:rPr>
            </w:pPr>
            <w:r>
              <w:rPr>
                <w:rFonts w:ascii="Arial" w:cs="Arial" w:eastAsia="Arial" w:hAnsi="Arial"/>
                <w:sz w:val="12"/>
                <w:szCs w:val="12"/>
                <w:color w:val="auto"/>
              </w:rPr>
              <w:t>Depreciation, amortization and long-lived asset impairments</w:t>
            </w:r>
          </w:p>
        </w:tc>
        <w:tc>
          <w:tcPr>
            <w:tcW w:w="26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69,121</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68,689</w:t>
            </w:r>
          </w:p>
        </w:tc>
        <w:tc>
          <w:tcPr>
            <w:tcW w:w="0" w:type="dxa"/>
            <w:vAlign w:val="bottom"/>
          </w:tcPr>
          <w:p>
            <w:pPr>
              <w:spacing w:after="0"/>
              <w:rPr>
                <w:sz w:val="1"/>
                <w:szCs w:val="1"/>
                <w:color w:val="auto"/>
              </w:rPr>
            </w:pPr>
          </w:p>
        </w:tc>
      </w:tr>
      <w:tr>
        <w:trPr>
          <w:trHeight w:val="182"/>
        </w:trPr>
        <w:tc>
          <w:tcPr>
            <w:tcW w:w="8940" w:type="dxa"/>
            <w:vAlign w:val="bottom"/>
          </w:tcPr>
          <w:p>
            <w:pPr>
              <w:ind w:left="160"/>
              <w:spacing w:after="0"/>
              <w:rPr>
                <w:sz w:val="20"/>
                <w:szCs w:val="20"/>
                <w:color w:val="auto"/>
              </w:rPr>
            </w:pPr>
            <w:r>
              <w:rPr>
                <w:rFonts w:ascii="Arial" w:cs="Arial" w:eastAsia="Arial" w:hAnsi="Arial"/>
                <w:sz w:val="12"/>
                <w:szCs w:val="12"/>
                <w:color w:val="auto"/>
              </w:rPr>
              <w:t>Amortization of lease right-of-use asset</w:t>
            </w:r>
          </w:p>
        </w:tc>
        <w:tc>
          <w:tcPr>
            <w:tcW w:w="26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33,245</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33,473</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Net pension benefit and special separation benefit expense</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(46,074)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(90,971)</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(Gain) loss on marketable equity securities and cost method investments, net</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(99,774)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118,628</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Gain on disposition of business, property, plant and equipment and investments, net</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(11,755)</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(2,265)</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Credit loss expense</w:t>
            </w:r>
          </w:p>
        </w:tc>
        <w:tc>
          <w:tcPr>
            <w:tcW w:w="2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1,909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2,218</w:t>
            </w:r>
          </w:p>
        </w:tc>
        <w:tc>
          <w:tcPr>
            <w:tcW w:w="0" w:type="dxa"/>
            <w:vAlign w:val="bottom"/>
          </w:tcPr>
          <w:p>
            <w:pPr>
              <w:spacing w:after="0"/>
              <w:rPr>
                <w:sz w:val="1"/>
                <w:szCs w:val="1"/>
                <w:color w:val="auto"/>
              </w:rPr>
            </w:pPr>
          </w:p>
        </w:tc>
      </w:tr>
      <w:tr>
        <w:trPr>
          <w:trHeight w:val="182"/>
        </w:trPr>
        <w:tc>
          <w:tcPr>
            <w:tcW w:w="8940" w:type="dxa"/>
            <w:vAlign w:val="bottom"/>
          </w:tcPr>
          <w:p>
            <w:pPr>
              <w:ind w:left="160"/>
              <w:spacing w:after="0"/>
              <w:rPr>
                <w:sz w:val="20"/>
                <w:szCs w:val="20"/>
                <w:color w:val="auto"/>
              </w:rPr>
            </w:pPr>
            <w:r>
              <w:rPr>
                <w:rFonts w:ascii="Arial" w:cs="Arial" w:eastAsia="Arial" w:hAnsi="Arial"/>
                <w:sz w:val="12"/>
                <w:szCs w:val="12"/>
                <w:color w:val="auto"/>
              </w:rPr>
              <w:t>Stock-based compensation expense</w:t>
            </w:r>
          </w:p>
        </w:tc>
        <w:tc>
          <w:tcPr>
            <w:tcW w:w="26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3,334</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3,102</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Foreign exchange (gain) loss</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(100)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1,525</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Equity in losses (earnings) of affiliates, net of distributions</w:t>
            </w:r>
          </w:p>
        </w:tc>
        <w:tc>
          <w:tcPr>
            <w:tcW w:w="2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8,386</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2,036</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Provision for deferred income taxes</w:t>
            </w:r>
          </w:p>
        </w:tc>
        <w:tc>
          <w:tcPr>
            <w:tcW w:w="2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26,224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5,795</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Accretion expense and change in fair value of contingent consideration liabilities</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(4,466)</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(2,655)</w:t>
            </w:r>
          </w:p>
        </w:tc>
        <w:tc>
          <w:tcPr>
            <w:tcW w:w="0" w:type="dxa"/>
            <w:vAlign w:val="bottom"/>
          </w:tcPr>
          <w:p>
            <w:pPr>
              <w:spacing w:after="0"/>
              <w:rPr>
                <w:sz w:val="1"/>
                <w:szCs w:val="1"/>
                <w:color w:val="auto"/>
              </w:rPr>
            </w:pPr>
          </w:p>
        </w:tc>
      </w:tr>
      <w:tr>
        <w:trPr>
          <w:trHeight w:val="164"/>
        </w:trPr>
        <w:tc>
          <w:tcPr>
            <w:tcW w:w="8940" w:type="dxa"/>
            <w:vAlign w:val="bottom"/>
          </w:tcPr>
          <w:p>
            <w:pPr>
              <w:ind w:left="160"/>
              <w:spacing w:after="0"/>
              <w:rPr>
                <w:sz w:val="20"/>
                <w:szCs w:val="20"/>
                <w:color w:val="auto"/>
              </w:rPr>
            </w:pPr>
            <w:r>
              <w:rPr>
                <w:rFonts w:ascii="Arial" w:cs="Arial" w:eastAsia="Arial" w:hAnsi="Arial"/>
                <w:sz w:val="12"/>
                <w:szCs w:val="12"/>
                <w:color w:val="auto"/>
              </w:rPr>
              <w:t>Change in operating assets and liabilities: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940" w:type="dxa"/>
            <w:vAlign w:val="bottom"/>
          </w:tcPr>
          <w:p>
            <w:pPr>
              <w:ind w:left="340"/>
              <w:spacing w:after="0"/>
              <w:rPr>
                <w:sz w:val="20"/>
                <w:szCs w:val="20"/>
                <w:color w:val="auto"/>
              </w:rPr>
            </w:pPr>
            <w:r>
              <w:rPr>
                <w:rFonts w:ascii="Arial" w:cs="Arial" w:eastAsia="Arial" w:hAnsi="Arial"/>
                <w:sz w:val="12"/>
                <w:szCs w:val="12"/>
                <w:color w:val="auto"/>
              </w:rPr>
              <w:t>Accounts receivable</w:t>
            </w:r>
          </w:p>
        </w:tc>
        <w:tc>
          <w:tcPr>
            <w:tcW w:w="2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93,496</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126,006</w:t>
            </w:r>
          </w:p>
        </w:tc>
        <w:tc>
          <w:tcPr>
            <w:tcW w:w="0" w:type="dxa"/>
            <w:vAlign w:val="bottom"/>
          </w:tcPr>
          <w:p>
            <w:pPr>
              <w:spacing w:after="0"/>
              <w:rPr>
                <w:sz w:val="1"/>
                <w:szCs w:val="1"/>
                <w:color w:val="auto"/>
              </w:rPr>
            </w:pPr>
          </w:p>
        </w:tc>
      </w:tr>
      <w:tr>
        <w:trPr>
          <w:trHeight w:val="172"/>
        </w:trPr>
        <w:tc>
          <w:tcPr>
            <w:tcW w:w="8940" w:type="dxa"/>
            <w:vAlign w:val="bottom"/>
          </w:tcPr>
          <w:p>
            <w:pPr>
              <w:ind w:left="340"/>
              <w:spacing w:after="0"/>
              <w:rPr>
                <w:sz w:val="20"/>
                <w:szCs w:val="20"/>
                <w:color w:val="auto"/>
              </w:rPr>
            </w:pPr>
            <w:r>
              <w:rPr>
                <w:rFonts w:ascii="Arial" w:cs="Arial" w:eastAsia="Arial" w:hAnsi="Arial"/>
                <w:sz w:val="12"/>
                <w:szCs w:val="12"/>
                <w:color w:val="auto"/>
              </w:rPr>
              <w:t>Inventories</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(32,276)</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(36,360)</w:t>
            </w:r>
          </w:p>
        </w:tc>
        <w:tc>
          <w:tcPr>
            <w:tcW w:w="0" w:type="dxa"/>
            <w:vAlign w:val="bottom"/>
          </w:tcPr>
          <w:p>
            <w:pPr>
              <w:spacing w:after="0"/>
              <w:rPr>
                <w:sz w:val="1"/>
                <w:szCs w:val="1"/>
                <w:color w:val="auto"/>
              </w:rPr>
            </w:pPr>
          </w:p>
        </w:tc>
      </w:tr>
      <w:tr>
        <w:trPr>
          <w:trHeight w:val="172"/>
        </w:trPr>
        <w:tc>
          <w:tcPr>
            <w:tcW w:w="8940" w:type="dxa"/>
            <w:vAlign w:val="bottom"/>
          </w:tcPr>
          <w:p>
            <w:pPr>
              <w:ind w:left="340"/>
              <w:spacing w:after="0"/>
              <w:rPr>
                <w:sz w:val="20"/>
                <w:szCs w:val="20"/>
                <w:color w:val="auto"/>
              </w:rPr>
            </w:pPr>
            <w:r>
              <w:rPr>
                <w:rFonts w:ascii="Arial" w:cs="Arial" w:eastAsia="Arial" w:hAnsi="Arial"/>
                <w:sz w:val="12"/>
                <w:szCs w:val="12"/>
                <w:color w:val="auto"/>
              </w:rPr>
              <w:t>Accounts payable and accrued liabilities</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(50,664)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(37,455)</w:t>
            </w:r>
          </w:p>
        </w:tc>
        <w:tc>
          <w:tcPr>
            <w:tcW w:w="0" w:type="dxa"/>
            <w:vAlign w:val="bottom"/>
          </w:tcPr>
          <w:p>
            <w:pPr>
              <w:spacing w:after="0"/>
              <w:rPr>
                <w:sz w:val="1"/>
                <w:szCs w:val="1"/>
                <w:color w:val="auto"/>
              </w:rPr>
            </w:pPr>
          </w:p>
        </w:tc>
      </w:tr>
      <w:tr>
        <w:trPr>
          <w:trHeight w:val="172"/>
        </w:trPr>
        <w:tc>
          <w:tcPr>
            <w:tcW w:w="8940" w:type="dxa"/>
            <w:vAlign w:val="bottom"/>
          </w:tcPr>
          <w:p>
            <w:pPr>
              <w:ind w:left="340"/>
              <w:spacing w:after="0"/>
              <w:rPr>
                <w:sz w:val="20"/>
                <w:szCs w:val="20"/>
                <w:color w:val="auto"/>
              </w:rPr>
            </w:pPr>
            <w:r>
              <w:rPr>
                <w:rFonts w:ascii="Arial" w:cs="Arial" w:eastAsia="Arial" w:hAnsi="Arial"/>
                <w:sz w:val="12"/>
                <w:szCs w:val="12"/>
                <w:color w:val="auto"/>
              </w:rPr>
              <w:t>Deferred revenue</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(58,505)</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(59,558)</w:t>
            </w:r>
          </w:p>
        </w:tc>
        <w:tc>
          <w:tcPr>
            <w:tcW w:w="0" w:type="dxa"/>
            <w:vAlign w:val="bottom"/>
          </w:tcPr>
          <w:p>
            <w:pPr>
              <w:spacing w:after="0"/>
              <w:rPr>
                <w:sz w:val="1"/>
                <w:szCs w:val="1"/>
                <w:color w:val="auto"/>
              </w:rPr>
            </w:pPr>
          </w:p>
        </w:tc>
      </w:tr>
      <w:tr>
        <w:trPr>
          <w:trHeight w:val="172"/>
        </w:trPr>
        <w:tc>
          <w:tcPr>
            <w:tcW w:w="8940" w:type="dxa"/>
            <w:vAlign w:val="bottom"/>
          </w:tcPr>
          <w:p>
            <w:pPr>
              <w:ind w:left="340"/>
              <w:spacing w:after="0"/>
              <w:rPr>
                <w:sz w:val="20"/>
                <w:szCs w:val="20"/>
                <w:color w:val="auto"/>
              </w:rPr>
            </w:pPr>
            <w:r>
              <w:rPr>
                <w:rFonts w:ascii="Arial" w:cs="Arial" w:eastAsia="Arial" w:hAnsi="Arial"/>
                <w:sz w:val="12"/>
                <w:szCs w:val="12"/>
                <w:color w:val="auto"/>
              </w:rPr>
              <w:t>Income taxes receivable/payable</w:t>
            </w:r>
          </w:p>
        </w:tc>
        <w:tc>
          <w:tcPr>
            <w:tcW w:w="2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13,908</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(8,284)</w:t>
            </w:r>
          </w:p>
        </w:tc>
        <w:tc>
          <w:tcPr>
            <w:tcW w:w="0" w:type="dxa"/>
            <w:vAlign w:val="bottom"/>
          </w:tcPr>
          <w:p>
            <w:pPr>
              <w:spacing w:after="0"/>
              <w:rPr>
                <w:sz w:val="1"/>
                <w:szCs w:val="1"/>
                <w:color w:val="auto"/>
              </w:rPr>
            </w:pPr>
          </w:p>
        </w:tc>
      </w:tr>
      <w:tr>
        <w:trPr>
          <w:trHeight w:val="182"/>
        </w:trPr>
        <w:tc>
          <w:tcPr>
            <w:tcW w:w="8940" w:type="dxa"/>
            <w:vAlign w:val="bottom"/>
          </w:tcPr>
          <w:p>
            <w:pPr>
              <w:ind w:left="340"/>
              <w:spacing w:after="0"/>
              <w:rPr>
                <w:sz w:val="20"/>
                <w:szCs w:val="20"/>
                <w:color w:val="auto"/>
              </w:rPr>
            </w:pPr>
            <w:r>
              <w:rPr>
                <w:rFonts w:ascii="Arial" w:cs="Arial" w:eastAsia="Arial" w:hAnsi="Arial"/>
                <w:sz w:val="12"/>
                <w:szCs w:val="12"/>
                <w:color w:val="auto"/>
              </w:rPr>
              <w:t>Lease liabilities</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(34,878)</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(40,872)</w:t>
            </w:r>
          </w:p>
        </w:tc>
        <w:tc>
          <w:tcPr>
            <w:tcW w:w="0" w:type="dxa"/>
            <w:vAlign w:val="bottom"/>
          </w:tcPr>
          <w:p>
            <w:pPr>
              <w:spacing w:after="0"/>
              <w:rPr>
                <w:sz w:val="1"/>
                <w:szCs w:val="1"/>
                <w:color w:val="auto"/>
              </w:rPr>
            </w:pPr>
          </w:p>
        </w:tc>
      </w:tr>
      <w:tr>
        <w:trPr>
          <w:trHeight w:val="172"/>
        </w:trPr>
        <w:tc>
          <w:tcPr>
            <w:tcW w:w="8940" w:type="dxa"/>
            <w:vAlign w:val="bottom"/>
          </w:tcPr>
          <w:p>
            <w:pPr>
              <w:ind w:left="340"/>
              <w:spacing w:after="0"/>
              <w:rPr>
                <w:sz w:val="20"/>
                <w:szCs w:val="20"/>
                <w:color w:val="auto"/>
              </w:rPr>
            </w:pPr>
            <w:r>
              <w:rPr>
                <w:rFonts w:ascii="Arial" w:cs="Arial" w:eastAsia="Arial" w:hAnsi="Arial"/>
                <w:sz w:val="12"/>
                <w:szCs w:val="12"/>
                <w:color w:val="auto"/>
              </w:rPr>
              <w:t>Other assets and other liabilities, net</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(26,009)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(15,834)</w:t>
            </w:r>
          </w:p>
        </w:tc>
        <w:tc>
          <w:tcPr>
            <w:tcW w:w="0" w:type="dxa"/>
            <w:vAlign w:val="bottom"/>
          </w:tcPr>
          <w:p>
            <w:pPr>
              <w:spacing w:after="0"/>
              <w:rPr>
                <w:sz w:val="1"/>
                <w:szCs w:val="1"/>
                <w:color w:val="auto"/>
              </w:rPr>
            </w:pPr>
          </w:p>
        </w:tc>
      </w:tr>
      <w:tr>
        <w:trPr>
          <w:trHeight w:val="175"/>
        </w:trPr>
        <w:tc>
          <w:tcPr>
            <w:tcW w:w="8940" w:type="dxa"/>
            <w:vAlign w:val="bottom"/>
          </w:tcPr>
          <w:p>
            <w:pPr>
              <w:ind w:left="16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(31)</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2,239</w:t>
            </w:r>
          </w:p>
        </w:tc>
        <w:tc>
          <w:tcPr>
            <w:tcW w:w="0" w:type="dxa"/>
            <w:vAlign w:val="bottom"/>
          </w:tcPr>
          <w:p>
            <w:pPr>
              <w:spacing w:after="0"/>
              <w:rPr>
                <w:sz w:val="1"/>
                <w:szCs w:val="1"/>
                <w:color w:val="auto"/>
              </w:rPr>
            </w:pPr>
          </w:p>
        </w:tc>
      </w:tr>
      <w:tr>
        <w:trPr>
          <w:trHeight w:val="161"/>
        </w:trPr>
        <w:tc>
          <w:tcPr>
            <w:tcW w:w="8940" w:type="dxa"/>
            <w:vAlign w:val="bottom"/>
          </w:tcPr>
          <w:p>
            <w:pPr>
              <w:ind w:left="340"/>
              <w:spacing w:after="0"/>
              <w:rPr>
                <w:sz w:val="20"/>
                <w:szCs w:val="20"/>
                <w:color w:val="auto"/>
              </w:rPr>
            </w:pPr>
            <w:r>
              <w:rPr>
                <w:rFonts w:ascii="Arial" w:cs="Arial" w:eastAsia="Arial" w:hAnsi="Arial"/>
                <w:sz w:val="12"/>
                <w:szCs w:val="12"/>
                <w:color w:val="auto"/>
              </w:rPr>
              <w:t>Net Cash Provided by Operating Activities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62,239</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99,408</w:t>
            </w:r>
          </w:p>
        </w:tc>
        <w:tc>
          <w:tcPr>
            <w:tcW w:w="0" w:type="dxa"/>
            <w:vAlign w:val="bottom"/>
          </w:tcPr>
          <w:p>
            <w:pPr>
              <w:spacing w:after="0"/>
              <w:rPr>
                <w:sz w:val="1"/>
                <w:szCs w:val="1"/>
                <w:color w:val="auto"/>
              </w:rPr>
            </w:pPr>
          </w:p>
        </w:tc>
      </w:tr>
      <w:tr>
        <w:trPr>
          <w:trHeight w:val="159"/>
        </w:trPr>
        <w:tc>
          <w:tcPr>
            <w:tcW w:w="894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60" w:type="dxa"/>
            <w:vAlign w:val="bottom"/>
          </w:tcPr>
          <w:p>
            <w:pPr>
              <w:spacing w:after="0"/>
              <w:rPr>
                <w:sz w:val="13"/>
                <w:szCs w:val="13"/>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61,979</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940" w:type="dxa"/>
            <w:vAlign w:val="bottom"/>
          </w:tcPr>
          <w:p>
            <w:pPr>
              <w:ind w:left="160"/>
              <w:spacing w:after="0"/>
              <w:rPr>
                <w:sz w:val="20"/>
                <w:szCs w:val="20"/>
                <w:color w:val="auto"/>
              </w:rPr>
            </w:pPr>
            <w:r>
              <w:rPr>
                <w:rFonts w:ascii="Arial" w:cs="Arial" w:eastAsia="Arial" w:hAnsi="Arial"/>
                <w:sz w:val="12"/>
                <w:szCs w:val="12"/>
                <w:color w:val="auto"/>
              </w:rPr>
              <w:t>Proceeds from sales of marketable equity securities</w:t>
            </w: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74,233</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Purchases of property, plant and equipment</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(40,909)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(32,154)</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Loan to related party</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(30,000)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Investments in equity affiliates, cost method and other investments</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(11,982)</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(27,950)</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Purchases of marketable equity securities</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(6,162)</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(31,468)</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Net proceeds from disposition of property, plant and equipment, and investments</w:t>
            </w:r>
          </w:p>
        </w:tc>
        <w:tc>
          <w:tcPr>
            <w:tcW w:w="2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3,234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2,324</w:t>
            </w:r>
          </w:p>
        </w:tc>
        <w:tc>
          <w:tcPr>
            <w:tcW w:w="0" w:type="dxa"/>
            <w:vAlign w:val="bottom"/>
          </w:tcPr>
          <w:p>
            <w:pPr>
              <w:spacing w:after="0"/>
              <w:rPr>
                <w:sz w:val="1"/>
                <w:szCs w:val="1"/>
                <w:color w:val="auto"/>
              </w:rPr>
            </w:pPr>
          </w:p>
        </w:tc>
      </w:tr>
      <w:tr>
        <w:trPr>
          <w:trHeight w:val="182"/>
        </w:trPr>
        <w:tc>
          <w:tcPr>
            <w:tcW w:w="8940" w:type="dxa"/>
            <w:vAlign w:val="bottom"/>
          </w:tcPr>
          <w:p>
            <w:pPr>
              <w:ind w:left="16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868</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(2,901)</w:t>
            </w:r>
          </w:p>
        </w:tc>
        <w:tc>
          <w:tcPr>
            <w:tcW w:w="0" w:type="dxa"/>
            <w:vAlign w:val="bottom"/>
          </w:tcPr>
          <w:p>
            <w:pPr>
              <w:spacing w:after="0"/>
              <w:rPr>
                <w:sz w:val="1"/>
                <w:szCs w:val="1"/>
                <w:color w:val="auto"/>
              </w:rPr>
            </w:pPr>
          </w:p>
        </w:tc>
      </w:tr>
      <w:tr>
        <w:trPr>
          <w:trHeight w:val="164"/>
        </w:trPr>
        <w:tc>
          <w:tcPr>
            <w:tcW w:w="8940" w:type="dxa"/>
            <w:vAlign w:val="bottom"/>
          </w:tcPr>
          <w:p>
            <w:pPr>
              <w:ind w:left="340"/>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(22,972)</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(17,916)</w:t>
            </w:r>
          </w:p>
        </w:tc>
        <w:tc>
          <w:tcPr>
            <w:tcW w:w="0" w:type="dxa"/>
            <w:vAlign w:val="bottom"/>
          </w:tcPr>
          <w:p>
            <w:pPr>
              <w:spacing w:after="0"/>
              <w:rPr>
                <w:sz w:val="1"/>
                <w:szCs w:val="1"/>
                <w:color w:val="auto"/>
              </w:rPr>
            </w:pPr>
          </w:p>
        </w:tc>
      </w:tr>
      <w:tr>
        <w:trPr>
          <w:trHeight w:val="159"/>
        </w:trPr>
        <w:tc>
          <w:tcPr>
            <w:tcW w:w="894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60" w:type="dxa"/>
            <w:vAlign w:val="bottom"/>
          </w:tcPr>
          <w:p>
            <w:pPr>
              <w:spacing w:after="0"/>
              <w:rPr>
                <w:sz w:val="13"/>
                <w:szCs w:val="13"/>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(69,082)</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Common shares repurchased</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(34,303)</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Net proceeds from vehicle floor plan payable</w:t>
            </w:r>
          </w:p>
        </w:tc>
        <w:tc>
          <w:tcPr>
            <w:tcW w:w="2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28,982</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14,121</w:t>
            </w:r>
          </w:p>
        </w:tc>
        <w:tc>
          <w:tcPr>
            <w:tcW w:w="0" w:type="dxa"/>
            <w:vAlign w:val="bottom"/>
          </w:tcPr>
          <w:p>
            <w:pPr>
              <w:spacing w:after="0"/>
              <w:rPr>
                <w:sz w:val="1"/>
                <w:szCs w:val="1"/>
                <w:color w:val="auto"/>
              </w:rPr>
            </w:pPr>
          </w:p>
        </w:tc>
      </w:tr>
      <w:tr>
        <w:trPr>
          <w:trHeight w:val="182"/>
        </w:trPr>
        <w:tc>
          <w:tcPr>
            <w:tcW w:w="8940" w:type="dxa"/>
            <w:vAlign w:val="bottom"/>
          </w:tcPr>
          <w:p>
            <w:pPr>
              <w:ind w:left="160"/>
              <w:spacing w:after="0"/>
              <w:rPr>
                <w:sz w:val="20"/>
                <w:szCs w:val="20"/>
                <w:color w:val="auto"/>
              </w:rPr>
            </w:pPr>
            <w:r>
              <w:rPr>
                <w:rFonts w:ascii="Arial" w:cs="Arial" w:eastAsia="Arial" w:hAnsi="Arial"/>
                <w:sz w:val="12"/>
                <w:szCs w:val="12"/>
                <w:color w:val="auto"/>
              </w:rPr>
              <w:t>Net payments under revolving credit facilities</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(15,000)</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(47,000)</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Dividends paid</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(15,746)</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(15,465)</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Repayments of borrowings</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(7,983)</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(7,580)</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Proceeds from bank overdrafts</w:t>
            </w:r>
          </w:p>
        </w:tc>
        <w:tc>
          <w:tcPr>
            <w:tcW w:w="2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b w:val="1"/>
                <w:bCs w:val="1"/>
                <w:color w:val="auto"/>
              </w:rPr>
              <w:t>3,656</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6,073</w:t>
            </w:r>
          </w:p>
        </w:tc>
        <w:tc>
          <w:tcPr>
            <w:tcW w:w="0" w:type="dxa"/>
            <w:vAlign w:val="bottom"/>
          </w:tcPr>
          <w:p>
            <w:pPr>
              <w:spacing w:after="0"/>
              <w:rPr>
                <w:sz w:val="1"/>
                <w:szCs w:val="1"/>
                <w:color w:val="auto"/>
              </w:rPr>
            </w:pPr>
          </w:p>
        </w:tc>
      </w:tr>
      <w:tr>
        <w:trPr>
          <w:trHeight w:val="172"/>
        </w:trPr>
        <w:tc>
          <w:tcPr>
            <w:tcW w:w="8940" w:type="dxa"/>
            <w:vAlign w:val="bottom"/>
          </w:tcPr>
          <w:p>
            <w:pPr>
              <w:ind w:left="160"/>
              <w:spacing w:after="0"/>
              <w:rPr>
                <w:sz w:val="20"/>
                <w:szCs w:val="20"/>
                <w:color w:val="auto"/>
              </w:rPr>
            </w:pPr>
            <w:r>
              <w:rPr>
                <w:rFonts w:ascii="Arial" w:cs="Arial" w:eastAsia="Arial" w:hAnsi="Arial"/>
                <w:sz w:val="12"/>
                <w:szCs w:val="12"/>
                <w:color w:val="auto"/>
              </w:rPr>
              <w:t>Deferred payments of acquisitions</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(1,361)</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(4,731)</w:t>
            </w:r>
          </w:p>
        </w:tc>
        <w:tc>
          <w:tcPr>
            <w:tcW w:w="0" w:type="dxa"/>
            <w:vAlign w:val="bottom"/>
          </w:tcPr>
          <w:p>
            <w:pPr>
              <w:spacing w:after="0"/>
              <w:rPr>
                <w:sz w:val="1"/>
                <w:szCs w:val="1"/>
                <w:color w:val="auto"/>
              </w:rPr>
            </w:pPr>
          </w:p>
        </w:tc>
      </w:tr>
      <w:tr>
        <w:trPr>
          <w:trHeight w:val="182"/>
        </w:trPr>
        <w:tc>
          <w:tcPr>
            <w:tcW w:w="8940" w:type="dxa"/>
            <w:vAlign w:val="bottom"/>
          </w:tcPr>
          <w:p>
            <w:pPr>
              <w:ind w:left="16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(1,346)</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(686)</w:t>
            </w:r>
          </w:p>
        </w:tc>
        <w:tc>
          <w:tcPr>
            <w:tcW w:w="0" w:type="dxa"/>
            <w:vAlign w:val="bottom"/>
          </w:tcPr>
          <w:p>
            <w:pPr>
              <w:spacing w:after="0"/>
              <w:rPr>
                <w:sz w:val="1"/>
                <w:szCs w:val="1"/>
                <w:color w:val="auto"/>
              </w:rPr>
            </w:pPr>
          </w:p>
        </w:tc>
      </w:tr>
      <w:tr>
        <w:trPr>
          <w:trHeight w:val="164"/>
        </w:trPr>
        <w:tc>
          <w:tcPr>
            <w:tcW w:w="8940" w:type="dxa"/>
            <w:vAlign w:val="bottom"/>
          </w:tcPr>
          <w:p>
            <w:pPr>
              <w:ind w:left="340"/>
              <w:spacing w:after="0"/>
              <w:rPr>
                <w:sz w:val="20"/>
                <w:szCs w:val="20"/>
                <w:color w:val="auto"/>
              </w:rPr>
            </w:pPr>
            <w:r>
              <w:rPr>
                <w:rFonts w:ascii="Arial" w:cs="Arial" w:eastAsia="Arial" w:hAnsi="Arial"/>
                <w:sz w:val="12"/>
                <w:szCs w:val="12"/>
                <w:color w:val="auto"/>
              </w:rPr>
              <w:t>Net Cash Used in Financing Activities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(77,880)</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(89,571)</w:t>
            </w:r>
          </w:p>
        </w:tc>
        <w:tc>
          <w:tcPr>
            <w:tcW w:w="0" w:type="dxa"/>
            <w:vAlign w:val="bottom"/>
          </w:tcPr>
          <w:p>
            <w:pPr>
              <w:spacing w:after="0"/>
              <w:rPr>
                <w:sz w:val="1"/>
                <w:szCs w:val="1"/>
                <w:color w:val="auto"/>
              </w:rPr>
            </w:pPr>
          </w:p>
        </w:tc>
      </w:tr>
      <w:tr>
        <w:trPr>
          <w:trHeight w:val="162"/>
        </w:trPr>
        <w:tc>
          <w:tcPr>
            <w:tcW w:w="8940" w:type="dxa"/>
            <w:vAlign w:val="bottom"/>
          </w:tcPr>
          <w:p>
            <w:pPr>
              <w:spacing w:after="0"/>
              <w:rPr>
                <w:sz w:val="20"/>
                <w:szCs w:val="20"/>
                <w:color w:val="auto"/>
              </w:rPr>
            </w:pPr>
            <w:r>
              <w:rPr>
                <w:rFonts w:ascii="Arial" w:cs="Arial" w:eastAsia="Arial" w:hAnsi="Arial"/>
                <w:sz w:val="12"/>
                <w:szCs w:val="12"/>
                <w:b w:val="1"/>
                <w:bCs w:val="1"/>
                <w:color w:val="auto"/>
              </w:rPr>
              <w:t>Effect of Currency Exchange Rate Change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561</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(4,901)</w:t>
            </w:r>
          </w:p>
        </w:tc>
        <w:tc>
          <w:tcPr>
            <w:tcW w:w="0" w:type="dxa"/>
            <w:vAlign w:val="bottom"/>
          </w:tcPr>
          <w:p>
            <w:pPr>
              <w:spacing w:after="0"/>
              <w:rPr>
                <w:sz w:val="1"/>
                <w:szCs w:val="1"/>
                <w:color w:val="auto"/>
              </w:rPr>
            </w:pPr>
          </w:p>
        </w:tc>
      </w:tr>
      <w:tr>
        <w:trPr>
          <w:trHeight w:val="162"/>
        </w:trPr>
        <w:tc>
          <w:tcPr>
            <w:tcW w:w="8940" w:type="dxa"/>
            <w:vAlign w:val="bottom"/>
          </w:tcPr>
          <w:p>
            <w:pPr>
              <w:spacing w:after="0"/>
              <w:rPr>
                <w:sz w:val="20"/>
                <w:szCs w:val="20"/>
                <w:color w:val="auto"/>
              </w:rPr>
            </w:pPr>
            <w:r>
              <w:rPr>
                <w:rFonts w:ascii="Arial" w:cs="Arial" w:eastAsia="Arial" w:hAnsi="Arial"/>
                <w:sz w:val="12"/>
                <w:szCs w:val="12"/>
                <w:b w:val="1"/>
                <w:bCs w:val="1"/>
                <w:color w:val="auto"/>
              </w:rPr>
              <w:t>Net Decrease in Cash and Cash Equivalents and Restricted Cash</w:t>
            </w:r>
          </w:p>
        </w:tc>
        <w:tc>
          <w:tcPr>
            <w:tcW w:w="26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(38,052)</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(12,980)</w:t>
            </w:r>
          </w:p>
        </w:tc>
        <w:tc>
          <w:tcPr>
            <w:tcW w:w="0" w:type="dxa"/>
            <w:vAlign w:val="bottom"/>
          </w:tcPr>
          <w:p>
            <w:pPr>
              <w:spacing w:after="0"/>
              <w:rPr>
                <w:sz w:val="1"/>
                <w:szCs w:val="1"/>
                <w:color w:val="auto"/>
              </w:rPr>
            </w:pPr>
          </w:p>
        </w:tc>
      </w:tr>
      <w:tr>
        <w:trPr>
          <w:trHeight w:val="176"/>
        </w:trPr>
        <w:tc>
          <w:tcPr>
            <w:tcW w:w="8940" w:type="dxa"/>
            <w:vAlign w:val="bottom"/>
          </w:tcPr>
          <w:p>
            <w:pPr>
              <w:spacing w:after="0"/>
              <w:rPr>
                <w:sz w:val="20"/>
                <w:szCs w:val="20"/>
                <w:color w:val="auto"/>
              </w:rPr>
            </w:pPr>
            <w:r>
              <w:rPr>
                <w:rFonts w:ascii="Arial" w:cs="Arial" w:eastAsia="Arial" w:hAnsi="Arial"/>
                <w:sz w:val="12"/>
                <w:szCs w:val="12"/>
                <w:b w:val="1"/>
                <w:bCs w:val="1"/>
                <w:color w:val="auto"/>
              </w:rPr>
              <w:t>Beginning Cash and Cash Equivalents and Restricted Cash</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190,432</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158,843</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Arial" w:cs="Arial" w:eastAsia="Arial" w:hAnsi="Arial"/>
                <w:sz w:val="12"/>
                <w:szCs w:val="12"/>
                <w:b w:val="1"/>
                <w:bCs w:val="1"/>
                <w:color w:val="auto"/>
              </w:rPr>
              <w:t>Ending Cash and Cash Equivalents and Restricted Cash</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152,380</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145,863</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See accompanying Notes to Condensed Consolidated Financial Statements.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bookmarkStart w:id="6" w:name="page7"/>
    <w:bookmarkEnd w:id="6"/>
    <w:p>
      <w:pPr>
        <w:ind w:left="4840"/>
        <w:spacing w:after="0"/>
        <w:rPr>
          <w:sz w:val="20"/>
          <w:szCs w:val="20"/>
          <w:color w:val="auto"/>
        </w:rPr>
      </w:pPr>
      <w:r>
        <w:rPr>
          <w:rFonts w:ascii="Arial" w:cs="Arial" w:eastAsia="Arial" w:hAnsi="Arial"/>
          <w:sz w:val="13"/>
          <w:szCs w:val="13"/>
          <w:b w:val="1"/>
          <w:bCs w:val="1"/>
          <w:color w:val="auto"/>
        </w:rPr>
        <w:t>GRAHAM HOLDINGS COMPANY</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13"/>
          <w:szCs w:val="13"/>
          <w:b w:val="1"/>
          <w:bCs w:val="1"/>
          <w:color w:val="auto"/>
        </w:rPr>
        <w:t>CONDENSED CONSOLIDATED STATEMENTS OF CHANGES IN COMMON STOCKHOLDERS’ EQUITY (UNAUDITED)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8"/>
                <w:szCs w:val="8"/>
                <w:color w:val="auto"/>
              </w:rPr>
              <w:t>Common</w:t>
            </w:r>
          </w:p>
        </w:tc>
        <w:tc>
          <w:tcPr>
            <w:tcW w:w="180" w:type="dxa"/>
            <w:vAlign w:val="bottom"/>
          </w:tcPr>
          <w:p>
            <w:pPr>
              <w:spacing w:after="0"/>
              <w:rPr>
                <w:sz w:val="7"/>
                <w:szCs w:val="7"/>
                <w:color w:val="auto"/>
              </w:rPr>
            </w:pPr>
          </w:p>
        </w:tc>
        <w:tc>
          <w:tcPr>
            <w:tcW w:w="700" w:type="dxa"/>
            <w:vAlign w:val="bottom"/>
          </w:tcPr>
          <w:p>
            <w:pPr>
              <w:jc w:val="right"/>
              <w:ind w:right="212"/>
              <w:spacing w:after="0"/>
              <w:rPr>
                <w:sz w:val="20"/>
                <w:szCs w:val="20"/>
                <w:color w:val="auto"/>
              </w:rPr>
            </w:pPr>
            <w:r>
              <w:rPr>
                <w:rFonts w:ascii="Arial" w:cs="Arial" w:eastAsia="Arial" w:hAnsi="Arial"/>
                <w:sz w:val="8"/>
                <w:szCs w:val="8"/>
                <w:color w:val="auto"/>
              </w:rPr>
              <w:t>Capital in</w:t>
            </w:r>
          </w:p>
        </w:tc>
        <w:tc>
          <w:tcPr>
            <w:tcW w:w="180" w:type="dxa"/>
            <w:vAlign w:val="bottom"/>
          </w:tcPr>
          <w:p>
            <w:pPr>
              <w:spacing w:after="0"/>
              <w:rPr>
                <w:sz w:val="7"/>
                <w:szCs w:val="7"/>
                <w:color w:val="auto"/>
              </w:rPr>
            </w:pPr>
          </w:p>
        </w:tc>
        <w:tc>
          <w:tcPr>
            <w:tcW w:w="760" w:type="dxa"/>
            <w:vAlign w:val="bottom"/>
            <w:vMerge w:val="restart"/>
          </w:tcPr>
          <w:p>
            <w:pPr>
              <w:jc w:val="right"/>
              <w:ind w:right="251"/>
              <w:spacing w:after="0"/>
              <w:rPr>
                <w:sz w:val="20"/>
                <w:szCs w:val="20"/>
                <w:color w:val="auto"/>
              </w:rPr>
            </w:pPr>
            <w:r>
              <w:rPr>
                <w:rFonts w:ascii="Arial" w:cs="Arial" w:eastAsia="Arial" w:hAnsi="Arial"/>
                <w:sz w:val="8"/>
                <w:szCs w:val="8"/>
                <w:color w:val="auto"/>
              </w:rPr>
              <w:t>Retained</w:t>
            </w:r>
          </w:p>
        </w:tc>
        <w:tc>
          <w:tcPr>
            <w:tcW w:w="80" w:type="dxa"/>
            <w:vAlign w:val="bottom"/>
          </w:tcPr>
          <w:p>
            <w:pPr>
              <w:spacing w:after="0"/>
              <w:rPr>
                <w:sz w:val="7"/>
                <w:szCs w:val="7"/>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8"/>
                <w:szCs w:val="8"/>
                <w:color w:val="auto"/>
              </w:rPr>
              <w:t>Accumulated Other</w:t>
            </w:r>
          </w:p>
        </w:tc>
        <w:tc>
          <w:tcPr>
            <w:tcW w:w="220" w:type="dxa"/>
            <w:vAlign w:val="bottom"/>
          </w:tcPr>
          <w:p>
            <w:pPr>
              <w:spacing w:after="0"/>
              <w:rPr>
                <w:sz w:val="7"/>
                <w:szCs w:val="7"/>
                <w:color w:val="auto"/>
              </w:rPr>
            </w:pPr>
          </w:p>
        </w:tc>
        <w:tc>
          <w:tcPr>
            <w:tcW w:w="820" w:type="dxa"/>
            <w:vAlign w:val="bottom"/>
            <w:vMerge w:val="restart"/>
          </w:tcPr>
          <w:p>
            <w:pPr>
              <w:jc w:val="right"/>
              <w:ind w:right="312"/>
              <w:spacing w:after="0"/>
              <w:rPr>
                <w:sz w:val="20"/>
                <w:szCs w:val="20"/>
                <w:color w:val="auto"/>
              </w:rPr>
            </w:pPr>
            <w:r>
              <w:rPr>
                <w:rFonts w:ascii="Arial" w:cs="Arial" w:eastAsia="Arial" w:hAnsi="Arial"/>
                <w:sz w:val="8"/>
                <w:szCs w:val="8"/>
                <w:color w:val="auto"/>
              </w:rPr>
              <w:t>Treasury</w:t>
            </w:r>
          </w:p>
        </w:tc>
        <w:tc>
          <w:tcPr>
            <w:tcW w:w="160" w:type="dxa"/>
            <w:vAlign w:val="bottom"/>
          </w:tcPr>
          <w:p>
            <w:pPr>
              <w:spacing w:after="0"/>
              <w:rPr>
                <w:sz w:val="7"/>
                <w:szCs w:val="7"/>
                <w:color w:val="auto"/>
              </w:rPr>
            </w:pPr>
          </w:p>
        </w:tc>
        <w:tc>
          <w:tcPr>
            <w:tcW w:w="820" w:type="dxa"/>
            <w:vAlign w:val="bottom"/>
            <w:vMerge w:val="restart"/>
          </w:tcPr>
          <w:p>
            <w:pPr>
              <w:jc w:val="right"/>
              <w:ind w:right="171"/>
              <w:spacing w:after="0"/>
              <w:rPr>
                <w:sz w:val="20"/>
                <w:szCs w:val="20"/>
                <w:color w:val="auto"/>
              </w:rPr>
            </w:pPr>
            <w:r>
              <w:rPr>
                <w:rFonts w:ascii="Arial" w:cs="Arial" w:eastAsia="Arial" w:hAnsi="Arial"/>
                <w:sz w:val="8"/>
                <w:szCs w:val="8"/>
                <w:color w:val="auto"/>
              </w:rPr>
              <w:t>Noncontrolling</w:t>
            </w: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8"/>
                <w:szCs w:val="8"/>
                <w:color w:val="auto"/>
                <w:w w:val="99"/>
              </w:rPr>
              <w:t>Redeemable Noncontrolling</w:t>
            </w:r>
          </w:p>
        </w:tc>
        <w:tc>
          <w:tcPr>
            <w:tcW w:w="0" w:type="dxa"/>
            <w:vAlign w:val="bottom"/>
          </w:tcPr>
          <w:p>
            <w:pPr>
              <w:spacing w:after="0"/>
              <w:rPr>
                <w:sz w:val="1"/>
                <w:szCs w:val="1"/>
                <w:color w:val="auto"/>
              </w:rPr>
            </w:pPr>
          </w:p>
        </w:tc>
      </w:tr>
      <w:tr>
        <w:trPr>
          <w:trHeight w:val="91"/>
        </w:trPr>
        <w:tc>
          <w:tcPr>
            <w:tcW w:w="3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jc w:val="right"/>
              <w:ind w:right="212"/>
              <w:spacing w:after="0" w:line="91" w:lineRule="exact"/>
              <w:rPr>
                <w:sz w:val="20"/>
                <w:szCs w:val="20"/>
                <w:color w:val="auto"/>
              </w:rPr>
            </w:pPr>
            <w:r>
              <w:rPr>
                <w:rFonts w:ascii="Arial" w:cs="Arial" w:eastAsia="Arial" w:hAnsi="Arial"/>
                <w:sz w:val="8"/>
                <w:szCs w:val="8"/>
                <w:color w:val="auto"/>
              </w:rPr>
              <w:t>Excess of</w:t>
            </w: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520" w:type="dxa"/>
            <w:vAlign w:val="bottom"/>
          </w:tcPr>
          <w:p>
            <w:pPr>
              <w:ind w:left="20"/>
              <w:spacing w:after="0"/>
              <w:rPr>
                <w:sz w:val="20"/>
                <w:szCs w:val="20"/>
                <w:color w:val="auto"/>
              </w:rPr>
            </w:pPr>
            <w:r>
              <w:rPr>
                <w:rFonts w:ascii="Arial" w:cs="Arial" w:eastAsia="Arial" w:hAnsi="Arial"/>
                <w:sz w:val="8"/>
                <w:szCs w:val="8"/>
                <w:color w:val="auto"/>
              </w:rPr>
              <w:t>(in thousands)</w:t>
            </w:r>
          </w:p>
        </w:tc>
        <w:tc>
          <w:tcPr>
            <w:tcW w:w="140" w:type="dxa"/>
            <w:vAlign w:val="bottom"/>
          </w:tcPr>
          <w:p>
            <w:pPr>
              <w:spacing w:after="0"/>
              <w:rPr>
                <w:sz w:val="8"/>
                <w:szCs w:val="8"/>
                <w:color w:val="auto"/>
              </w:rPr>
            </w:pPr>
          </w:p>
        </w:tc>
        <w:tc>
          <w:tcPr>
            <w:tcW w:w="560" w:type="dxa"/>
            <w:vAlign w:val="bottom"/>
          </w:tcPr>
          <w:p>
            <w:pPr>
              <w:jc w:val="right"/>
              <w:ind w:right="194"/>
              <w:spacing w:after="0"/>
              <w:rPr>
                <w:sz w:val="20"/>
                <w:szCs w:val="20"/>
                <w:color w:val="auto"/>
              </w:rPr>
            </w:pPr>
            <w:r>
              <w:rPr>
                <w:rFonts w:ascii="Arial" w:cs="Arial" w:eastAsia="Arial" w:hAnsi="Arial"/>
                <w:sz w:val="8"/>
                <w:szCs w:val="8"/>
                <w:color w:val="auto"/>
              </w:rPr>
              <w:t>Stock</w:t>
            </w:r>
          </w:p>
        </w:tc>
        <w:tc>
          <w:tcPr>
            <w:tcW w:w="180" w:type="dxa"/>
            <w:vAlign w:val="bottom"/>
          </w:tcPr>
          <w:p>
            <w:pPr>
              <w:spacing w:after="0"/>
              <w:rPr>
                <w:sz w:val="8"/>
                <w:szCs w:val="8"/>
                <w:color w:val="auto"/>
              </w:rPr>
            </w:pPr>
          </w:p>
        </w:tc>
        <w:tc>
          <w:tcPr>
            <w:tcW w:w="700" w:type="dxa"/>
            <w:vAlign w:val="bottom"/>
          </w:tcPr>
          <w:p>
            <w:pPr>
              <w:jc w:val="right"/>
              <w:ind w:right="212"/>
              <w:spacing w:after="0"/>
              <w:rPr>
                <w:sz w:val="20"/>
                <w:szCs w:val="20"/>
                <w:color w:val="auto"/>
              </w:rPr>
            </w:pPr>
            <w:r>
              <w:rPr>
                <w:rFonts w:ascii="Arial" w:cs="Arial" w:eastAsia="Arial" w:hAnsi="Arial"/>
                <w:sz w:val="8"/>
                <w:szCs w:val="8"/>
                <w:color w:val="auto"/>
              </w:rPr>
              <w:t>Par Value</w:t>
            </w:r>
          </w:p>
        </w:tc>
        <w:tc>
          <w:tcPr>
            <w:tcW w:w="180" w:type="dxa"/>
            <w:vAlign w:val="bottom"/>
          </w:tcPr>
          <w:p>
            <w:pPr>
              <w:spacing w:after="0"/>
              <w:rPr>
                <w:sz w:val="8"/>
                <w:szCs w:val="8"/>
                <w:color w:val="auto"/>
              </w:rPr>
            </w:pPr>
          </w:p>
        </w:tc>
        <w:tc>
          <w:tcPr>
            <w:tcW w:w="760" w:type="dxa"/>
            <w:vAlign w:val="bottom"/>
          </w:tcPr>
          <w:p>
            <w:pPr>
              <w:jc w:val="right"/>
              <w:ind w:right="251"/>
              <w:spacing w:after="0"/>
              <w:rPr>
                <w:sz w:val="20"/>
                <w:szCs w:val="20"/>
                <w:color w:val="auto"/>
              </w:rPr>
            </w:pPr>
            <w:r>
              <w:rPr>
                <w:rFonts w:ascii="Arial" w:cs="Arial" w:eastAsia="Arial" w:hAnsi="Arial"/>
                <w:sz w:val="8"/>
                <w:szCs w:val="8"/>
                <w:color w:val="auto"/>
              </w:rPr>
              <w:t>Earnings</w:t>
            </w:r>
          </w:p>
        </w:tc>
        <w:tc>
          <w:tcPr>
            <w:tcW w:w="80" w:type="dxa"/>
            <w:vAlign w:val="bottom"/>
          </w:tcPr>
          <w:p>
            <w:pPr>
              <w:spacing w:after="0"/>
              <w:rPr>
                <w:sz w:val="8"/>
                <w:szCs w:val="8"/>
                <w:color w:val="auto"/>
              </w:rPr>
            </w:pPr>
          </w:p>
        </w:tc>
        <w:tc>
          <w:tcPr>
            <w:tcW w:w="980" w:type="dxa"/>
            <w:vAlign w:val="bottom"/>
          </w:tcPr>
          <w:p>
            <w:pPr>
              <w:jc w:val="right"/>
              <w:ind w:right="52"/>
              <w:spacing w:after="0"/>
              <w:rPr>
                <w:sz w:val="20"/>
                <w:szCs w:val="20"/>
                <w:color w:val="auto"/>
              </w:rPr>
            </w:pPr>
            <w:r>
              <w:rPr>
                <w:rFonts w:ascii="Arial" w:cs="Arial" w:eastAsia="Arial" w:hAnsi="Arial"/>
                <w:sz w:val="8"/>
                <w:szCs w:val="8"/>
                <w:color w:val="auto"/>
              </w:rPr>
              <w:t>Comprehensive Income</w:t>
            </w:r>
          </w:p>
        </w:tc>
        <w:tc>
          <w:tcPr>
            <w:tcW w:w="220" w:type="dxa"/>
            <w:vAlign w:val="bottom"/>
          </w:tcPr>
          <w:p>
            <w:pPr>
              <w:spacing w:after="0"/>
              <w:rPr>
                <w:sz w:val="8"/>
                <w:szCs w:val="8"/>
                <w:color w:val="auto"/>
              </w:rPr>
            </w:pPr>
          </w:p>
        </w:tc>
        <w:tc>
          <w:tcPr>
            <w:tcW w:w="820" w:type="dxa"/>
            <w:vAlign w:val="bottom"/>
          </w:tcPr>
          <w:p>
            <w:pPr>
              <w:jc w:val="right"/>
              <w:ind w:right="372"/>
              <w:spacing w:after="0"/>
              <w:rPr>
                <w:sz w:val="20"/>
                <w:szCs w:val="20"/>
                <w:color w:val="auto"/>
              </w:rPr>
            </w:pPr>
            <w:r>
              <w:rPr>
                <w:rFonts w:ascii="Arial" w:cs="Arial" w:eastAsia="Arial" w:hAnsi="Arial"/>
                <w:sz w:val="8"/>
                <w:szCs w:val="8"/>
                <w:color w:val="auto"/>
              </w:rPr>
              <w:t>Stock</w:t>
            </w:r>
          </w:p>
        </w:tc>
        <w:tc>
          <w:tcPr>
            <w:tcW w:w="160" w:type="dxa"/>
            <w:vAlign w:val="bottom"/>
          </w:tcPr>
          <w:p>
            <w:pPr>
              <w:spacing w:after="0"/>
              <w:rPr>
                <w:sz w:val="8"/>
                <w:szCs w:val="8"/>
                <w:color w:val="auto"/>
              </w:rPr>
            </w:pPr>
          </w:p>
        </w:tc>
        <w:tc>
          <w:tcPr>
            <w:tcW w:w="820" w:type="dxa"/>
            <w:vAlign w:val="bottom"/>
          </w:tcPr>
          <w:p>
            <w:pPr>
              <w:jc w:val="right"/>
              <w:ind w:right="291"/>
              <w:spacing w:after="0"/>
              <w:rPr>
                <w:sz w:val="20"/>
                <w:szCs w:val="20"/>
                <w:color w:val="auto"/>
              </w:rPr>
            </w:pPr>
            <w:r>
              <w:rPr>
                <w:rFonts w:ascii="Arial" w:cs="Arial" w:eastAsia="Arial" w:hAnsi="Arial"/>
                <w:sz w:val="8"/>
                <w:szCs w:val="8"/>
                <w:color w:val="auto"/>
              </w:rPr>
              <w:t>Interest</w:t>
            </w:r>
          </w:p>
        </w:tc>
        <w:tc>
          <w:tcPr>
            <w:tcW w:w="180" w:type="dxa"/>
            <w:vAlign w:val="bottom"/>
          </w:tcPr>
          <w:p>
            <w:pPr>
              <w:spacing w:after="0"/>
              <w:rPr>
                <w:sz w:val="8"/>
                <w:szCs w:val="8"/>
                <w:color w:val="auto"/>
              </w:rPr>
            </w:pPr>
          </w:p>
        </w:tc>
        <w:tc>
          <w:tcPr>
            <w:tcW w:w="860" w:type="dxa"/>
            <w:vAlign w:val="bottom"/>
          </w:tcPr>
          <w:p>
            <w:pPr>
              <w:jc w:val="right"/>
              <w:ind w:right="290"/>
              <w:spacing w:after="0"/>
              <w:rPr>
                <w:sz w:val="20"/>
                <w:szCs w:val="20"/>
                <w:color w:val="auto"/>
              </w:rPr>
            </w:pPr>
            <w:r>
              <w:rPr>
                <w:rFonts w:ascii="Arial" w:cs="Arial" w:eastAsia="Arial" w:hAnsi="Arial"/>
                <w:sz w:val="8"/>
                <w:szCs w:val="8"/>
                <w:color w:val="auto"/>
              </w:rPr>
              <w:t>Total Equity</w:t>
            </w:r>
          </w:p>
        </w:tc>
        <w:tc>
          <w:tcPr>
            <w:tcW w:w="280" w:type="dxa"/>
            <w:vAlign w:val="bottom"/>
          </w:tcPr>
          <w:p>
            <w:pPr>
              <w:spacing w:after="0"/>
              <w:rPr>
                <w:sz w:val="8"/>
                <w:szCs w:val="8"/>
                <w:color w:val="auto"/>
              </w:rPr>
            </w:pPr>
          </w:p>
        </w:tc>
        <w:tc>
          <w:tcPr>
            <w:tcW w:w="800" w:type="dxa"/>
            <w:vAlign w:val="bottom"/>
          </w:tcPr>
          <w:p>
            <w:pPr>
              <w:jc w:val="right"/>
              <w:ind w:right="330"/>
              <w:spacing w:after="0"/>
              <w:rPr>
                <w:sz w:val="20"/>
                <w:szCs w:val="20"/>
                <w:color w:val="auto"/>
              </w:rPr>
            </w:pPr>
            <w:r>
              <w:rPr>
                <w:rFonts w:ascii="Arial" w:cs="Arial" w:eastAsia="Arial" w:hAnsi="Arial"/>
                <w:sz w:val="8"/>
                <w:szCs w:val="8"/>
                <w:color w:val="auto"/>
              </w:rPr>
              <w:t>Interest</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As of December 31, 2022</w:t>
            </w:r>
          </w:p>
        </w:tc>
        <w:tc>
          <w:tcPr>
            <w:tcW w:w="140" w:type="dxa"/>
            <w:vAlign w:val="bottom"/>
          </w:tcPr>
          <w:p>
            <w:pPr>
              <w:jc w:val="right"/>
              <w:ind w:right="9"/>
              <w:spacing w:after="0"/>
              <w:rPr>
                <w:sz w:val="20"/>
                <w:szCs w:val="20"/>
                <w:color w:val="auto"/>
              </w:rPr>
            </w:pPr>
            <w:r>
              <w:rPr>
                <w:rFonts w:ascii="Arial" w:cs="Arial" w:eastAsia="Arial" w:hAnsi="Arial"/>
                <w:sz w:val="10"/>
                <w:szCs w:val="10"/>
                <w:b w:val="1"/>
                <w:bCs w:val="1"/>
                <w:color w:val="auto"/>
              </w:rPr>
              <w:t>$</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20,000</w:t>
            </w:r>
          </w:p>
        </w:tc>
        <w:tc>
          <w:tcPr>
            <w:tcW w:w="180" w:type="dxa"/>
            <w:vAlign w:val="bottom"/>
          </w:tcPr>
          <w:p>
            <w:pPr>
              <w:jc w:val="right"/>
              <w:ind w:right="49"/>
              <w:spacing w:after="0"/>
              <w:rPr>
                <w:sz w:val="20"/>
                <w:szCs w:val="20"/>
                <w:color w:val="auto"/>
              </w:rPr>
            </w:pPr>
            <w:r>
              <w:rPr>
                <w:rFonts w:ascii="Arial" w:cs="Arial" w:eastAsia="Arial" w:hAnsi="Arial"/>
                <w:sz w:val="10"/>
                <w:szCs w:val="10"/>
                <w:b w:val="1"/>
                <w:bCs w:val="1"/>
                <w:color w:val="auto"/>
              </w:rPr>
              <w:t>$</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390,438</w:t>
            </w: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7,163,128</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336,151</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(4,178,334)</w:t>
            </w:r>
          </w:p>
        </w:tc>
        <w:tc>
          <w:tcPr>
            <w:tcW w:w="160" w:type="dxa"/>
            <w:vAlign w:val="bottom"/>
          </w:tcPr>
          <w:p>
            <w:pPr>
              <w:jc w:val="right"/>
              <w:ind w:right="29"/>
              <w:spacing w:after="0"/>
              <w:rPr>
                <w:sz w:val="20"/>
                <w:szCs w:val="20"/>
                <w:color w:val="auto"/>
              </w:rPr>
            </w:pPr>
            <w:r>
              <w:rPr>
                <w:rFonts w:ascii="Arial" w:cs="Arial" w:eastAsia="Arial" w:hAnsi="Arial"/>
                <w:sz w:val="10"/>
                <w:szCs w:val="10"/>
                <w:b w:val="1"/>
                <w:bCs w:val="1"/>
                <w:color w:val="auto"/>
              </w:rPr>
              <w:t>$</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21,278</w:t>
            </w:r>
          </w:p>
        </w:tc>
        <w:tc>
          <w:tcPr>
            <w:tcW w:w="180" w:type="dxa"/>
            <w:vAlign w:val="bottom"/>
          </w:tcPr>
          <w:p>
            <w:pPr>
              <w:jc w:val="right"/>
              <w:ind w:right="49"/>
              <w:spacing w:after="0"/>
              <w:rPr>
                <w:sz w:val="20"/>
                <w:szCs w:val="20"/>
                <w:color w:val="auto"/>
              </w:rPr>
            </w:pPr>
            <w:r>
              <w:rPr>
                <w:rFonts w:ascii="Arial" w:cs="Arial" w:eastAsia="Arial" w:hAnsi="Arial"/>
                <w:sz w:val="10"/>
                <w:szCs w:val="10"/>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0"/>
                <w:szCs w:val="10"/>
                <w:b w:val="1"/>
                <w:bCs w:val="1"/>
                <w:color w:val="auto"/>
              </w:rPr>
              <w:t>3,752,661</w:t>
            </w:r>
          </w:p>
        </w:tc>
        <w:tc>
          <w:tcPr>
            <w:tcW w:w="28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21,827</w:t>
            </w:r>
          </w:p>
        </w:tc>
        <w:tc>
          <w:tcPr>
            <w:tcW w:w="0" w:type="dxa"/>
            <w:vAlign w:val="bottom"/>
          </w:tcPr>
          <w:p>
            <w:pPr>
              <w:spacing w:after="0"/>
              <w:rPr>
                <w:sz w:val="1"/>
                <w:szCs w:val="1"/>
                <w:color w:val="auto"/>
              </w:rPr>
            </w:pPr>
          </w:p>
        </w:tc>
      </w:tr>
      <w:tr>
        <w:trPr>
          <w:trHeight w:val="146"/>
        </w:trPr>
        <w:tc>
          <w:tcPr>
            <w:tcW w:w="3520" w:type="dxa"/>
            <w:vAlign w:val="bottom"/>
          </w:tcPr>
          <w:p>
            <w:pPr>
              <w:ind w:left="20"/>
              <w:spacing w:after="0"/>
              <w:rPr>
                <w:sz w:val="20"/>
                <w:szCs w:val="20"/>
                <w:color w:val="auto"/>
              </w:rPr>
            </w:pPr>
            <w:r>
              <w:rPr>
                <w:rFonts w:ascii="Arial" w:cs="Arial" w:eastAsia="Arial" w:hAnsi="Arial"/>
                <w:sz w:val="10"/>
                <w:szCs w:val="10"/>
                <w:color w:val="auto"/>
              </w:rPr>
              <w:t>Net income for the period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52,977</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52,977</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Net income attributable to noncontrolling interests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(650)</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650</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Net income attributable to redeemable noncontrolling interests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(55)</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(55)</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Change in redemption value of redeemable noncontrolling interests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64</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64</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Noncontrolling interest capital contribution</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520</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520</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Distribution to redeemable noncontrolling interest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Dividends on common stock</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(15,812)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(15,812)</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Repurchase of Class B common stock</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(23,439)</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(23,439)</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Issuance of Class B common stock</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(4,067)</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4,494</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427</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Amortization of unearned stock compensation and stock option expense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1,802</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1,802</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color w:val="auto"/>
              </w:rPr>
              <w:t>Other comprehensive income, net of income taxes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585</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585</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As of March 31, 2023</w:t>
            </w:r>
          </w:p>
        </w:tc>
        <w:tc>
          <w:tcPr>
            <w:tcW w:w="140" w:type="dxa"/>
            <w:vAlign w:val="bottom"/>
          </w:tcPr>
          <w:p>
            <w:pPr>
              <w:jc w:val="right"/>
              <w:ind w:right="9"/>
              <w:spacing w:after="0"/>
              <w:rPr>
                <w:sz w:val="20"/>
                <w:szCs w:val="20"/>
                <w:color w:val="auto"/>
              </w:rPr>
            </w:pPr>
            <w:r>
              <w:rPr>
                <w:rFonts w:ascii="Arial" w:cs="Arial" w:eastAsia="Arial" w:hAnsi="Arial"/>
                <w:sz w:val="10"/>
                <w:szCs w:val="10"/>
                <w:b w:val="1"/>
                <w:bCs w:val="1"/>
                <w:color w:val="auto"/>
              </w:rPr>
              <w:t>$</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20,000</w:t>
            </w:r>
          </w:p>
        </w:tc>
        <w:tc>
          <w:tcPr>
            <w:tcW w:w="180" w:type="dxa"/>
            <w:vAlign w:val="bottom"/>
          </w:tcPr>
          <w:p>
            <w:pPr>
              <w:jc w:val="right"/>
              <w:ind w:right="49"/>
              <w:spacing w:after="0"/>
              <w:rPr>
                <w:sz w:val="20"/>
                <w:szCs w:val="20"/>
                <w:color w:val="auto"/>
              </w:rPr>
            </w:pPr>
            <w:r>
              <w:rPr>
                <w:rFonts w:ascii="Arial" w:cs="Arial" w:eastAsia="Arial" w:hAnsi="Arial"/>
                <w:sz w:val="10"/>
                <w:szCs w:val="10"/>
                <w:b w:val="1"/>
                <w:bCs w:val="1"/>
                <w:color w:val="auto"/>
              </w:rPr>
              <w:t>$</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388,173</w:t>
            </w: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7,199,588</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336,736</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(4,197,279)</w:t>
            </w:r>
          </w:p>
        </w:tc>
        <w:tc>
          <w:tcPr>
            <w:tcW w:w="160" w:type="dxa"/>
            <w:vAlign w:val="bottom"/>
          </w:tcPr>
          <w:p>
            <w:pPr>
              <w:jc w:val="right"/>
              <w:ind w:right="29"/>
              <w:spacing w:after="0"/>
              <w:rPr>
                <w:sz w:val="20"/>
                <w:szCs w:val="20"/>
                <w:color w:val="auto"/>
              </w:rPr>
            </w:pPr>
            <w:r>
              <w:rPr>
                <w:rFonts w:ascii="Arial" w:cs="Arial" w:eastAsia="Arial" w:hAnsi="Arial"/>
                <w:sz w:val="10"/>
                <w:szCs w:val="10"/>
                <w:b w:val="1"/>
                <w:bCs w:val="1"/>
                <w:color w:val="auto"/>
              </w:rPr>
              <w:t>$</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22,512</w:t>
            </w:r>
          </w:p>
        </w:tc>
        <w:tc>
          <w:tcPr>
            <w:tcW w:w="180" w:type="dxa"/>
            <w:vAlign w:val="bottom"/>
          </w:tcPr>
          <w:p>
            <w:pPr>
              <w:jc w:val="right"/>
              <w:ind w:right="49"/>
              <w:spacing w:after="0"/>
              <w:rPr>
                <w:sz w:val="20"/>
                <w:szCs w:val="20"/>
                <w:color w:val="auto"/>
              </w:rPr>
            </w:pPr>
            <w:r>
              <w:rPr>
                <w:rFonts w:ascii="Arial" w:cs="Arial" w:eastAsia="Arial" w:hAnsi="Arial"/>
                <w:sz w:val="10"/>
                <w:szCs w:val="10"/>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0"/>
                <w:szCs w:val="10"/>
                <w:b w:val="1"/>
                <w:bCs w:val="1"/>
                <w:color w:val="auto"/>
              </w:rPr>
              <w:t>3,769,730</w:t>
            </w:r>
          </w:p>
        </w:tc>
        <w:tc>
          <w:tcPr>
            <w:tcW w:w="280" w:type="dxa"/>
            <w:vAlign w:val="bottom"/>
          </w:tcPr>
          <w:p>
            <w:pPr>
              <w:ind w:left="60"/>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21,882</w:t>
            </w: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Net income for the period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124,171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b w:val="1"/>
                <w:bCs w:val="1"/>
                <w:color w:val="auto"/>
              </w:rPr>
              <w:t>124,171</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Net income attributable to noncontrolling interests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(809)</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809</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Net income attributable to redeemable noncontrolling interests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(574)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b w:val="1"/>
                <w:bCs w:val="1"/>
                <w:color w:val="auto"/>
              </w:rPr>
              <w:t>(574)</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574</w:t>
            </w: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Change in redemption value of redeemable noncontrolling interests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(4,550)</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51</w:t>
            </w: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b w:val="1"/>
                <w:bCs w:val="1"/>
                <w:color w:val="auto"/>
              </w:rPr>
              <w:t>(4,499)</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4,604</w:t>
            </w: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Distributions to noncontrolling interest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(324)</w:t>
            </w: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b w:val="1"/>
                <w:bCs w:val="1"/>
                <w:color w:val="auto"/>
              </w:rPr>
              <w:t>(324)</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(61)</w:t>
            </w: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Dividends on common stock</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(7,722)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b w:val="1"/>
                <w:bCs w:val="1"/>
                <w:color w:val="auto"/>
              </w:rPr>
              <w:t>(7,722)</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Repurchase of Class B common stock</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(45,643)</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b w:val="1"/>
                <w:bCs w:val="1"/>
                <w:color w:val="auto"/>
              </w:rPr>
              <w:t>(45,643)</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Forfeiture of restricted stock awards, net of Class B common stock</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61</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(244)</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0"/>
                <w:szCs w:val="10"/>
                <w:b w:val="1"/>
                <w:bCs w:val="1"/>
                <w:color w:val="auto"/>
              </w:rPr>
              <w:t>(183)</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520" w:type="dxa"/>
            <w:vAlign w:val="bottom"/>
          </w:tcPr>
          <w:p>
            <w:pPr>
              <w:ind w:left="140"/>
              <w:spacing w:after="0"/>
              <w:rPr>
                <w:sz w:val="20"/>
                <w:szCs w:val="20"/>
                <w:color w:val="auto"/>
              </w:rPr>
            </w:pPr>
            <w:r>
              <w:rPr>
                <w:rFonts w:ascii="Arial" w:cs="Arial" w:eastAsia="Arial" w:hAnsi="Arial"/>
                <w:sz w:val="10"/>
                <w:szCs w:val="10"/>
                <w:b w:val="1"/>
                <w:bCs w:val="1"/>
                <w:color w:val="auto"/>
              </w:rPr>
              <w:t>issuances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Amortization of unearned stock compensation and stock option expense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1,715</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b w:val="1"/>
                <w:bCs w:val="1"/>
                <w:color w:val="auto"/>
              </w:rPr>
              <w:t>1,715</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Other comprehensive loss, net of income taxes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(4,146)</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rPr>
              <w:t>(4,146)</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20" w:type="dxa"/>
            <w:vAlign w:val="bottom"/>
          </w:tcPr>
          <w:p>
            <w:pPr>
              <w:ind w:left="20"/>
              <w:spacing w:after="0"/>
              <w:rPr>
                <w:sz w:val="20"/>
                <w:szCs w:val="20"/>
                <w:color w:val="auto"/>
              </w:rPr>
            </w:pPr>
            <w:r>
              <w:rPr>
                <w:rFonts w:ascii="Arial" w:cs="Arial" w:eastAsia="Arial" w:hAnsi="Arial"/>
                <w:sz w:val="10"/>
                <w:szCs w:val="10"/>
                <w:b w:val="1"/>
                <w:bCs w:val="1"/>
                <w:color w:val="auto"/>
              </w:rPr>
              <w:t>As of June 30, 2023</w:t>
            </w: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20,000</w:t>
            </w:r>
          </w:p>
        </w:tc>
        <w:tc>
          <w:tcPr>
            <w:tcW w:w="1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385,399</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7,314,654</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332,590</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(4,243,166)</w:t>
            </w:r>
          </w:p>
        </w:tc>
        <w:tc>
          <w:tcPr>
            <w:tcW w:w="16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23,048</w:t>
            </w:r>
          </w:p>
        </w:tc>
        <w:tc>
          <w:tcPr>
            <w:tcW w:w="1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rPr>
              <w:t>3,832,525</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26,999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123825</wp:posOffset>
            </wp:positionV>
            <wp:extent cx="719201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92"/>
        </w:trPr>
        <w:tc>
          <w:tcPr>
            <w:tcW w:w="3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jc w:val="right"/>
              <w:ind w:right="193"/>
              <w:spacing w:after="0"/>
              <w:rPr>
                <w:sz w:val="20"/>
                <w:szCs w:val="20"/>
                <w:color w:val="auto"/>
              </w:rPr>
            </w:pPr>
            <w:r>
              <w:rPr>
                <w:rFonts w:ascii="Arial" w:cs="Arial" w:eastAsia="Arial" w:hAnsi="Arial"/>
                <w:sz w:val="8"/>
                <w:szCs w:val="8"/>
                <w:color w:val="auto"/>
              </w:rPr>
              <w:t>Capital in</w:t>
            </w: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91"/>
        </w:trPr>
        <w:tc>
          <w:tcPr>
            <w:tcW w:w="3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114"/>
              <w:spacing w:after="0" w:line="91" w:lineRule="exact"/>
              <w:rPr>
                <w:sz w:val="20"/>
                <w:szCs w:val="20"/>
                <w:color w:val="auto"/>
              </w:rPr>
            </w:pPr>
            <w:r>
              <w:rPr>
                <w:rFonts w:ascii="Arial" w:cs="Arial" w:eastAsia="Arial" w:hAnsi="Arial"/>
                <w:sz w:val="8"/>
                <w:szCs w:val="8"/>
                <w:color w:val="auto"/>
              </w:rPr>
              <w:t>Common</w:t>
            </w:r>
          </w:p>
        </w:tc>
        <w:tc>
          <w:tcPr>
            <w:tcW w:w="180" w:type="dxa"/>
            <w:vAlign w:val="bottom"/>
          </w:tcPr>
          <w:p>
            <w:pPr>
              <w:spacing w:after="0"/>
              <w:rPr>
                <w:sz w:val="7"/>
                <w:szCs w:val="7"/>
                <w:color w:val="auto"/>
              </w:rPr>
            </w:pPr>
          </w:p>
        </w:tc>
        <w:tc>
          <w:tcPr>
            <w:tcW w:w="680" w:type="dxa"/>
            <w:vAlign w:val="bottom"/>
          </w:tcPr>
          <w:p>
            <w:pPr>
              <w:jc w:val="right"/>
              <w:ind w:right="193"/>
              <w:spacing w:after="0" w:line="91" w:lineRule="exact"/>
              <w:rPr>
                <w:sz w:val="20"/>
                <w:szCs w:val="20"/>
                <w:color w:val="auto"/>
              </w:rPr>
            </w:pPr>
            <w:r>
              <w:rPr>
                <w:rFonts w:ascii="Arial" w:cs="Arial" w:eastAsia="Arial" w:hAnsi="Arial"/>
                <w:sz w:val="8"/>
                <w:szCs w:val="8"/>
                <w:color w:val="auto"/>
              </w:rPr>
              <w:t>Excess of</w:t>
            </w:r>
          </w:p>
        </w:tc>
        <w:tc>
          <w:tcPr>
            <w:tcW w:w="200" w:type="dxa"/>
            <w:vAlign w:val="bottom"/>
          </w:tcPr>
          <w:p>
            <w:pPr>
              <w:spacing w:after="0"/>
              <w:rPr>
                <w:sz w:val="7"/>
                <w:szCs w:val="7"/>
                <w:color w:val="auto"/>
              </w:rPr>
            </w:pPr>
          </w:p>
        </w:tc>
        <w:tc>
          <w:tcPr>
            <w:tcW w:w="760" w:type="dxa"/>
            <w:vAlign w:val="bottom"/>
          </w:tcPr>
          <w:p>
            <w:pPr>
              <w:jc w:val="right"/>
              <w:ind w:right="271"/>
              <w:spacing w:after="0" w:line="91" w:lineRule="exact"/>
              <w:rPr>
                <w:sz w:val="20"/>
                <w:szCs w:val="20"/>
                <w:color w:val="auto"/>
              </w:rPr>
            </w:pPr>
            <w:r>
              <w:rPr>
                <w:rFonts w:ascii="Arial" w:cs="Arial" w:eastAsia="Arial" w:hAnsi="Arial"/>
                <w:sz w:val="8"/>
                <w:szCs w:val="8"/>
                <w:color w:val="auto"/>
              </w:rPr>
              <w:t>Retained</w:t>
            </w:r>
          </w:p>
        </w:tc>
        <w:tc>
          <w:tcPr>
            <w:tcW w:w="80" w:type="dxa"/>
            <w:vAlign w:val="bottom"/>
          </w:tcPr>
          <w:p>
            <w:pPr>
              <w:spacing w:after="0"/>
              <w:rPr>
                <w:sz w:val="7"/>
                <w:szCs w:val="7"/>
                <w:color w:val="auto"/>
              </w:rPr>
            </w:pPr>
          </w:p>
        </w:tc>
        <w:tc>
          <w:tcPr>
            <w:tcW w:w="980" w:type="dxa"/>
            <w:vAlign w:val="bottom"/>
          </w:tcPr>
          <w:p>
            <w:pPr>
              <w:jc w:val="right"/>
              <w:ind w:right="132"/>
              <w:spacing w:after="0" w:line="91" w:lineRule="exact"/>
              <w:rPr>
                <w:sz w:val="20"/>
                <w:szCs w:val="20"/>
                <w:color w:val="auto"/>
              </w:rPr>
            </w:pPr>
            <w:r>
              <w:rPr>
                <w:rFonts w:ascii="Arial" w:cs="Arial" w:eastAsia="Arial" w:hAnsi="Arial"/>
                <w:sz w:val="8"/>
                <w:szCs w:val="8"/>
                <w:color w:val="auto"/>
              </w:rPr>
              <w:t>Accumulated Other</w:t>
            </w:r>
          </w:p>
        </w:tc>
        <w:tc>
          <w:tcPr>
            <w:tcW w:w="220" w:type="dxa"/>
            <w:vAlign w:val="bottom"/>
          </w:tcPr>
          <w:p>
            <w:pPr>
              <w:spacing w:after="0"/>
              <w:rPr>
                <w:sz w:val="7"/>
                <w:szCs w:val="7"/>
                <w:color w:val="auto"/>
              </w:rPr>
            </w:pPr>
          </w:p>
        </w:tc>
        <w:tc>
          <w:tcPr>
            <w:tcW w:w="800" w:type="dxa"/>
            <w:vAlign w:val="bottom"/>
          </w:tcPr>
          <w:p>
            <w:pPr>
              <w:jc w:val="right"/>
              <w:ind w:right="292"/>
              <w:spacing w:after="0" w:line="91" w:lineRule="exact"/>
              <w:rPr>
                <w:sz w:val="20"/>
                <w:szCs w:val="20"/>
                <w:color w:val="auto"/>
              </w:rPr>
            </w:pPr>
            <w:r>
              <w:rPr>
                <w:rFonts w:ascii="Arial" w:cs="Arial" w:eastAsia="Arial" w:hAnsi="Arial"/>
                <w:sz w:val="8"/>
                <w:szCs w:val="8"/>
                <w:color w:val="auto"/>
              </w:rPr>
              <w:t>Treasury</w:t>
            </w:r>
          </w:p>
        </w:tc>
        <w:tc>
          <w:tcPr>
            <w:tcW w:w="160" w:type="dxa"/>
            <w:vAlign w:val="bottom"/>
          </w:tcPr>
          <w:p>
            <w:pPr>
              <w:spacing w:after="0"/>
              <w:rPr>
                <w:sz w:val="7"/>
                <w:szCs w:val="7"/>
                <w:color w:val="auto"/>
              </w:rPr>
            </w:pPr>
          </w:p>
        </w:tc>
        <w:tc>
          <w:tcPr>
            <w:tcW w:w="820" w:type="dxa"/>
            <w:vAlign w:val="bottom"/>
          </w:tcPr>
          <w:p>
            <w:pPr>
              <w:jc w:val="right"/>
              <w:ind w:right="171"/>
              <w:spacing w:after="0" w:line="91" w:lineRule="exact"/>
              <w:rPr>
                <w:sz w:val="20"/>
                <w:szCs w:val="20"/>
                <w:color w:val="auto"/>
              </w:rPr>
            </w:pPr>
            <w:r>
              <w:rPr>
                <w:rFonts w:ascii="Arial" w:cs="Arial" w:eastAsia="Arial" w:hAnsi="Arial"/>
                <w:sz w:val="8"/>
                <w:szCs w:val="8"/>
                <w:color w:val="auto"/>
              </w:rPr>
              <w:t>Noncontrolling</w:t>
            </w: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gridSpan w:val="2"/>
          </w:tcPr>
          <w:p>
            <w:pPr>
              <w:ind w:left="60"/>
              <w:spacing w:after="0" w:line="91" w:lineRule="exact"/>
              <w:rPr>
                <w:sz w:val="20"/>
                <w:szCs w:val="20"/>
                <w:color w:val="auto"/>
              </w:rPr>
            </w:pPr>
            <w:r>
              <w:rPr>
                <w:rFonts w:ascii="Arial" w:cs="Arial" w:eastAsia="Arial" w:hAnsi="Arial"/>
                <w:sz w:val="8"/>
                <w:szCs w:val="8"/>
                <w:color w:val="auto"/>
              </w:rPr>
              <w:t>Redeemable Noncontrolling</w:t>
            </w:r>
          </w:p>
        </w:tc>
      </w:tr>
      <w:tr>
        <w:trPr>
          <w:trHeight w:val="111"/>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(in thousands)</w:t>
            </w: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8"/>
                <w:szCs w:val="8"/>
                <w:color w:val="auto"/>
              </w:rPr>
              <w:t>Stock</w:t>
            </w: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8"/>
                <w:szCs w:val="8"/>
                <w:color w:val="auto"/>
              </w:rPr>
              <w:t>Par Value</w:t>
            </w: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8"/>
                <w:szCs w:val="8"/>
                <w:color w:val="auto"/>
              </w:rPr>
              <w:t>Earnings</w:t>
            </w: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rPr>
              <w:t>Comprehensive Income</w:t>
            </w: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8"/>
                <w:szCs w:val="8"/>
                <w:color w:val="auto"/>
              </w:rPr>
              <w:t>Stock</w:t>
            </w: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8"/>
                <w:szCs w:val="8"/>
                <w:color w:val="auto"/>
              </w:rPr>
              <w:t>Interest</w:t>
            </w: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8"/>
                <w:szCs w:val="8"/>
                <w:color w:val="auto"/>
              </w:rPr>
              <w:t>Total Equity</w:t>
            </w: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8"/>
                <w:szCs w:val="8"/>
                <w:color w:val="auto"/>
              </w:rPr>
              <w:t>Interest</w:t>
            </w:r>
          </w:p>
        </w:tc>
      </w:tr>
      <w:tr>
        <w:trPr>
          <w:trHeight w:val="139"/>
        </w:trPr>
        <w:tc>
          <w:tcPr>
            <w:tcW w:w="3600" w:type="dxa"/>
            <w:vAlign w:val="bottom"/>
          </w:tcPr>
          <w:p>
            <w:pPr>
              <w:ind w:left="20"/>
              <w:spacing w:after="0"/>
              <w:rPr>
                <w:sz w:val="20"/>
                <w:szCs w:val="20"/>
                <w:color w:val="auto"/>
              </w:rPr>
            </w:pPr>
            <w:r>
              <w:rPr>
                <w:rFonts w:ascii="Arial" w:cs="Arial" w:eastAsia="Arial" w:hAnsi="Arial"/>
                <w:sz w:val="10"/>
                <w:szCs w:val="10"/>
                <w:color w:val="auto"/>
              </w:rPr>
              <w:t>As of December 31, 2021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20,000</w:t>
            </w:r>
          </w:p>
        </w:tc>
        <w:tc>
          <w:tcPr>
            <w:tcW w:w="18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389,456</w:t>
            </w:r>
          </w:p>
        </w:tc>
        <w:tc>
          <w:tcPr>
            <w:tcW w:w="20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7,126,761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971,388</w:t>
            </w:r>
          </w:p>
        </w:tc>
        <w:tc>
          <w:tcPr>
            <w:tcW w:w="2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(4,108,022)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12,086</w:t>
            </w:r>
          </w:p>
        </w:tc>
        <w:tc>
          <w:tcPr>
            <w:tcW w:w="1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4,411,669</w:t>
            </w:r>
          </w:p>
        </w:tc>
        <w:tc>
          <w:tcPr>
            <w:tcW w:w="280" w:type="dxa"/>
            <w:vAlign w:val="bottom"/>
          </w:tcPr>
          <w:p>
            <w:pPr>
              <w:ind w:left="6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14,311</w:t>
            </w: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Net income for the period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96,566</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96,566</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Net income attributable to noncontrolling interests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(986)</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986</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Net loss attributable to redeemable noncontrolling interests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44</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(44)</w:t>
            </w: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Change in redemption value of redeemable noncontrolling interests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64</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64</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64</w:t>
            </w: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Distribution to noncontrolling interest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(357)</w:t>
            </w: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(357)</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Dividends on common stock</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(15,497)</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(15,497)</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Repurchase of Class B common stock</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(9,527)</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(9,527)</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Issuance of Class B common stock</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1,437</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1,437</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Amortization of unearned stock compensation and stock option expense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1,677</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1,677</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3600" w:type="dxa"/>
            <w:vAlign w:val="bottom"/>
          </w:tcPr>
          <w:p>
            <w:pPr>
              <w:ind w:left="20"/>
              <w:spacing w:after="0"/>
              <w:rPr>
                <w:sz w:val="20"/>
                <w:szCs w:val="20"/>
                <w:color w:val="auto"/>
              </w:rPr>
            </w:pPr>
            <w:r>
              <w:rPr>
                <w:rFonts w:ascii="Arial" w:cs="Arial" w:eastAsia="Arial" w:hAnsi="Arial"/>
                <w:sz w:val="10"/>
                <w:szCs w:val="10"/>
                <w:color w:val="auto"/>
              </w:rPr>
              <w:t>Other comprehensive loss, net of income taxes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(13,135)</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(13,135)</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36"/>
        </w:trPr>
        <w:tc>
          <w:tcPr>
            <w:tcW w:w="3600" w:type="dxa"/>
            <w:vAlign w:val="bottom"/>
          </w:tcPr>
          <w:p>
            <w:pPr>
              <w:ind w:left="20"/>
              <w:spacing w:after="0"/>
              <w:rPr>
                <w:sz w:val="20"/>
                <w:szCs w:val="20"/>
                <w:color w:val="auto"/>
              </w:rPr>
            </w:pPr>
            <w:r>
              <w:rPr>
                <w:rFonts w:ascii="Arial" w:cs="Arial" w:eastAsia="Arial" w:hAnsi="Arial"/>
                <w:sz w:val="10"/>
                <w:szCs w:val="10"/>
                <w:color w:val="auto"/>
              </w:rPr>
              <w:t>As of March 31, 2022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20,000</w:t>
            </w:r>
          </w:p>
        </w:tc>
        <w:tc>
          <w:tcPr>
            <w:tcW w:w="18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391,133</w:t>
            </w:r>
          </w:p>
        </w:tc>
        <w:tc>
          <w:tcPr>
            <w:tcW w:w="20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7,206,888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958,253</w:t>
            </w:r>
          </w:p>
        </w:tc>
        <w:tc>
          <w:tcPr>
            <w:tcW w:w="2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(4,116,112)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12,779</w:t>
            </w:r>
          </w:p>
        </w:tc>
        <w:tc>
          <w:tcPr>
            <w:tcW w:w="1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4,472,941</w:t>
            </w:r>
          </w:p>
        </w:tc>
        <w:tc>
          <w:tcPr>
            <w:tcW w:w="280" w:type="dxa"/>
            <w:vAlign w:val="bottom"/>
          </w:tcPr>
          <w:p>
            <w:pPr>
              <w:ind w:left="6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14,331</w:t>
            </w: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Net loss for the period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(66,615)</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(66,615)</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Noncontrolling interest capital contribution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140</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140</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Acquisition of noncontrolling interest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512</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512</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Net income attributable to noncontrolling interests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(929)</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929</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Acquisition of redeemable noncontrolling interest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2,164</w:t>
            </w: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Net loss attributable to redeemable noncontrolling interests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59</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59</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(59)</w:t>
            </w: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Change in redemption value of redeemable noncontrolling interests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64</w:t>
            </w: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64</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64</w:t>
            </w: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Distribution to noncontrolling interest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(872)</w:t>
            </w: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(872)</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Dividends on common stock</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(7,656)</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(7,656)</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Repurchase of Class B common stock</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(24,776)</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(24,776)</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Forfeiture of restricted stock awards, net of Class B common stock issuances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(462)</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(415)</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(877)</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2"/>
        </w:trPr>
        <w:tc>
          <w:tcPr>
            <w:tcW w:w="3600" w:type="dxa"/>
            <w:vAlign w:val="bottom"/>
          </w:tcPr>
          <w:p>
            <w:pPr>
              <w:ind w:left="20"/>
              <w:spacing w:after="0"/>
              <w:rPr>
                <w:sz w:val="20"/>
                <w:szCs w:val="20"/>
                <w:color w:val="auto"/>
              </w:rPr>
            </w:pPr>
            <w:r>
              <w:rPr>
                <w:rFonts w:ascii="Arial" w:cs="Arial" w:eastAsia="Arial" w:hAnsi="Arial"/>
                <w:sz w:val="10"/>
                <w:szCs w:val="10"/>
                <w:color w:val="auto"/>
              </w:rPr>
              <w:t>Amortization of unearned stock compensation and stock option expense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2,302</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2,302</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3600" w:type="dxa"/>
            <w:vAlign w:val="bottom"/>
          </w:tcPr>
          <w:p>
            <w:pPr>
              <w:ind w:left="20"/>
              <w:spacing w:after="0"/>
              <w:rPr>
                <w:sz w:val="20"/>
                <w:szCs w:val="20"/>
                <w:color w:val="auto"/>
              </w:rPr>
            </w:pPr>
            <w:r>
              <w:rPr>
                <w:rFonts w:ascii="Arial" w:cs="Arial" w:eastAsia="Arial" w:hAnsi="Arial"/>
                <w:sz w:val="10"/>
                <w:szCs w:val="10"/>
                <w:color w:val="auto"/>
              </w:rPr>
              <w:t>Other comprehensive loss, net of income taxes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(52,979)</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(52,979)</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47"/>
        </w:trPr>
        <w:tc>
          <w:tcPr>
            <w:tcW w:w="3600" w:type="dxa"/>
            <w:vAlign w:val="bottom"/>
          </w:tcPr>
          <w:p>
            <w:pPr>
              <w:ind w:left="20"/>
              <w:spacing w:after="0"/>
              <w:rPr>
                <w:sz w:val="20"/>
                <w:szCs w:val="20"/>
                <w:color w:val="auto"/>
              </w:rPr>
            </w:pPr>
            <w:r>
              <w:rPr>
                <w:rFonts w:ascii="Arial" w:cs="Arial" w:eastAsia="Arial" w:hAnsi="Arial"/>
                <w:sz w:val="10"/>
                <w:szCs w:val="10"/>
                <w:color w:val="auto"/>
              </w:rPr>
              <w:t>As of June 30, 2022</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20,000</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392,973</w:t>
            </w:r>
          </w:p>
        </w:tc>
        <w:tc>
          <w:tcPr>
            <w:tcW w:w="2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7,131,747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905,274</w:t>
            </w:r>
          </w:p>
        </w:tc>
        <w:tc>
          <w:tcPr>
            <w:tcW w:w="22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(4,141,303)</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13,552</w:t>
            </w:r>
          </w:p>
        </w:tc>
        <w:tc>
          <w:tcPr>
            <w:tcW w:w="1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rPr>
              <w:t>4,322,243</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16,500</w:t>
            </w: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See accompanying Notes to Condensed Consolidated Financial Statements.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8" w:name="page9"/>
    <w:bookmarkEnd w:id="8"/>
    <w:p>
      <w:pPr>
        <w:ind w:left="4600"/>
        <w:spacing w:after="0"/>
        <w:rPr>
          <w:sz w:val="20"/>
          <w:szCs w:val="20"/>
          <w:color w:val="auto"/>
        </w:rPr>
      </w:pPr>
      <w:r>
        <w:rPr>
          <w:rFonts w:ascii="Arial" w:cs="Arial" w:eastAsia="Arial" w:hAnsi="Arial"/>
          <w:sz w:val="13"/>
          <w:szCs w:val="13"/>
          <w:b w:val="1"/>
          <w:bCs w:val="1"/>
          <w:color w:val="auto"/>
        </w:rPr>
        <w:t>GRAHAM HOLDINGS COMPANY</w:t>
      </w:r>
    </w:p>
    <w:p>
      <w:pPr>
        <w:spacing w:after="0" w:line="123"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(UNAUDITED)</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 BASIS OF PRESENTATION AND RECENT ACCOUNTING PRONOUNCEMENTS</w:t>
      </w:r>
    </w:p>
    <w:p>
      <w:pPr>
        <w:spacing w:after="0" w:line="129" w:lineRule="exact"/>
        <w:rPr>
          <w:sz w:val="20"/>
          <w:szCs w:val="20"/>
          <w:color w:val="auto"/>
        </w:rPr>
      </w:pPr>
    </w:p>
    <w:p>
      <w:pPr>
        <w:ind w:right="160"/>
        <w:spacing w:after="0" w:line="235" w:lineRule="auto"/>
        <w:rPr>
          <w:sz w:val="20"/>
          <w:szCs w:val="20"/>
          <w:color w:val="auto"/>
        </w:rPr>
      </w:pPr>
      <w:r>
        <w:rPr>
          <w:rFonts w:ascii="Arial" w:cs="Arial" w:eastAsia="Arial" w:hAnsi="Arial"/>
          <w:sz w:val="13"/>
          <w:szCs w:val="13"/>
          <w:color w:val="auto"/>
        </w:rPr>
        <w:t>Graham Holdings Company (the Company) is a diversified holding company whose operations include: education; television broadcasting–online, podcast, print and local TV news; manufacturing; home health and hospice care; automotive dealerships; and other businesses. The Company’s Kaplan subsidiary provides a wide variety of educational services, both domestically and outside the United States (U.S.). The Company’s television broadcast segment owns and operates seven television broadcasting stations. The Company’s manufacturing companies comprise the ownership of a supplier of pressure treated wood, a manufacturer of electrical solutions, a manufacturer of lifting solutions, and a supplier of parts used in electric</w:t>
      </w:r>
    </w:p>
    <w:p>
      <w:pPr>
        <w:ind w:right="100"/>
        <w:spacing w:after="0" w:line="235" w:lineRule="auto"/>
        <w:rPr>
          <w:sz w:val="20"/>
          <w:szCs w:val="20"/>
          <w:color w:val="auto"/>
        </w:rPr>
      </w:pPr>
      <w:r>
        <w:rPr>
          <w:rFonts w:ascii="Arial" w:cs="Arial" w:eastAsia="Arial" w:hAnsi="Arial"/>
          <w:sz w:val="13"/>
          <w:szCs w:val="13"/>
          <w:color w:val="auto"/>
        </w:rPr>
        <w:t>utilities and industrial systems. The Company’s healthcare segment provides home health, hospice and palliative services, in-home specialty pharmacy infusion therapies, applied behavior analysis (ABA) therapy, physician services for allergy, asthma and immunology patients, in-home aesthetics, and healthcare software-as-a-service technology. The Company’s automotive business comprises six dealerships and valet repair services. The Company’s other businesses include a consumer internet company; restaurants; a custom framing company; a marketing solutions provider; a customer data and analytics software company; website and print magazines; and a daily local news podcast and newsletter company.</w:t>
      </w:r>
    </w:p>
    <w:p>
      <w:pPr>
        <w:spacing w:after="0" w:line="156"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b w:val="1"/>
          <w:bCs w:val="1"/>
          <w:color w:val="auto"/>
        </w:rPr>
        <w:t xml:space="preserve">Basis of Presentation </w:t>
      </w:r>
      <w:r>
        <w:rPr>
          <w:rFonts w:ascii="Arial" w:cs="Arial" w:eastAsia="Arial" w:hAnsi="Arial"/>
          <w:sz w:val="13"/>
          <w:szCs w:val="13"/>
          <w:color w:val="auto"/>
        </w:rPr>
        <w:t>– The accompanying condensed consolidated financial statements have been prepared in accordance with: (i) generally accepted accounting principles in the United</w:t>
      </w:r>
      <w:r>
        <w:rPr>
          <w:rFonts w:ascii="Arial" w:cs="Arial" w:eastAsia="Arial" w:hAnsi="Arial"/>
          <w:sz w:val="13"/>
          <w:szCs w:val="13"/>
          <w:b w:val="1"/>
          <w:bCs w:val="1"/>
          <w:color w:val="auto"/>
        </w:rPr>
        <w:t xml:space="preserve"> </w:t>
      </w:r>
      <w:r>
        <w:rPr>
          <w:rFonts w:ascii="Arial" w:cs="Arial" w:eastAsia="Arial" w:hAnsi="Arial"/>
          <w:sz w:val="13"/>
          <w:szCs w:val="13"/>
          <w:color w:val="auto"/>
        </w:rPr>
        <w:t>States of America (GAAP) for interim financial information; (ii) the instructions to Form 10-Q; and (iii) the guidance of Rule 10-01 of Regulation S-X under the Securities and Exchange Act of</w:t>
      </w:r>
    </w:p>
    <w:p>
      <w:pPr>
        <w:spacing w:after="0"/>
        <w:rPr>
          <w:sz w:val="20"/>
          <w:szCs w:val="20"/>
          <w:color w:val="auto"/>
        </w:rPr>
      </w:pPr>
      <w:r>
        <w:rPr>
          <w:rFonts w:ascii="Arial" w:cs="Arial" w:eastAsia="Arial" w:hAnsi="Arial"/>
          <w:sz w:val="13"/>
          <w:szCs w:val="13"/>
          <w:color w:val="auto"/>
        </w:rPr>
        <w:t>1934, as amended, for financial statements required to be filed with the Securities and Exchange Commission (SEC). They include the assets, liabilities, results of operations and cash flows</w:t>
      </w:r>
    </w:p>
    <w:p>
      <w:pPr>
        <w:spacing w:after="0" w:line="2" w:lineRule="exact"/>
        <w:rPr>
          <w:sz w:val="20"/>
          <w:szCs w:val="20"/>
          <w:color w:val="auto"/>
        </w:rPr>
      </w:pPr>
    </w:p>
    <w:p>
      <w:pPr>
        <w:ind w:right="260"/>
        <w:spacing w:after="0" w:line="235" w:lineRule="auto"/>
        <w:rPr>
          <w:sz w:val="20"/>
          <w:szCs w:val="20"/>
          <w:color w:val="auto"/>
        </w:rPr>
      </w:pPr>
      <w:r>
        <w:rPr>
          <w:rFonts w:ascii="Arial" w:cs="Arial" w:eastAsia="Arial" w:hAnsi="Arial"/>
          <w:sz w:val="13"/>
          <w:szCs w:val="13"/>
          <w:color w:val="auto"/>
        </w:rPr>
        <w:t>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w:t>
      </w:r>
    </w:p>
    <w:p>
      <w:pPr>
        <w:spacing w:after="0"/>
        <w:rPr>
          <w:sz w:val="20"/>
          <w:szCs w:val="20"/>
          <w:color w:val="auto"/>
        </w:rPr>
      </w:pPr>
      <w:r>
        <w:rPr>
          <w:rFonts w:ascii="Arial" w:cs="Arial" w:eastAsia="Arial" w:hAnsi="Arial"/>
          <w:sz w:val="13"/>
          <w:szCs w:val="13"/>
          <w:color w:val="auto"/>
        </w:rPr>
        <w:t>normal and recurring adjustments necessary for a fair statement of the Company’s financial position, results of operations, and cash flows as of and for the periods presented herein. The</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Company’s results of operations for the three and six months ended June 30, 2023 and 2022 may not be indicative of the Company’s future results. These condensed consolidated financial statements are unaudited and should be read in conjunction with the Company’s audited consolidated financial statements and the notes thereto included in the Company’s Annual Report on</w:t>
      </w:r>
    </w:p>
    <w:p>
      <w:pPr>
        <w:spacing w:after="0"/>
        <w:rPr>
          <w:sz w:val="20"/>
          <w:szCs w:val="20"/>
          <w:color w:val="auto"/>
        </w:rPr>
      </w:pPr>
      <w:r>
        <w:rPr>
          <w:rFonts w:ascii="Arial" w:cs="Arial" w:eastAsia="Arial" w:hAnsi="Arial"/>
          <w:sz w:val="13"/>
          <w:szCs w:val="13"/>
          <w:color w:val="auto"/>
        </w:rPr>
        <w:t>Form 10-K for the fiscal year ended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Certain amounts in previously issued financial statements have been reclassified to conform to the current year presentation (see Note 15).</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Use of Estimates in the Preparation of the Condensed Consolidated Financial Statements </w:t>
      </w:r>
      <w:r>
        <w:rPr>
          <w:rFonts w:ascii="Arial" w:cs="Arial" w:eastAsia="Arial" w:hAnsi="Arial"/>
          <w:sz w:val="13"/>
          <w:szCs w:val="13"/>
          <w:color w:val="auto"/>
        </w:rPr>
        <w:t>– The preparation of the condensed consolidated financial statements in conformity with</w:t>
      </w:r>
    </w:p>
    <w:p>
      <w:pPr>
        <w:spacing w:after="0" w:line="18" w:lineRule="exact"/>
        <w:rPr>
          <w:sz w:val="20"/>
          <w:szCs w:val="20"/>
          <w:color w:val="auto"/>
        </w:rPr>
      </w:pPr>
    </w:p>
    <w:p>
      <w:pPr>
        <w:ind w:right="100"/>
        <w:spacing w:after="0" w:line="235" w:lineRule="auto"/>
        <w:rPr>
          <w:sz w:val="20"/>
          <w:szCs w:val="20"/>
          <w:color w:val="auto"/>
        </w:rPr>
      </w:pPr>
      <w:r>
        <w:rPr>
          <w:rFonts w:ascii="Arial" w:cs="Arial" w:eastAsia="Arial" w:hAnsi="Arial"/>
          <w:sz w:val="13"/>
          <w:szCs w:val="13"/>
          <w:color w:val="auto"/>
        </w:rPr>
        <w:t>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w:t>
      </w:r>
    </w:p>
    <w:p>
      <w:pPr>
        <w:spacing w:after="0"/>
        <w:rPr>
          <w:sz w:val="20"/>
          <w:szCs w:val="20"/>
          <w:color w:val="auto"/>
        </w:rPr>
      </w:pPr>
      <w:r>
        <w:rPr>
          <w:rFonts w:ascii="Arial" w:cs="Arial" w:eastAsia="Arial" w:hAnsi="Arial"/>
          <w:sz w:val="13"/>
          <w:szCs w:val="13"/>
          <w:color w:val="auto"/>
        </w:rPr>
        <w:t>be affected by changes in those estimates.</w:t>
      </w:r>
    </w:p>
    <w:p>
      <w:pPr>
        <w:spacing w:after="0" w:line="107" w:lineRule="exact"/>
        <w:rPr>
          <w:sz w:val="20"/>
          <w:szCs w:val="20"/>
          <w:color w:val="auto"/>
        </w:rPr>
      </w:pPr>
    </w:p>
    <w:p>
      <w:pPr>
        <w:jc w:val="both"/>
        <w:ind w:right="260"/>
        <w:spacing w:after="0" w:line="248" w:lineRule="auto"/>
        <w:rPr>
          <w:sz w:val="20"/>
          <w:szCs w:val="20"/>
          <w:color w:val="auto"/>
        </w:rPr>
      </w:pPr>
      <w:r>
        <w:rPr>
          <w:rFonts w:ascii="Arial" w:cs="Arial" w:eastAsia="Arial" w:hAnsi="Arial"/>
          <w:sz w:val="13"/>
          <w:szCs w:val="13"/>
          <w:b w:val="1"/>
          <w:bCs w:val="1"/>
          <w:color w:val="auto"/>
        </w:rPr>
        <w:t xml:space="preserve">Recently Adopted and Issued Accounting Pronouncements </w:t>
      </w:r>
      <w:r>
        <w:rPr>
          <w:rFonts w:ascii="Arial" w:cs="Arial" w:eastAsia="Arial" w:hAnsi="Arial"/>
          <w:sz w:val="13"/>
          <w:szCs w:val="13"/>
          <w:color w:val="auto"/>
        </w:rPr>
        <w:t>– In September 2022, the Financial Accounting Standards Board issued new guidance that requires a buyer in a supplier</w:t>
      </w:r>
      <w:r>
        <w:rPr>
          <w:rFonts w:ascii="Arial" w:cs="Arial" w:eastAsia="Arial" w:hAnsi="Arial"/>
          <w:sz w:val="13"/>
          <w:szCs w:val="13"/>
          <w:b w:val="1"/>
          <w:bCs w:val="1"/>
          <w:color w:val="auto"/>
        </w:rPr>
        <w:t xml:space="preserve"> </w:t>
      </w:r>
      <w:r>
        <w:rPr>
          <w:rFonts w:ascii="Arial" w:cs="Arial" w:eastAsia="Arial" w:hAnsi="Arial"/>
          <w:sz w:val="13"/>
          <w:szCs w:val="13"/>
          <w:color w:val="auto"/>
        </w:rPr>
        <w:t>finance program to disclose certain qualitative and quantitative information about the program’s nature, activity during the period, changes from period to period, and potential magnitude.</w:t>
      </w:r>
    </w:p>
    <w:p>
      <w:pPr>
        <w:spacing w:after="0"/>
        <w:rPr>
          <w:sz w:val="20"/>
          <w:szCs w:val="20"/>
          <w:color w:val="auto"/>
        </w:rPr>
      </w:pPr>
      <w:r>
        <w:rPr>
          <w:rFonts w:ascii="Arial" w:cs="Arial" w:eastAsia="Arial" w:hAnsi="Arial"/>
          <w:sz w:val="13"/>
          <w:szCs w:val="13"/>
          <w:color w:val="auto"/>
        </w:rPr>
        <w:t>The standard was adopted by the Company in the first quarter of 2023 and did not have a significant impact on its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ACQUISITIONS AND DISPOSITIONS OF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w:t>
      </w:r>
      <w:r>
        <w:rPr>
          <w:rFonts w:ascii="Arial" w:cs="Arial" w:eastAsia="Arial" w:hAnsi="Arial"/>
          <w:sz w:val="13"/>
          <w:szCs w:val="13"/>
          <w:color w:val="auto"/>
        </w:rPr>
        <w:t>. In January 2023, Graham Healthcare Group (GHG) acquired two small businesses which are included in healthcare.</w:t>
      </w:r>
    </w:p>
    <w:p>
      <w:pPr>
        <w:spacing w:after="0" w:line="129" w:lineRule="exact"/>
        <w:rPr>
          <w:sz w:val="20"/>
          <w:szCs w:val="20"/>
          <w:color w:val="auto"/>
        </w:rPr>
      </w:pPr>
    </w:p>
    <w:p>
      <w:pPr>
        <w:ind w:right="280"/>
        <w:spacing w:after="0" w:line="279" w:lineRule="auto"/>
        <w:rPr>
          <w:sz w:val="20"/>
          <w:szCs w:val="20"/>
          <w:color w:val="auto"/>
        </w:rPr>
      </w:pPr>
      <w:r>
        <w:rPr>
          <w:rFonts w:ascii="Arial" w:cs="Arial" w:eastAsia="Arial" w:hAnsi="Arial"/>
          <w:sz w:val="13"/>
          <w:szCs w:val="13"/>
          <w:color w:val="auto"/>
        </w:rPr>
        <w:t>During 2022, the Company acquired seven businesses: five in healthcare and two in automotive, for $143.2 million in cash and contingent consideration and the assumption of floor plan payables. The assets and liabilities of the companies acquired were recorded at their estimated fair values at the date of acquisition.</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In May 2022, GHG acquired two small businesses which are included in healthcare.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89"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color w:val="auto"/>
        </w:rPr>
        <w:t>On July 5, 2022, the Company’s automotive subsidiary acquired two automotive dealerships, including the real property for the dealership operations. In addition to a cash payment and the</w:t>
      </w:r>
    </w:p>
    <w:p>
      <w:pPr>
        <w:spacing w:after="0" w:line="12" w:lineRule="exact"/>
        <w:rPr>
          <w:sz w:val="20"/>
          <w:szCs w:val="20"/>
          <w:color w:val="auto"/>
        </w:rPr>
      </w:pPr>
    </w:p>
    <w:p>
      <w:pPr>
        <w:ind w:right="160"/>
        <w:spacing w:after="0" w:line="235" w:lineRule="auto"/>
        <w:rPr>
          <w:sz w:val="20"/>
          <w:szCs w:val="20"/>
          <w:color w:val="auto"/>
        </w:rPr>
      </w:pPr>
      <w:r>
        <w:rPr>
          <w:rFonts w:ascii="Arial" w:cs="Arial" w:eastAsia="Arial" w:hAnsi="Arial"/>
          <w:sz w:val="13"/>
          <w:szCs w:val="13"/>
          <w:color w:val="auto"/>
        </w:rPr>
        <w:t>assumption of $10.9 million in floor plan payables, the automotive subsidiary borrowed $77.4 million to finance the acquisition. The dealerships are operated and managed by an entity affiliated with Christopher J. Ourisman, a member of the Ourisman Automotive Group family of dealerships. These acquisitions expand the Company’s automotive business operations and</w:t>
      </w:r>
    </w:p>
    <w:p>
      <w:pPr>
        <w:spacing w:after="0"/>
        <w:rPr>
          <w:sz w:val="20"/>
          <w:szCs w:val="20"/>
          <w:color w:val="auto"/>
        </w:rPr>
      </w:pPr>
      <w:r>
        <w:rPr>
          <w:rFonts w:ascii="Arial" w:cs="Arial" w:eastAsia="Arial" w:hAnsi="Arial"/>
          <w:sz w:val="13"/>
          <w:szCs w:val="13"/>
          <w:color w:val="auto"/>
        </w:rPr>
        <w:t>are included in automotive.</w:t>
      </w:r>
    </w:p>
    <w:p>
      <w:pPr>
        <w:spacing w:after="0" w:line="113" w:lineRule="exact"/>
        <w:rPr>
          <w:sz w:val="20"/>
          <w:szCs w:val="20"/>
          <w:color w:val="auto"/>
        </w:rPr>
      </w:pPr>
    </w:p>
    <w:p>
      <w:pPr>
        <w:ind w:right="160"/>
        <w:spacing w:after="0" w:line="263" w:lineRule="auto"/>
        <w:rPr>
          <w:sz w:val="20"/>
          <w:szCs w:val="20"/>
          <w:color w:val="auto"/>
        </w:rPr>
      </w:pPr>
      <w:r>
        <w:rPr>
          <w:rFonts w:ascii="Arial" w:cs="Arial" w:eastAsia="Arial" w:hAnsi="Arial"/>
          <w:sz w:val="13"/>
          <w:szCs w:val="13"/>
          <w:color w:val="auto"/>
        </w:rPr>
        <w:t>In July 2022, GHG acquired a 100% interest in a multi-state provider of ABA clinics. The acquisition is expected to expand the product offerings of the healthcare division and is included in healthcare.</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In August 2022, GHG acquired two small businesses which are included in healthcare.</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3"/>
          <w:szCs w:val="13"/>
          <w:color w:val="auto"/>
        </w:rPr>
        <w:t>Acquisition-related costs for acquisitions were expensed as incurred. The aggregate purchase price of the 2022 acquisitions was allocated as follows, based on acquisition date fair values to the following assets and liabilities: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center"/>
              <w:ind w:right="241"/>
              <w:spacing w:after="0"/>
              <w:rPr>
                <w:sz w:val="20"/>
                <w:szCs w:val="20"/>
                <w:color w:val="auto"/>
              </w:rPr>
            </w:pPr>
            <w:r>
              <w:rPr>
                <w:rFonts w:ascii="Arial" w:cs="Arial" w:eastAsia="Arial" w:hAnsi="Arial"/>
                <w:sz w:val="11"/>
                <w:szCs w:val="11"/>
                <w:b w:val="1"/>
                <w:bCs w:val="1"/>
                <w:color w:val="auto"/>
                <w:w w:val="97"/>
              </w:rPr>
              <w:t>Purchase Price Allocation</w:t>
            </w:r>
          </w:p>
        </w:tc>
      </w:tr>
      <w:tr>
        <w:trPr>
          <w:trHeight w:val="147"/>
        </w:trPr>
        <w:tc>
          <w:tcPr>
            <w:tcW w:w="8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41"/>
              <w:spacing w:after="0"/>
              <w:rPr>
                <w:sz w:val="20"/>
                <w:szCs w:val="20"/>
                <w:color w:val="auto"/>
              </w:rPr>
            </w:pPr>
            <w:r>
              <w:rPr>
                <w:rFonts w:ascii="Arial" w:cs="Arial" w:eastAsia="Arial" w:hAnsi="Arial"/>
                <w:sz w:val="11"/>
                <w:szCs w:val="11"/>
                <w:b w:val="1"/>
                <w:bCs w:val="1"/>
                <w:color w:val="auto"/>
                <w:w w:val="99"/>
              </w:rPr>
              <w:t>Year Ended</w:t>
            </w:r>
          </w:p>
        </w:tc>
      </w:tr>
      <w:tr>
        <w:trPr>
          <w:trHeight w:val="157"/>
        </w:trPr>
        <w:tc>
          <w:tcPr>
            <w:tcW w:w="8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center"/>
              <w:ind w:right="241"/>
              <w:spacing w:after="0"/>
              <w:rPr>
                <w:sz w:val="20"/>
                <w:szCs w:val="20"/>
                <w:color w:val="auto"/>
              </w:rPr>
            </w:pPr>
            <w:r>
              <w:rPr>
                <w:rFonts w:ascii="Arial" w:cs="Arial" w:eastAsia="Arial" w:hAnsi="Arial"/>
                <w:sz w:val="11"/>
                <w:szCs w:val="11"/>
                <w:b w:val="1"/>
                <w:bCs w:val="1"/>
                <w:color w:val="auto"/>
                <w:w w:val="96"/>
              </w:rPr>
              <w:t>December 31, 2022</w:t>
            </w:r>
          </w:p>
        </w:tc>
      </w:tr>
      <w:tr>
        <w:trPr>
          <w:trHeight w:val="153"/>
        </w:trPr>
        <w:tc>
          <w:tcPr>
            <w:tcW w:w="8920" w:type="dxa"/>
            <w:vAlign w:val="bottom"/>
          </w:tcPr>
          <w:p>
            <w:pPr>
              <w:ind w:left="20"/>
              <w:spacing w:after="0"/>
              <w:rPr>
                <w:sz w:val="20"/>
                <w:szCs w:val="20"/>
                <w:color w:val="auto"/>
              </w:rPr>
            </w:pPr>
            <w:r>
              <w:rPr>
                <w:rFonts w:ascii="Arial" w:cs="Arial" w:eastAsia="Arial" w:hAnsi="Arial"/>
                <w:sz w:val="12"/>
                <w:szCs w:val="12"/>
                <w:color w:val="auto"/>
              </w:rPr>
              <w:t>Accounts receivable</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2"/>
                <w:szCs w:val="12"/>
                <w:color w:val="auto"/>
              </w:rPr>
              <w:t>3,172</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Inventory</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21,278</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36,255</w:t>
            </w:r>
          </w:p>
        </w:tc>
      </w:tr>
      <w:tr>
        <w:trPr>
          <w:trHeight w:val="182"/>
        </w:trPr>
        <w:tc>
          <w:tcPr>
            <w:tcW w:w="8920" w:type="dxa"/>
            <w:vAlign w:val="bottom"/>
          </w:tcPr>
          <w:p>
            <w:pPr>
              <w:ind w:left="20"/>
              <w:spacing w:after="0"/>
              <w:rPr>
                <w:sz w:val="20"/>
                <w:szCs w:val="20"/>
                <w:color w:val="auto"/>
              </w:rPr>
            </w:pPr>
            <w:r>
              <w:rPr>
                <w:rFonts w:ascii="Arial" w:cs="Arial" w:eastAsia="Arial" w:hAnsi="Arial"/>
                <w:sz w:val="12"/>
                <w:szCs w:val="12"/>
                <w:color w:val="auto"/>
              </w:rPr>
              <w:t>Lease right-of-use assets</w:t>
            </w:r>
          </w:p>
        </w:tc>
        <w:tc>
          <w:tcPr>
            <w:tcW w:w="3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4,773</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Goodwill</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53,946</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Indefinite-lived intangible assets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41,800</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Amortized intangible assets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1,200</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404</w:t>
            </w:r>
          </w:p>
        </w:tc>
      </w:tr>
      <w:tr>
        <w:trPr>
          <w:trHeight w:val="182"/>
        </w:trPr>
        <w:tc>
          <w:tcPr>
            <w:tcW w:w="8920" w:type="dxa"/>
            <w:vAlign w:val="bottom"/>
          </w:tcPr>
          <w:p>
            <w:pPr>
              <w:ind w:left="20"/>
              <w:spacing w:after="0"/>
              <w:rPr>
                <w:sz w:val="20"/>
                <w:szCs w:val="20"/>
                <w:color w:val="auto"/>
              </w:rPr>
            </w:pPr>
            <w:r>
              <w:rPr>
                <w:rFonts w:ascii="Arial" w:cs="Arial" w:eastAsia="Arial" w:hAnsi="Arial"/>
                <w:sz w:val="12"/>
                <w:szCs w:val="12"/>
                <w:color w:val="auto"/>
              </w:rPr>
              <w:t>Deferred income taxes</w:t>
            </w:r>
          </w:p>
        </w:tc>
        <w:tc>
          <w:tcPr>
            <w:tcW w:w="3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2,535</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Floor plan payables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(10,908)</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(3,798)</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Current and noncurrent lease liabilities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(5,865)</w:t>
            </w:r>
          </w:p>
        </w:tc>
      </w:tr>
      <w:tr>
        <w:trPr>
          <w:trHeight w:val="172"/>
        </w:trPr>
        <w:tc>
          <w:tcPr>
            <w:tcW w:w="8920" w:type="dxa"/>
            <w:vAlign w:val="bottom"/>
          </w:tcPr>
          <w:p>
            <w:pPr>
              <w:ind w:left="20"/>
              <w:spacing w:after="0"/>
              <w:rPr>
                <w:sz w:val="20"/>
                <w:szCs w:val="20"/>
                <w:color w:val="auto"/>
              </w:rPr>
            </w:pPr>
            <w:r>
              <w:rPr>
                <w:rFonts w:ascii="Arial" w:cs="Arial" w:eastAsia="Arial" w:hAnsi="Arial"/>
                <w:sz w:val="12"/>
                <w:szCs w:val="12"/>
                <w:color w:val="auto"/>
              </w:rPr>
              <w:t>Redeemable noncontrolling interest</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2"/>
                <w:szCs w:val="12"/>
                <w:color w:val="auto"/>
              </w:rPr>
              <w:t>(2,164)</w:t>
            </w:r>
          </w:p>
        </w:tc>
      </w:tr>
      <w:tr>
        <w:trPr>
          <w:trHeight w:val="189"/>
        </w:trPr>
        <w:tc>
          <w:tcPr>
            <w:tcW w:w="8920" w:type="dxa"/>
            <w:vAlign w:val="bottom"/>
          </w:tcPr>
          <w:p>
            <w:pPr>
              <w:ind w:left="20"/>
              <w:spacing w:after="0"/>
              <w:rPr>
                <w:sz w:val="20"/>
                <w:szCs w:val="20"/>
                <w:color w:val="auto"/>
              </w:rPr>
            </w:pPr>
            <w:r>
              <w:rPr>
                <w:rFonts w:ascii="Arial" w:cs="Arial" w:eastAsia="Arial" w:hAnsi="Arial"/>
                <w:sz w:val="12"/>
                <w:szCs w:val="12"/>
                <w:color w:val="auto"/>
              </w:rPr>
              <w:t>Noncontrolling interest</w:t>
            </w:r>
          </w:p>
        </w:tc>
        <w:tc>
          <w:tcPr>
            <w:tcW w:w="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w:t>
            </w:r>
          </w:p>
        </w:tc>
      </w:tr>
      <w:tr>
        <w:trPr>
          <w:trHeight w:val="169"/>
        </w:trPr>
        <w:tc>
          <w:tcPr>
            <w:tcW w:w="8920" w:type="dxa"/>
            <w:vAlign w:val="bottom"/>
          </w:tcPr>
          <w:p>
            <w:pPr>
              <w:ind w:left="20"/>
              <w:spacing w:after="0"/>
              <w:rPr>
                <w:sz w:val="20"/>
                <w:szCs w:val="20"/>
                <w:color w:val="auto"/>
              </w:rPr>
            </w:pPr>
            <w:r>
              <w:rPr>
                <w:rFonts w:ascii="Arial" w:cs="Arial" w:eastAsia="Arial" w:hAnsi="Arial"/>
                <w:sz w:val="12"/>
                <w:szCs w:val="12"/>
                <w:color w:val="auto"/>
              </w:rPr>
              <w:t>Aggregate purchase price, net of cash acquired</w:t>
            </w: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142,116</w:t>
            </w:r>
          </w:p>
        </w:tc>
      </w:tr>
      <w:tr>
        <w:trPr>
          <w:trHeight w:val="20"/>
        </w:trPr>
        <w:tc>
          <w:tcPr>
            <w:tcW w:w="8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The 2022 fair values recorded were based upon valuations and the estimates and assumptions used in such valuations are subject to change within the measurement period (up to one year from the acquisition date). Goodwill is calculated as the excess of the consideration transferred over the net assets recognized and represents the estimated future economic benefits arising</w:t>
      </w:r>
    </w:p>
    <w:p>
      <w:pPr>
        <w:ind w:right="100"/>
        <w:spacing w:after="0" w:line="263" w:lineRule="auto"/>
        <w:rPr>
          <w:sz w:val="20"/>
          <w:szCs w:val="20"/>
          <w:color w:val="auto"/>
        </w:rPr>
      </w:pPr>
      <w:r>
        <w:rPr>
          <w:rFonts w:ascii="Arial" w:cs="Arial" w:eastAsia="Arial" w:hAnsi="Arial"/>
          <w:sz w:val="13"/>
          <w:szCs w:val="13"/>
          <w:color w:val="auto"/>
        </w:rPr>
        <w:t>from other assets acquired that could not be individually identified and separately recognized. The goodwill recorded due to these acquisitions is attributable to the assembled workforces of the acquired companies and expected synergies. The Company expects to deduct $38.5 million of goodwill for income tax purposes for the acquisitions completed in 2022.</w:t>
      </w:r>
    </w:p>
    <w:p>
      <w:pPr>
        <w:spacing w:after="0" w:line="77"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The acquired companies were consolidated into the Company’s financial statements starting on their respective acquisition dates. The following unaudited pro forma information includes the 2022 acquisitions as if they occurred at the beginning of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tcPr>
          <w:p>
            <w:pPr>
              <w:jc w:val="center"/>
              <w:ind w:right="323"/>
              <w:spacing w:after="0"/>
              <w:rPr>
                <w:sz w:val="20"/>
                <w:szCs w:val="20"/>
                <w:color w:val="auto"/>
              </w:rPr>
            </w:pPr>
            <w:r>
              <w:rPr>
                <w:rFonts w:ascii="Arial" w:cs="Arial" w:eastAsia="Arial" w:hAnsi="Arial"/>
                <w:sz w:val="11"/>
                <w:szCs w:val="11"/>
                <w:b w:val="1"/>
                <w:bCs w:val="1"/>
                <w:color w:val="auto"/>
                <w:w w:val="97"/>
              </w:rPr>
              <w:t>Three Months Ended</w:t>
            </w:r>
          </w:p>
        </w:tc>
        <w:tc>
          <w:tcPr>
            <w:tcW w:w="400" w:type="dxa"/>
            <w:vAlign w:val="bottom"/>
          </w:tcPr>
          <w:p>
            <w:pPr>
              <w:spacing w:after="0"/>
              <w:rPr>
                <w:sz w:val="10"/>
                <w:szCs w:val="10"/>
                <w:color w:val="auto"/>
              </w:rPr>
            </w:pPr>
          </w:p>
        </w:tc>
        <w:tc>
          <w:tcPr>
            <w:tcW w:w="1860" w:type="dxa"/>
            <w:vAlign w:val="bottom"/>
          </w:tcPr>
          <w:p>
            <w:pPr>
              <w:jc w:val="right"/>
              <w:ind w:right="603"/>
              <w:spacing w:after="0"/>
              <w:rPr>
                <w:sz w:val="20"/>
                <w:szCs w:val="20"/>
                <w:color w:val="auto"/>
              </w:rPr>
            </w:pPr>
            <w:r>
              <w:rPr>
                <w:rFonts w:ascii="Arial" w:cs="Arial" w:eastAsia="Arial" w:hAnsi="Arial"/>
                <w:sz w:val="11"/>
                <w:szCs w:val="11"/>
                <w:b w:val="1"/>
                <w:bCs w:val="1"/>
                <w:color w:val="auto"/>
              </w:rPr>
              <w:t>Six Months Ended</w:t>
            </w:r>
          </w:p>
        </w:tc>
      </w:tr>
      <w:tr>
        <w:trPr>
          <w:trHeight w:val="155"/>
        </w:trPr>
        <w:tc>
          <w:tcPr>
            <w:tcW w:w="6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823"/>
              <w:spacing w:after="0"/>
              <w:rPr>
                <w:sz w:val="20"/>
                <w:szCs w:val="20"/>
                <w:color w:val="auto"/>
              </w:rPr>
            </w:pPr>
            <w:r>
              <w:rPr>
                <w:rFonts w:ascii="Arial" w:cs="Arial" w:eastAsia="Arial" w:hAnsi="Arial"/>
                <w:sz w:val="11"/>
                <w:szCs w:val="11"/>
                <w:b w:val="1"/>
                <w:bCs w:val="1"/>
                <w:color w:val="auto"/>
              </w:rPr>
              <w:t>June 30</w:t>
            </w:r>
          </w:p>
        </w:tc>
      </w:tr>
      <w:tr>
        <w:trPr>
          <w:trHeight w:val="148"/>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963"/>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923"/>
              <w:spacing w:after="0"/>
              <w:rPr>
                <w:sz w:val="20"/>
                <w:szCs w:val="20"/>
                <w:color w:val="auto"/>
              </w:rPr>
            </w:pPr>
            <w:r>
              <w:rPr>
                <w:rFonts w:ascii="Arial" w:cs="Arial" w:eastAsia="Arial" w:hAnsi="Arial"/>
                <w:sz w:val="11"/>
                <w:szCs w:val="11"/>
                <w:color w:val="auto"/>
              </w:rPr>
              <w:t>2022</w:t>
            </w:r>
          </w:p>
        </w:tc>
      </w:tr>
      <w:tr>
        <w:trPr>
          <w:trHeight w:val="157"/>
        </w:trPr>
        <w:tc>
          <w:tcPr>
            <w:tcW w:w="676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920" w:type="dxa"/>
            <w:vAlign w:val="bottom"/>
          </w:tcPr>
          <w:p>
            <w:pPr>
              <w:jc w:val="right"/>
              <w:ind w:right="43"/>
              <w:spacing w:after="0"/>
              <w:rPr>
                <w:sz w:val="20"/>
                <w:szCs w:val="20"/>
                <w:color w:val="auto"/>
              </w:rPr>
            </w:pPr>
            <w:r>
              <w:rPr>
                <w:rFonts w:ascii="Arial" w:cs="Arial" w:eastAsia="Arial" w:hAnsi="Arial"/>
                <w:sz w:val="12"/>
                <w:szCs w:val="12"/>
                <w:color w:val="auto"/>
              </w:rPr>
              <w:t>1,015,285</w:t>
            </w:r>
          </w:p>
        </w:tc>
        <w:tc>
          <w:tcPr>
            <w:tcW w:w="4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860" w:type="dxa"/>
            <w:vAlign w:val="bottom"/>
          </w:tcPr>
          <w:p>
            <w:pPr>
              <w:jc w:val="right"/>
              <w:ind w:right="3"/>
              <w:spacing w:after="0"/>
              <w:rPr>
                <w:sz w:val="20"/>
                <w:szCs w:val="20"/>
                <w:color w:val="auto"/>
              </w:rPr>
            </w:pPr>
            <w:r>
              <w:rPr>
                <w:rFonts w:ascii="Arial" w:cs="Arial" w:eastAsia="Arial" w:hAnsi="Arial"/>
                <w:sz w:val="12"/>
                <w:szCs w:val="12"/>
                <w:color w:val="auto"/>
              </w:rPr>
              <w:t>2,013,479</w:t>
            </w:r>
          </w:p>
        </w:tc>
      </w:tr>
      <w:tr>
        <w:trPr>
          <w:trHeight w:val="172"/>
        </w:trPr>
        <w:tc>
          <w:tcPr>
            <w:tcW w:w="676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320" w:type="dxa"/>
            <w:vAlign w:val="bottom"/>
          </w:tcPr>
          <w:p>
            <w:pPr>
              <w:spacing w:after="0"/>
              <w:rPr>
                <w:sz w:val="14"/>
                <w:szCs w:val="14"/>
                <w:color w:val="auto"/>
              </w:rPr>
            </w:pPr>
          </w:p>
        </w:tc>
        <w:tc>
          <w:tcPr>
            <w:tcW w:w="1920" w:type="dxa"/>
            <w:vAlign w:val="bottom"/>
          </w:tcPr>
          <w:p>
            <w:pPr>
              <w:jc w:val="right"/>
              <w:ind w:right="3"/>
              <w:spacing w:after="0"/>
              <w:rPr>
                <w:sz w:val="20"/>
                <w:szCs w:val="20"/>
                <w:color w:val="auto"/>
              </w:rPr>
            </w:pPr>
            <w:r>
              <w:rPr>
                <w:rFonts w:ascii="Arial" w:cs="Arial" w:eastAsia="Arial" w:hAnsi="Arial"/>
                <w:sz w:val="12"/>
                <w:szCs w:val="12"/>
                <w:color w:val="auto"/>
              </w:rPr>
              <w:t>(62,062)</w:t>
            </w:r>
          </w:p>
        </w:tc>
        <w:tc>
          <w:tcPr>
            <w:tcW w:w="400" w:type="dxa"/>
            <w:vAlign w:val="bottom"/>
          </w:tcPr>
          <w:p>
            <w:pPr>
              <w:spacing w:after="0"/>
              <w:rPr>
                <w:sz w:val="14"/>
                <w:szCs w:val="14"/>
                <w:color w:val="auto"/>
              </w:rPr>
            </w:pPr>
          </w:p>
        </w:tc>
        <w:tc>
          <w:tcPr>
            <w:tcW w:w="1860" w:type="dxa"/>
            <w:vAlign w:val="bottom"/>
          </w:tcPr>
          <w:p>
            <w:pPr>
              <w:jc w:val="right"/>
              <w:ind w:right="3"/>
              <w:spacing w:after="0"/>
              <w:rPr>
                <w:sz w:val="20"/>
                <w:szCs w:val="20"/>
                <w:color w:val="auto"/>
              </w:rPr>
            </w:pPr>
            <w:r>
              <w:rPr>
                <w:rFonts w:ascii="Arial" w:cs="Arial" w:eastAsia="Arial" w:hAnsi="Arial"/>
                <w:sz w:val="12"/>
                <w:szCs w:val="12"/>
                <w:color w:val="auto"/>
              </w:rPr>
              <w:t>38,614</w:t>
            </w:r>
          </w:p>
        </w:tc>
      </w:tr>
    </w:tbl>
    <w:p>
      <w:pPr>
        <w:spacing w:after="0" w:line="186"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w:t>
      </w:r>
    </w:p>
    <w:p>
      <w:pPr>
        <w:ind w:right="100"/>
        <w:spacing w:after="0" w:line="263" w:lineRule="auto"/>
        <w:rPr>
          <w:sz w:val="20"/>
          <w:szCs w:val="20"/>
          <w:color w:val="auto"/>
        </w:rPr>
      </w:pPr>
      <w:r>
        <w:rPr>
          <w:rFonts w:ascii="Arial" w:cs="Arial" w:eastAsia="Arial" w:hAnsi="Arial"/>
          <w:sz w:val="13"/>
          <w:szCs w:val="13"/>
          <w:color w:val="auto"/>
        </w:rPr>
        <w:t>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71" w:lineRule="exact"/>
        <w:rPr>
          <w:sz w:val="20"/>
          <w:szCs w:val="20"/>
          <w:color w:val="auto"/>
        </w:rPr>
      </w:pPr>
    </w:p>
    <w:p>
      <w:pPr>
        <w:ind w:right="680"/>
        <w:spacing w:after="0" w:line="288" w:lineRule="auto"/>
        <w:rPr>
          <w:sz w:val="20"/>
          <w:szCs w:val="20"/>
          <w:color w:val="auto"/>
        </w:rPr>
      </w:pPr>
      <w:r>
        <w:rPr>
          <w:rFonts w:ascii="Arial" w:cs="Arial" w:eastAsia="Arial" w:hAnsi="Arial"/>
          <w:sz w:val="13"/>
          <w:szCs w:val="13"/>
          <w:b w:val="1"/>
          <w:bCs w:val="1"/>
          <w:color w:val="auto"/>
        </w:rPr>
        <w:t xml:space="preserve">Disposition of Businesses. </w:t>
      </w:r>
      <w:r>
        <w:rPr>
          <w:rFonts w:ascii="Arial" w:cs="Arial" w:eastAsia="Arial" w:hAnsi="Arial"/>
          <w:sz w:val="13"/>
          <w:szCs w:val="13"/>
          <w:color w:val="auto"/>
        </w:rPr>
        <w:t>In June 2023, the Company entered into an agreement to merge the Pinna business with Realm of Possibility, Inc. (Realm) in return for an additional</w:t>
      </w:r>
      <w:r>
        <w:rPr>
          <w:rFonts w:ascii="Arial" w:cs="Arial" w:eastAsia="Arial" w:hAnsi="Arial"/>
          <w:sz w:val="13"/>
          <w:szCs w:val="13"/>
          <w:b w:val="1"/>
          <w:bCs w:val="1"/>
          <w:color w:val="auto"/>
        </w:rPr>
        <w:t xml:space="preserve"> </w:t>
      </w:r>
      <w:r>
        <w:rPr>
          <w:rFonts w:ascii="Arial" w:cs="Arial" w:eastAsia="Arial" w:hAnsi="Arial"/>
          <w:sz w:val="13"/>
          <w:szCs w:val="13"/>
          <w:color w:val="auto"/>
        </w:rPr>
        <w:t>noncontrolling financial interest in Realm (the Pinna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10" w:name="page11"/>
    <w:bookmarkEnd w:id="10"/>
    <w:p>
      <w:pPr>
        <w:ind w:right="420"/>
        <w:spacing w:after="0" w:line="279" w:lineRule="auto"/>
        <w:rPr>
          <w:sz w:val="20"/>
          <w:szCs w:val="20"/>
          <w:color w:val="auto"/>
        </w:rPr>
      </w:pPr>
      <w:r>
        <w:rPr>
          <w:rFonts w:ascii="Arial" w:cs="Arial" w:eastAsia="Arial" w:hAnsi="Arial"/>
          <w:sz w:val="13"/>
          <w:szCs w:val="13"/>
          <w:color w:val="auto"/>
        </w:rPr>
        <w:t>transaction). The Company deconsolidated the Pinna subsidiary, which was included in other businesses, and continues to account for its interest in Realm under the equity method of accounting (see Notes 3 and 12).</w:t>
      </w:r>
    </w:p>
    <w:p>
      <w:pPr>
        <w:spacing w:after="0" w:line="67"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In October 2022, the Company entered into an agreement to merge the CyberVista business with CyberWire, Inc. in return for a noncontrolling financial interest in the merged entity, N2K Networks, Inc. (the CyberVista transaction). The Company deconsolidated the CyberVista subsidiary, which was included in other businesses, and accounts for its continuing interest in N2K Networks under the equity method of accounting (see Note 3).</w:t>
      </w:r>
    </w:p>
    <w:p>
      <w:pPr>
        <w:spacing w:after="0" w:line="72" w:lineRule="exact"/>
        <w:rPr>
          <w:sz w:val="20"/>
          <w:szCs w:val="20"/>
          <w:color w:val="auto"/>
        </w:rPr>
      </w:pPr>
    </w:p>
    <w:p>
      <w:pPr>
        <w:ind w:right="700"/>
        <w:spacing w:after="0" w:line="288" w:lineRule="auto"/>
        <w:rPr>
          <w:sz w:val="20"/>
          <w:szCs w:val="20"/>
          <w:color w:val="auto"/>
        </w:rPr>
      </w:pPr>
      <w:r>
        <w:rPr>
          <w:rFonts w:ascii="Arial" w:cs="Arial" w:eastAsia="Arial" w:hAnsi="Arial"/>
          <w:sz w:val="13"/>
          <w:szCs w:val="13"/>
          <w:b w:val="1"/>
          <w:bCs w:val="1"/>
          <w:color w:val="auto"/>
        </w:rPr>
        <w:t xml:space="preserve">Other Transactions. </w:t>
      </w:r>
      <w:r>
        <w:rPr>
          <w:rFonts w:ascii="Arial" w:cs="Arial" w:eastAsia="Arial" w:hAnsi="Arial"/>
          <w:sz w:val="13"/>
          <w:szCs w:val="13"/>
          <w:color w:val="auto"/>
        </w:rPr>
        <w:t>In November 2022, a CSI Pharmacy Holdings Company, LLC (CSI) minority shareholder put some shares to the Company, which had a redemption value of</w:t>
      </w:r>
      <w:r>
        <w:rPr>
          <w:rFonts w:ascii="Arial" w:cs="Arial" w:eastAsia="Arial" w:hAnsi="Arial"/>
          <w:sz w:val="13"/>
          <w:szCs w:val="13"/>
          <w:b w:val="1"/>
          <w:bCs w:val="1"/>
          <w:color w:val="auto"/>
        </w:rPr>
        <w:t xml:space="preserve"> </w:t>
      </w:r>
      <w:r>
        <w:rPr>
          <w:rFonts w:ascii="Arial" w:cs="Arial" w:eastAsia="Arial" w:hAnsi="Arial"/>
          <w:sz w:val="13"/>
          <w:szCs w:val="13"/>
          <w:color w:val="auto"/>
        </w:rPr>
        <w:t>$1.2 million. Following the redemption, the Company owns 76.5% of CSI.</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INVESTMENTS</w:t>
      </w:r>
    </w:p>
    <w:p>
      <w:pPr>
        <w:spacing w:after="0" w:line="113" w:lineRule="exact"/>
        <w:rPr>
          <w:sz w:val="20"/>
          <w:szCs w:val="20"/>
          <w:color w:val="auto"/>
        </w:rPr>
      </w:pPr>
    </w:p>
    <w:p>
      <w:pPr>
        <w:ind w:right="100"/>
        <w:spacing w:after="0" w:line="288" w:lineRule="auto"/>
        <w:rPr>
          <w:sz w:val="20"/>
          <w:szCs w:val="20"/>
          <w:color w:val="auto"/>
        </w:rPr>
      </w:pPr>
      <w:r>
        <w:rPr>
          <w:rFonts w:ascii="Arial" w:cs="Arial" w:eastAsia="Arial" w:hAnsi="Arial"/>
          <w:sz w:val="13"/>
          <w:szCs w:val="13"/>
          <w:b w:val="1"/>
          <w:bCs w:val="1"/>
          <w:color w:val="auto"/>
        </w:rPr>
        <w:t xml:space="preserve">Money Market Investments. </w:t>
      </w:r>
      <w:r>
        <w:rPr>
          <w:rFonts w:ascii="Arial" w:cs="Arial" w:eastAsia="Arial" w:hAnsi="Arial"/>
          <w:sz w:val="13"/>
          <w:szCs w:val="13"/>
          <w:color w:val="auto"/>
        </w:rPr>
        <w:t>As of June 30, 2023 and December 31, 2022, the Company had money market investments of $6.0 million and $7.7 million, respectively, that are classified as</w:t>
      </w:r>
      <w:r>
        <w:rPr>
          <w:rFonts w:ascii="Arial" w:cs="Arial" w:eastAsia="Arial" w:hAnsi="Arial"/>
          <w:sz w:val="13"/>
          <w:szCs w:val="13"/>
          <w:b w:val="1"/>
          <w:bCs w:val="1"/>
          <w:color w:val="auto"/>
        </w:rPr>
        <w:t xml:space="preserve"> </w:t>
      </w:r>
      <w:r>
        <w:rPr>
          <w:rFonts w:ascii="Arial" w:cs="Arial" w:eastAsia="Arial" w:hAnsi="Arial"/>
          <w:sz w:val="13"/>
          <w:szCs w:val="13"/>
          <w:color w:val="auto"/>
        </w:rPr>
        <w:t>cash and cash equivalents in the Company’s Condensed Consolidated Balance Sheets.</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Investments in Marketable Equity Securities. </w:t>
      </w:r>
      <w:r>
        <w:rPr>
          <w:rFonts w:ascii="Arial" w:cs="Arial" w:eastAsia="Arial" w:hAnsi="Arial"/>
          <w:sz w:val="13"/>
          <w:szCs w:val="13"/>
          <w:color w:val="auto"/>
        </w:rPr>
        <w:t>Investments in marketable equity securities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1"/>
                <w:szCs w:val="11"/>
                <w:b w:val="1"/>
                <w:bCs w:val="1"/>
                <w:color w:val="auto"/>
              </w:rPr>
              <w:t>As of</w:t>
            </w:r>
          </w:p>
        </w:tc>
        <w:tc>
          <w:tcPr>
            <w:tcW w:w="1140" w:type="dxa"/>
            <w:vAlign w:val="bottom"/>
            <w:tcBorders>
              <w:bottom w:val="single" w:sz="8" w:color="auto"/>
            </w:tcBorders>
          </w:tcPr>
          <w:p>
            <w:pPr>
              <w:spacing w:after="0"/>
              <w:rPr>
                <w:sz w:val="13"/>
                <w:szCs w:val="13"/>
                <w:color w:val="auto"/>
              </w:rPr>
            </w:pPr>
          </w:p>
        </w:tc>
      </w:tr>
      <w:tr>
        <w:trPr>
          <w:trHeight w:val="118"/>
        </w:trPr>
        <w:tc>
          <w:tcPr>
            <w:tcW w:w="8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right"/>
              <w:ind w:right="442"/>
              <w:spacing w:after="0" w:line="119" w:lineRule="exact"/>
              <w:rPr>
                <w:sz w:val="20"/>
                <w:szCs w:val="20"/>
                <w:color w:val="auto"/>
              </w:rPr>
            </w:pPr>
            <w:r>
              <w:rPr>
                <w:rFonts w:ascii="Arial" w:cs="Arial" w:eastAsia="Arial" w:hAnsi="Arial"/>
                <w:sz w:val="11"/>
                <w:szCs w:val="11"/>
                <w:b w:val="1"/>
                <w:bCs w:val="1"/>
                <w:color w:val="auto"/>
              </w:rPr>
              <w:t>June 30,</w:t>
            </w:r>
          </w:p>
        </w:tc>
        <w:tc>
          <w:tcPr>
            <w:tcW w:w="300" w:type="dxa"/>
            <w:vAlign w:val="bottom"/>
          </w:tcPr>
          <w:p>
            <w:pPr>
              <w:spacing w:after="0"/>
              <w:rPr>
                <w:sz w:val="10"/>
                <w:szCs w:val="10"/>
                <w:color w:val="auto"/>
              </w:rPr>
            </w:pPr>
          </w:p>
        </w:tc>
        <w:tc>
          <w:tcPr>
            <w:tcW w:w="1140" w:type="dxa"/>
            <w:vAlign w:val="bottom"/>
          </w:tcPr>
          <w:p>
            <w:pPr>
              <w:jc w:val="right"/>
              <w:ind w:right="282"/>
              <w:spacing w:after="0" w:line="119" w:lineRule="exact"/>
              <w:rPr>
                <w:sz w:val="20"/>
                <w:szCs w:val="20"/>
                <w:color w:val="auto"/>
              </w:rPr>
            </w:pPr>
            <w:r>
              <w:rPr>
                <w:rFonts w:ascii="Arial" w:cs="Arial" w:eastAsia="Arial" w:hAnsi="Arial"/>
                <w:sz w:val="11"/>
                <w:szCs w:val="11"/>
                <w:color w:val="auto"/>
              </w:rPr>
              <w:t>December 31,</w:t>
            </w:r>
          </w:p>
        </w:tc>
      </w:tr>
      <w:tr>
        <w:trPr>
          <w:trHeight w:val="15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2"/>
              <w:spacing w:after="0"/>
              <w:rPr>
                <w:sz w:val="20"/>
                <w:szCs w:val="20"/>
                <w:color w:val="auto"/>
              </w:rPr>
            </w:pPr>
            <w:r>
              <w:rPr>
                <w:rFonts w:ascii="Arial" w:cs="Arial" w:eastAsia="Arial" w:hAnsi="Arial"/>
                <w:sz w:val="11"/>
                <w:szCs w:val="11"/>
                <w:b w:val="1"/>
                <w:bCs w:val="1"/>
                <w:color w:val="auto"/>
              </w:rPr>
              <w:t>2023</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color w:val="auto"/>
              </w:rPr>
              <w:t>2022</w:t>
            </w:r>
          </w:p>
        </w:tc>
      </w:tr>
      <w:tr>
        <w:trPr>
          <w:trHeight w:val="158"/>
        </w:trPr>
        <w:tc>
          <w:tcPr>
            <w:tcW w:w="8420" w:type="dxa"/>
            <w:vAlign w:val="bottom"/>
          </w:tcPr>
          <w:p>
            <w:pPr>
              <w:ind w:left="20"/>
              <w:spacing w:after="0"/>
              <w:rPr>
                <w:sz w:val="20"/>
                <w:szCs w:val="20"/>
                <w:color w:val="auto"/>
              </w:rPr>
            </w:pPr>
            <w:r>
              <w:rPr>
                <w:rFonts w:ascii="Arial" w:cs="Arial" w:eastAsia="Arial" w:hAnsi="Arial"/>
                <w:sz w:val="12"/>
                <w:szCs w:val="12"/>
                <w:color w:val="auto"/>
              </w:rPr>
              <w:t>Total cost</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2"/>
                <w:szCs w:val="12"/>
                <w:b w:val="1"/>
                <w:bCs w:val="1"/>
                <w:color w:val="auto"/>
              </w:rPr>
              <w:t>225,971</w:t>
            </w:r>
          </w:p>
        </w:tc>
        <w:tc>
          <w:tcPr>
            <w:tcW w:w="30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270,764</w:t>
            </w:r>
          </w:p>
        </w:tc>
      </w:tr>
      <w:tr>
        <w:trPr>
          <w:trHeight w:val="179"/>
        </w:trPr>
        <w:tc>
          <w:tcPr>
            <w:tcW w:w="8420" w:type="dxa"/>
            <w:vAlign w:val="bottom"/>
          </w:tcPr>
          <w:p>
            <w:pPr>
              <w:ind w:left="20"/>
              <w:spacing w:after="0"/>
              <w:rPr>
                <w:sz w:val="20"/>
                <w:szCs w:val="20"/>
                <w:color w:val="auto"/>
              </w:rPr>
            </w:pPr>
            <w:r>
              <w:rPr>
                <w:rFonts w:ascii="Arial" w:cs="Arial" w:eastAsia="Arial" w:hAnsi="Arial"/>
                <w:sz w:val="12"/>
                <w:szCs w:val="12"/>
                <w:color w:val="auto"/>
              </w:rPr>
              <w:t>Gross unrealized gains</w:t>
            </w:r>
          </w:p>
        </w:tc>
        <w:tc>
          <w:tcPr>
            <w:tcW w:w="28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b w:val="1"/>
                <w:bCs w:val="1"/>
                <w:color w:val="auto"/>
              </w:rPr>
              <w:t>422,785</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363,147</w:t>
            </w:r>
          </w:p>
        </w:tc>
      </w:tr>
      <w:tr>
        <w:trPr>
          <w:trHeight w:val="175"/>
        </w:trPr>
        <w:tc>
          <w:tcPr>
            <w:tcW w:w="8420" w:type="dxa"/>
            <w:vAlign w:val="bottom"/>
          </w:tcPr>
          <w:p>
            <w:pPr>
              <w:ind w:left="20"/>
              <w:spacing w:after="0"/>
              <w:rPr>
                <w:sz w:val="20"/>
                <w:szCs w:val="20"/>
                <w:color w:val="auto"/>
              </w:rPr>
            </w:pPr>
            <w:r>
              <w:rPr>
                <w:rFonts w:ascii="Arial" w:cs="Arial" w:eastAsia="Arial" w:hAnsi="Arial"/>
                <w:sz w:val="12"/>
                <w:szCs w:val="12"/>
                <w:color w:val="auto"/>
              </w:rPr>
              <w:t>Gross unrealized losses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(23,990)</w:t>
            </w:r>
          </w:p>
        </w:tc>
      </w:tr>
      <w:tr>
        <w:trPr>
          <w:trHeight w:val="165"/>
        </w:trPr>
        <w:tc>
          <w:tcPr>
            <w:tcW w:w="8420" w:type="dxa"/>
            <w:vAlign w:val="bottom"/>
          </w:tcPr>
          <w:p>
            <w:pPr>
              <w:ind w:left="20"/>
              <w:spacing w:after="0"/>
              <w:rPr>
                <w:sz w:val="20"/>
                <w:szCs w:val="20"/>
                <w:color w:val="auto"/>
              </w:rPr>
            </w:pPr>
            <w:r>
              <w:rPr>
                <w:rFonts w:ascii="Arial" w:cs="Arial" w:eastAsia="Arial" w:hAnsi="Arial"/>
                <w:sz w:val="12"/>
                <w:szCs w:val="12"/>
                <w:b w:val="1"/>
                <w:bCs w:val="1"/>
                <w:color w:val="auto"/>
              </w:rPr>
              <w:t>Total Fair Value</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648,756</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609,921</w:t>
            </w:r>
          </w:p>
        </w:tc>
      </w:tr>
      <w:tr>
        <w:trPr>
          <w:trHeight w:val="20"/>
        </w:trPr>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At June 30, 2023 and December 31, 2022, the Company owned 55,430 shares in Markel Group Inc. (Markel) valued at $76.7 million and $73.0 million, respectively. The Chief Executive Officer of Markel, Mr. Thomas S. Gayner, is a member of the Company’s Board of Directors. As of June 30, 2023, the Company owned 422 Class A and 482,945 Class B shares in Berkshire</w:t>
      </w:r>
    </w:p>
    <w:p>
      <w:pPr>
        <w:spacing w:after="0"/>
        <w:rPr>
          <w:sz w:val="20"/>
          <w:szCs w:val="20"/>
          <w:color w:val="auto"/>
        </w:rPr>
      </w:pPr>
      <w:r>
        <w:rPr>
          <w:rFonts w:ascii="Arial" w:cs="Arial" w:eastAsia="Arial" w:hAnsi="Arial"/>
          <w:sz w:val="13"/>
          <w:szCs w:val="13"/>
          <w:color w:val="auto"/>
        </w:rPr>
        <w:t>Hathaway valued at $383.2 million, which exceeded 5% of the Company’s total assets.</w:t>
      </w:r>
    </w:p>
    <w:p>
      <w:pPr>
        <w:spacing w:after="0" w:line="113"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The Company purchased $4.6 million of marketable equity securities during the first six months of 2023. The Company purchased $31.5 million of marketable equity securities during the first six months of 2022.</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six months of 2023, the gross cumulative realized net gains from the sales of marketable equity securities were $13.0 million. The total proceeds from such sales were $62.0</w:t>
      </w:r>
    </w:p>
    <w:p>
      <w:pPr>
        <w:spacing w:after="0" w:line="12" w:lineRule="exact"/>
        <w:rPr>
          <w:sz w:val="20"/>
          <w:szCs w:val="20"/>
          <w:color w:val="auto"/>
        </w:rPr>
      </w:pPr>
    </w:p>
    <w:p>
      <w:pPr>
        <w:ind w:right="240"/>
        <w:spacing w:after="0" w:line="247" w:lineRule="auto"/>
        <w:rPr>
          <w:sz w:val="20"/>
          <w:szCs w:val="20"/>
          <w:color w:val="auto"/>
        </w:rPr>
      </w:pPr>
      <w:r>
        <w:rPr>
          <w:rFonts w:ascii="Arial" w:cs="Arial" w:eastAsia="Arial" w:hAnsi="Arial"/>
          <w:sz w:val="13"/>
          <w:szCs w:val="13"/>
          <w:color w:val="auto"/>
        </w:rPr>
        <w:t>million. During the first six months of 2022, the gross cumulative realized gains from the sales of marketable equity securities were $39.1 million. The total proceeds from such sales were $74.2 million.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net gain (loss) on marketable equity securities comprised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20" w:type="dxa"/>
            <w:vAlign w:val="bottom"/>
            <w:gridSpan w:val="3"/>
          </w:tcPr>
          <w:p>
            <w:pPr>
              <w:jc w:val="right"/>
              <w:ind w:right="581"/>
              <w:spacing w:after="0"/>
              <w:rPr>
                <w:sz w:val="20"/>
                <w:szCs w:val="20"/>
                <w:color w:val="auto"/>
              </w:rPr>
            </w:pPr>
            <w:r>
              <w:rPr>
                <w:rFonts w:ascii="Arial" w:cs="Arial" w:eastAsia="Arial" w:hAnsi="Arial"/>
                <w:sz w:val="11"/>
                <w:szCs w:val="11"/>
                <w:b w:val="1"/>
                <w:bCs w:val="1"/>
                <w:color w:val="auto"/>
              </w:rPr>
              <w:t>Three Months Ended</w:t>
            </w:r>
          </w:p>
        </w:tc>
        <w:tc>
          <w:tcPr>
            <w:tcW w:w="300" w:type="dxa"/>
            <w:vAlign w:val="bottom"/>
          </w:tcPr>
          <w:p>
            <w:pPr>
              <w:spacing w:after="0"/>
              <w:rPr>
                <w:sz w:val="10"/>
                <w:szCs w:val="10"/>
                <w:color w:val="auto"/>
              </w:rPr>
            </w:pPr>
          </w:p>
        </w:tc>
        <w:tc>
          <w:tcPr>
            <w:tcW w:w="1320" w:type="dxa"/>
            <w:vAlign w:val="bottom"/>
            <w:gridSpan w:val="2"/>
          </w:tcPr>
          <w:p>
            <w:pPr>
              <w:ind w:left="380"/>
              <w:spacing w:after="0"/>
              <w:rPr>
                <w:sz w:val="20"/>
                <w:szCs w:val="20"/>
                <w:color w:val="auto"/>
              </w:rPr>
            </w:pPr>
            <w:r>
              <w:rPr>
                <w:rFonts w:ascii="Arial" w:cs="Arial" w:eastAsia="Arial" w:hAnsi="Arial"/>
                <w:sz w:val="11"/>
                <w:szCs w:val="11"/>
                <w:b w:val="1"/>
                <w:bCs w:val="1"/>
                <w:color w:val="auto"/>
                <w:w w:val="96"/>
              </w:rPr>
              <w:t>Six Months Ended</w:t>
            </w:r>
          </w:p>
        </w:tc>
        <w:tc>
          <w:tcPr>
            <w:tcW w:w="640" w:type="dxa"/>
            <w:vAlign w:val="bottom"/>
          </w:tcPr>
          <w:p>
            <w:pPr>
              <w:spacing w:after="0"/>
              <w:rPr>
                <w:sz w:val="10"/>
                <w:szCs w:val="10"/>
                <w:color w:val="auto"/>
              </w:rPr>
            </w:pPr>
          </w:p>
        </w:tc>
      </w:tr>
      <w:tr>
        <w:trPr>
          <w:trHeight w:val="155"/>
        </w:trPr>
        <w:tc>
          <w:tcPr>
            <w:tcW w:w="67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1"/>
                <w:szCs w:val="11"/>
                <w:b w:val="1"/>
                <w:bCs w:val="1"/>
                <w:color w:val="auto"/>
              </w:rPr>
              <w:t>June 30</w:t>
            </w: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680"/>
              <w:spacing w:after="0"/>
              <w:rPr>
                <w:sz w:val="20"/>
                <w:szCs w:val="20"/>
                <w:color w:val="auto"/>
              </w:rPr>
            </w:pPr>
            <w:r>
              <w:rPr>
                <w:rFonts w:ascii="Arial" w:cs="Arial" w:eastAsia="Arial" w:hAnsi="Arial"/>
                <w:sz w:val="11"/>
                <w:szCs w:val="11"/>
                <w:b w:val="1"/>
                <w:bCs w:val="1"/>
                <w:color w:val="auto"/>
              </w:rPr>
              <w:t>June 30</w:t>
            </w:r>
          </w:p>
        </w:tc>
        <w:tc>
          <w:tcPr>
            <w:tcW w:w="640" w:type="dxa"/>
            <w:vAlign w:val="bottom"/>
            <w:tcBorders>
              <w:bottom w:val="single" w:sz="8" w:color="auto"/>
            </w:tcBorders>
          </w:tcPr>
          <w:p>
            <w:pPr>
              <w:spacing w:after="0"/>
              <w:rPr>
                <w:sz w:val="13"/>
                <w:szCs w:val="13"/>
                <w:color w:val="auto"/>
              </w:rPr>
            </w:pPr>
          </w:p>
        </w:tc>
      </w:tr>
      <w:tr>
        <w:trPr>
          <w:trHeight w:val="152"/>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2022</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w w:val="89"/>
              </w:rPr>
              <w:t>2022</w:t>
            </w:r>
          </w:p>
        </w:tc>
      </w:tr>
      <w:tr>
        <w:trPr>
          <w:trHeight w:val="163"/>
        </w:trPr>
        <w:tc>
          <w:tcPr>
            <w:tcW w:w="6760" w:type="dxa"/>
            <w:vAlign w:val="bottom"/>
          </w:tcPr>
          <w:p>
            <w:pPr>
              <w:ind w:left="20"/>
              <w:spacing w:after="0"/>
              <w:rPr>
                <w:sz w:val="20"/>
                <w:szCs w:val="20"/>
                <w:color w:val="auto"/>
              </w:rPr>
            </w:pPr>
            <w:r>
              <w:rPr>
                <w:rFonts w:ascii="Arial" w:cs="Arial" w:eastAsia="Arial" w:hAnsi="Arial"/>
                <w:sz w:val="12"/>
                <w:szCs w:val="12"/>
                <w:color w:val="auto"/>
              </w:rPr>
              <w:t>Gain (loss) on marketable equity securities, net</w:t>
            </w:r>
          </w:p>
        </w:tc>
        <w:tc>
          <w:tcPr>
            <w:tcW w:w="240" w:type="dxa"/>
            <w:vAlign w:val="bottom"/>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43"/>
              <w:spacing w:after="0"/>
              <w:rPr>
                <w:sz w:val="20"/>
                <w:szCs w:val="20"/>
                <w:color w:val="auto"/>
              </w:rPr>
            </w:pPr>
            <w:r>
              <w:rPr>
                <w:rFonts w:ascii="Arial" w:cs="Arial" w:eastAsia="Arial" w:hAnsi="Arial"/>
                <w:sz w:val="12"/>
                <w:szCs w:val="12"/>
                <w:b w:val="1"/>
                <w:bCs w:val="1"/>
                <w:color w:val="auto"/>
              </w:rPr>
              <w:t>78,648</w:t>
            </w:r>
          </w:p>
        </w:tc>
        <w:tc>
          <w:tcPr>
            <w:tcW w:w="34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(165,540)</w:t>
            </w:r>
          </w:p>
        </w:tc>
        <w:tc>
          <w:tcPr>
            <w:tcW w:w="300" w:type="dxa"/>
            <w:vAlign w:val="bottom"/>
          </w:tcPr>
          <w:p>
            <w:pPr>
              <w:jc w:val="right"/>
              <w:ind w:right="119"/>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ind w:left="380"/>
              <w:spacing w:after="0"/>
              <w:rPr>
                <w:sz w:val="20"/>
                <w:szCs w:val="20"/>
                <w:color w:val="auto"/>
              </w:rPr>
            </w:pPr>
            <w:r>
              <w:rPr>
                <w:rFonts w:ascii="Arial" w:cs="Arial" w:eastAsia="Arial" w:hAnsi="Arial"/>
                <w:sz w:val="12"/>
                <w:szCs w:val="12"/>
                <w:b w:val="1"/>
                <w:bCs w:val="1"/>
                <w:color w:val="auto"/>
              </w:rPr>
              <w:t>96,670</w:t>
            </w:r>
          </w:p>
        </w:tc>
        <w:tc>
          <w:tcPr>
            <w:tcW w:w="460" w:type="dxa"/>
            <w:vAlign w:val="bottom"/>
          </w:tcPr>
          <w:p>
            <w:pPr>
              <w:jc w:val="right"/>
              <w:ind w:right="27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(118,628)</w:t>
            </w:r>
          </w:p>
        </w:tc>
      </w:tr>
      <w:tr>
        <w:trPr>
          <w:trHeight w:val="174"/>
        </w:trPr>
        <w:tc>
          <w:tcPr>
            <w:tcW w:w="6760" w:type="dxa"/>
            <w:vAlign w:val="bottom"/>
          </w:tcPr>
          <w:p>
            <w:pPr>
              <w:ind w:left="20"/>
              <w:spacing w:after="0"/>
              <w:rPr>
                <w:sz w:val="20"/>
                <w:szCs w:val="20"/>
                <w:color w:val="auto"/>
              </w:rPr>
            </w:pPr>
            <w:r>
              <w:rPr>
                <w:rFonts w:ascii="Arial" w:cs="Arial" w:eastAsia="Arial" w:hAnsi="Arial"/>
                <w:sz w:val="12"/>
                <w:szCs w:val="12"/>
                <w:color w:val="auto"/>
              </w:rPr>
              <w:t>Less: Net (gains) losses in earnings from marketable equity securities sold and donated</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(9,132)</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4,838</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(5,475)</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10,605</w:t>
            </w:r>
          </w:p>
        </w:tc>
      </w:tr>
      <w:tr>
        <w:trPr>
          <w:trHeight w:val="174"/>
        </w:trPr>
        <w:tc>
          <w:tcPr>
            <w:tcW w:w="6760" w:type="dxa"/>
            <w:vAlign w:val="bottom"/>
          </w:tcPr>
          <w:p>
            <w:pPr>
              <w:ind w:left="20"/>
              <w:spacing w:after="0"/>
              <w:rPr>
                <w:sz w:val="20"/>
                <w:szCs w:val="20"/>
                <w:color w:val="auto"/>
              </w:rPr>
            </w:pPr>
            <w:r>
              <w:rPr>
                <w:rFonts w:ascii="Arial" w:cs="Arial" w:eastAsia="Arial" w:hAnsi="Arial"/>
                <w:sz w:val="12"/>
                <w:szCs w:val="12"/>
                <w:b w:val="1"/>
                <w:bCs w:val="1"/>
                <w:color w:val="auto"/>
              </w:rPr>
              <w:t>Net unrealized gains (losses) in earnings from marketable equity securities still held at the end of the period</w:t>
            </w: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69,516</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(160,702)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91,195</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(108,023)</w:t>
            </w: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Investments in Affiliates. </w:t>
      </w:r>
      <w:r>
        <w:rPr>
          <w:rFonts w:ascii="Arial" w:cs="Arial" w:eastAsia="Arial" w:hAnsi="Arial"/>
          <w:sz w:val="13"/>
          <w:szCs w:val="13"/>
          <w:color w:val="auto"/>
        </w:rPr>
        <w:t>In June 2023, the Company entered into an agreement to merge the Pinna business with Realm in return for an additional noncontrolling financial interest in</w:t>
      </w:r>
    </w:p>
    <w:p>
      <w:pPr>
        <w:spacing w:after="0" w:line="18" w:lineRule="exact"/>
        <w:rPr>
          <w:sz w:val="20"/>
          <w:szCs w:val="20"/>
          <w:color w:val="auto"/>
        </w:rPr>
      </w:pPr>
    </w:p>
    <w:p>
      <w:pPr>
        <w:ind w:right="80"/>
        <w:spacing w:after="0" w:line="235" w:lineRule="auto"/>
        <w:rPr>
          <w:sz w:val="20"/>
          <w:szCs w:val="20"/>
          <w:color w:val="auto"/>
        </w:rPr>
      </w:pPr>
      <w:r>
        <w:rPr>
          <w:rFonts w:ascii="Arial" w:cs="Arial" w:eastAsia="Arial" w:hAnsi="Arial"/>
          <w:sz w:val="13"/>
          <w:szCs w:val="13"/>
          <w:color w:val="auto"/>
        </w:rPr>
        <w:t>Realm. The Company held an equity interest in Realm prior to the merger transaction, which was accounted for under the equity method. Following the merger transaction, the Company’s convertible note in Realm converted into equity and the Company also made an additional investment in Realm. As of June 30, 2023, the Company held a 42.2% interest in Realm on a fully</w:t>
      </w:r>
    </w:p>
    <w:p>
      <w:pPr>
        <w:spacing w:after="0"/>
        <w:rPr>
          <w:sz w:val="20"/>
          <w:szCs w:val="20"/>
          <w:color w:val="auto"/>
        </w:rPr>
      </w:pPr>
      <w:r>
        <w:rPr>
          <w:rFonts w:ascii="Arial" w:cs="Arial" w:eastAsia="Arial" w:hAnsi="Arial"/>
          <w:sz w:val="13"/>
          <w:szCs w:val="13"/>
          <w:color w:val="auto"/>
        </w:rPr>
        <w:t>diluted basis, and continues to account for its investment under the equity method.</w:t>
      </w:r>
    </w:p>
    <w:p>
      <w:pPr>
        <w:spacing w:after="0" w:line="113" w:lineRule="exact"/>
        <w:rPr>
          <w:sz w:val="20"/>
          <w:szCs w:val="20"/>
          <w:color w:val="auto"/>
        </w:rPr>
      </w:pPr>
    </w:p>
    <w:p>
      <w:pPr>
        <w:ind w:right="180"/>
        <w:spacing w:after="0" w:line="243" w:lineRule="auto"/>
        <w:rPr>
          <w:sz w:val="20"/>
          <w:szCs w:val="20"/>
          <w:color w:val="auto"/>
        </w:rPr>
      </w:pPr>
      <w:r>
        <w:rPr>
          <w:rFonts w:ascii="Arial" w:cs="Arial" w:eastAsia="Arial" w:hAnsi="Arial"/>
          <w:sz w:val="13"/>
          <w:szCs w:val="13"/>
          <w:color w:val="auto"/>
        </w:rPr>
        <w:t>As of June 30, 2023, the Company held a 49.9% interest in N2K Networks on a fully diluted basis, and accounts for its investment under the equity method. The Company holds two of the five seats of N2K Networks’ governing board with the other shareholders retaining substantive participation rights to control the financial and operating decisions of N2K Networks through</w:t>
      </w:r>
    </w:p>
    <w:p>
      <w:pPr>
        <w:spacing w:after="0"/>
        <w:rPr>
          <w:sz w:val="20"/>
          <w:szCs w:val="20"/>
          <w:color w:val="auto"/>
        </w:rPr>
      </w:pPr>
      <w:r>
        <w:rPr>
          <w:rFonts w:ascii="Arial" w:cs="Arial" w:eastAsia="Arial" w:hAnsi="Arial"/>
          <w:sz w:val="13"/>
          <w:szCs w:val="13"/>
          <w:color w:val="auto"/>
        </w:rPr>
        <w:t>representation on the board.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As of June 30, 2023, the Company held an approximate 18% interest in Intersection Holdings, LLC (Intersection), and accounts for its investment under the equity method. The Company</w:t>
      </w:r>
    </w:p>
    <w:p>
      <w:pPr>
        <w:spacing w:after="0" w:line="12"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holds two of the ten seats of Intersection’s governing board, which allows the Company to exercise significant influence over Intersection. In April 2023, the Company entered into a term note agreement to loan Intersection $30.0 million at an interest rate of 9% per annum. The principal and interest on the note are payable in monthly installments over 5 years with the final</w:t>
      </w:r>
    </w:p>
    <w:p>
      <w:pPr>
        <w:spacing w:after="0"/>
        <w:rPr>
          <w:sz w:val="20"/>
          <w:szCs w:val="20"/>
          <w:color w:val="auto"/>
        </w:rPr>
      </w:pPr>
      <w:r>
        <w:rPr>
          <w:rFonts w:ascii="Arial" w:cs="Arial" w:eastAsia="Arial" w:hAnsi="Arial"/>
          <w:sz w:val="13"/>
          <w:szCs w:val="13"/>
          <w:color w:val="auto"/>
        </w:rPr>
        <w:t>payment due by May 2028. The outstanding balance on this loan was $29.7 million as of June 30, 2023.</w:t>
      </w:r>
    </w:p>
    <w:p>
      <w:pPr>
        <w:spacing w:after="0" w:line="113"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As of June 30, 2023, the Company also held investments in several other affiliates; GHG held a 40% interest in Residential Home Health Illinois, a 40% interest in Residential Hospice Illinois, a 40% interest in the joint venture formed between GHG and a Michigan hospital, and a 40% interest in the joint venture formed between GHG and Allegheny Health Network (AHN).</w:t>
      </w:r>
    </w:p>
    <w:p>
      <w:pPr>
        <w:spacing w:after="0"/>
        <w:rPr>
          <w:sz w:val="20"/>
          <w:szCs w:val="20"/>
          <w:color w:val="auto"/>
        </w:rPr>
      </w:pPr>
      <w:r>
        <w:rPr>
          <w:rFonts w:ascii="Arial" w:cs="Arial" w:eastAsia="Arial" w:hAnsi="Arial"/>
          <w:sz w:val="13"/>
          <w:szCs w:val="13"/>
          <w:color w:val="auto"/>
        </w:rPr>
        <w:t>During the first quarter of 2022, GHG invested an additional $18.5 million in the Residential Home Health Illinois and Residential Hospice Illinois affiliates to fund their acquisition of certain</w:t>
      </w:r>
    </w:p>
    <w:p>
      <w:pPr>
        <w:spacing w:after="0" w:line="2" w:lineRule="exact"/>
        <w:rPr>
          <w:sz w:val="20"/>
          <w:szCs w:val="20"/>
          <w:color w:val="auto"/>
        </w:rPr>
      </w:pPr>
    </w:p>
    <w:p>
      <w:pPr>
        <w:ind w:right="20"/>
        <w:spacing w:after="0" w:line="235" w:lineRule="auto"/>
        <w:rPr>
          <w:sz w:val="20"/>
          <w:szCs w:val="20"/>
          <w:color w:val="auto"/>
        </w:rPr>
      </w:pPr>
      <w:r>
        <w:rPr>
          <w:rFonts w:ascii="Arial" w:cs="Arial" w:eastAsia="Arial" w:hAnsi="Arial"/>
          <w:sz w:val="13"/>
          <w:szCs w:val="13"/>
          <w:color w:val="auto"/>
        </w:rPr>
        <w:t>home health and hospice assets of the NorthShore University HealthSystem. The transaction diluted GHG’s interest in Residential Hospice Illinois resulting in a $0.6 million gain on the sale of investment in affiliate (see Note 12). For the three and six months ended June 30, 2023, the Company recorded $3.9 million and $7.4 million, respectively, in revenue for services provided</w:t>
      </w:r>
    </w:p>
    <w:p>
      <w:pPr>
        <w:ind w:right="20"/>
        <w:spacing w:after="0" w:line="263" w:lineRule="auto"/>
        <w:rPr>
          <w:sz w:val="20"/>
          <w:szCs w:val="20"/>
          <w:color w:val="auto"/>
        </w:rPr>
      </w:pPr>
      <w:r>
        <w:rPr>
          <w:rFonts w:ascii="Arial" w:cs="Arial" w:eastAsia="Arial" w:hAnsi="Arial"/>
          <w:sz w:val="13"/>
          <w:szCs w:val="13"/>
          <w:color w:val="auto"/>
        </w:rPr>
        <w:t>to the affiliates of GHG. For the three and six months ended June 30, 2022, the Company recorded $3.7 million and $7.0 million, respectively, in revenue for services provided to the affiliates of GHG.</w:t>
      </w:r>
    </w:p>
    <w:p>
      <w:pPr>
        <w:spacing w:after="0" w:line="77" w:lineRule="exact"/>
        <w:rPr>
          <w:sz w:val="20"/>
          <w:szCs w:val="20"/>
          <w:color w:val="auto"/>
        </w:rPr>
      </w:pPr>
    </w:p>
    <w:p>
      <w:pPr>
        <w:ind w:right="680"/>
        <w:spacing w:after="0" w:line="279" w:lineRule="auto"/>
        <w:rPr>
          <w:sz w:val="20"/>
          <w:szCs w:val="20"/>
          <w:color w:val="auto"/>
        </w:rPr>
      </w:pPr>
      <w:r>
        <w:rPr>
          <w:rFonts w:ascii="Arial" w:cs="Arial" w:eastAsia="Arial" w:hAnsi="Arial"/>
          <w:sz w:val="13"/>
          <w:szCs w:val="13"/>
          <w:color w:val="auto"/>
        </w:rPr>
        <w:t>The Company had $ 42.6 million and $49.1 million in its investment account that represents cumulative undistributed income in its investments in affiliates as of June 30, 2023 and December 31, 2022, respectively.</w:t>
      </w:r>
    </w:p>
    <w:p>
      <w:pPr>
        <w:spacing w:after="0" w:line="77" w:lineRule="exact"/>
        <w:rPr>
          <w:sz w:val="20"/>
          <w:szCs w:val="20"/>
          <w:color w:val="auto"/>
        </w:rPr>
      </w:pPr>
    </w:p>
    <w:p>
      <w:pPr>
        <w:ind w:right="500"/>
        <w:spacing w:after="0" w:line="243" w:lineRule="auto"/>
        <w:rPr>
          <w:sz w:val="20"/>
          <w:szCs w:val="20"/>
          <w:color w:val="auto"/>
        </w:rPr>
      </w:pPr>
      <w:r>
        <w:rPr>
          <w:rFonts w:ascii="Arial" w:cs="Arial" w:eastAsia="Arial" w:hAnsi="Arial"/>
          <w:sz w:val="13"/>
          <w:szCs w:val="13"/>
          <w:color w:val="auto"/>
        </w:rPr>
        <w:t>Additionally, Kaplan International Holdings Limited (KIHL) held a 45% interest in a joint venture formed with University of York. KIHL loaned the joint venture £22 million, which loan is repayable over 25 years at an interest rate of 7% and guaranteed by the University of York. The outstanding balance on this loan was £20.4 million as of June 30, 2023. The loan is</w:t>
      </w:r>
    </w:p>
    <w:p>
      <w:pPr>
        <w:spacing w:after="0"/>
        <w:rPr>
          <w:sz w:val="20"/>
          <w:szCs w:val="20"/>
          <w:color w:val="auto"/>
        </w:rPr>
      </w:pPr>
      <w:r>
        <w:rPr>
          <w:rFonts w:ascii="Arial" w:cs="Arial" w:eastAsia="Arial" w:hAnsi="Arial"/>
          <w:sz w:val="13"/>
          <w:szCs w:val="13"/>
          <w:color w:val="auto"/>
        </w:rPr>
        <w:t>repayable by December 2041.</w:t>
      </w:r>
    </w:p>
    <w:p>
      <w:pPr>
        <w:spacing w:after="0" w:line="107" w:lineRule="exact"/>
        <w:rPr>
          <w:sz w:val="20"/>
          <w:szCs w:val="20"/>
          <w:color w:val="auto"/>
        </w:rPr>
      </w:pPr>
    </w:p>
    <w:p>
      <w:pPr>
        <w:ind w:right="140"/>
        <w:spacing w:after="0" w:line="248" w:lineRule="auto"/>
        <w:rPr>
          <w:sz w:val="20"/>
          <w:szCs w:val="20"/>
          <w:color w:val="auto"/>
        </w:rPr>
      </w:pPr>
      <w:r>
        <w:rPr>
          <w:rFonts w:ascii="Arial" w:cs="Arial" w:eastAsia="Arial" w:hAnsi="Arial"/>
          <w:sz w:val="13"/>
          <w:szCs w:val="13"/>
          <w:b w:val="1"/>
          <w:bCs w:val="1"/>
          <w:color w:val="auto"/>
        </w:rPr>
        <w:t xml:space="preserve">Cost Method Investments. </w:t>
      </w:r>
      <w:r>
        <w:rPr>
          <w:rFonts w:ascii="Arial" w:cs="Arial" w:eastAsia="Arial" w:hAnsi="Arial"/>
          <w:sz w:val="13"/>
          <w:szCs w:val="13"/>
          <w:color w:val="auto"/>
        </w:rPr>
        <w:t>The Company held investments without readily determinable fair values in a number of equity securities that are accounted for as cost method investments,</w:t>
      </w:r>
      <w:r>
        <w:rPr>
          <w:rFonts w:ascii="Arial" w:cs="Arial" w:eastAsia="Arial" w:hAnsi="Arial"/>
          <w:sz w:val="13"/>
          <w:szCs w:val="13"/>
          <w:b w:val="1"/>
          <w:bCs w:val="1"/>
          <w:color w:val="auto"/>
        </w:rPr>
        <w:t xml:space="preserve"> </w:t>
      </w:r>
      <w:r>
        <w:rPr>
          <w:rFonts w:ascii="Arial" w:cs="Arial" w:eastAsia="Arial" w:hAnsi="Arial"/>
          <w:sz w:val="13"/>
          <w:szCs w:val="13"/>
          <w:color w:val="auto"/>
        </w:rPr>
        <w:t>which are recorded at cost, less impairment, and adjusted for observable price changes for identical or similar investments of the same issuer. The carrying value of these investments was</w:t>
      </w:r>
    </w:p>
    <w:p>
      <w:pPr>
        <w:ind w:right="20"/>
        <w:spacing w:after="0" w:line="247" w:lineRule="auto"/>
        <w:rPr>
          <w:sz w:val="20"/>
          <w:szCs w:val="20"/>
          <w:color w:val="auto"/>
        </w:rPr>
      </w:pPr>
      <w:r>
        <w:rPr>
          <w:rFonts w:ascii="Arial" w:cs="Arial" w:eastAsia="Arial" w:hAnsi="Arial"/>
          <w:sz w:val="13"/>
          <w:szCs w:val="13"/>
          <w:color w:val="auto"/>
        </w:rPr>
        <w:t>$73.4 million and $66.7 million as of June 30, 2023 and December 31, 2022, respectively. During the three and six months ended June 30, 2023, the Company recorded gains of $1.3 million and $3.1 million, respectively, to those equity securities based on observable transactions.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ACCOUNTS RECEIVABLE, ACCOUNTS PAYABLE AND ACCRUED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 consist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1"/>
                <w:szCs w:val="11"/>
                <w:b w:val="1"/>
                <w:bCs w:val="1"/>
                <w:color w:val="auto"/>
              </w:rPr>
              <w:t>As of</w:t>
            </w:r>
          </w:p>
        </w:tc>
        <w:tc>
          <w:tcPr>
            <w:tcW w:w="1080" w:type="dxa"/>
            <w:vAlign w:val="bottom"/>
            <w:tcBorders>
              <w:bottom w:val="single" w:sz="8" w:color="auto"/>
            </w:tcBorders>
          </w:tcPr>
          <w:p>
            <w:pPr>
              <w:spacing w:after="0"/>
              <w:rPr>
                <w:sz w:val="13"/>
                <w:szCs w:val="13"/>
                <w:color w:val="auto"/>
              </w:rPr>
            </w:pPr>
          </w:p>
        </w:tc>
      </w:tr>
      <w:tr>
        <w:trPr>
          <w:trHeight w:val="118"/>
        </w:trPr>
        <w:tc>
          <w:tcPr>
            <w:tcW w:w="8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right"/>
              <w:ind w:right="443"/>
              <w:spacing w:after="0" w:line="119" w:lineRule="exact"/>
              <w:rPr>
                <w:sz w:val="20"/>
                <w:szCs w:val="20"/>
                <w:color w:val="auto"/>
              </w:rPr>
            </w:pPr>
            <w:r>
              <w:rPr>
                <w:rFonts w:ascii="Arial" w:cs="Arial" w:eastAsia="Arial" w:hAnsi="Arial"/>
                <w:sz w:val="11"/>
                <w:szCs w:val="11"/>
                <w:b w:val="1"/>
                <w:bCs w:val="1"/>
                <w:color w:val="auto"/>
              </w:rPr>
              <w:t>June 30,</w:t>
            </w:r>
          </w:p>
        </w:tc>
        <w:tc>
          <w:tcPr>
            <w:tcW w:w="260" w:type="dxa"/>
            <w:vAlign w:val="bottom"/>
          </w:tcPr>
          <w:p>
            <w:pPr>
              <w:spacing w:after="0"/>
              <w:rPr>
                <w:sz w:val="10"/>
                <w:szCs w:val="10"/>
                <w:color w:val="auto"/>
              </w:rPr>
            </w:pPr>
          </w:p>
        </w:tc>
        <w:tc>
          <w:tcPr>
            <w:tcW w:w="1080" w:type="dxa"/>
            <w:vAlign w:val="bottom"/>
          </w:tcPr>
          <w:p>
            <w:pPr>
              <w:jc w:val="right"/>
              <w:ind w:right="242"/>
              <w:spacing w:after="0" w:line="119" w:lineRule="exact"/>
              <w:rPr>
                <w:sz w:val="20"/>
                <w:szCs w:val="20"/>
                <w:color w:val="auto"/>
              </w:rPr>
            </w:pPr>
            <w:r>
              <w:rPr>
                <w:rFonts w:ascii="Arial" w:cs="Arial" w:eastAsia="Arial" w:hAnsi="Arial"/>
                <w:sz w:val="11"/>
                <w:szCs w:val="11"/>
                <w:color w:val="auto"/>
              </w:rPr>
              <w:t>December 31,</w:t>
            </w:r>
          </w:p>
        </w:tc>
      </w:tr>
      <w:tr>
        <w:trPr>
          <w:trHeight w:val="155"/>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2023</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color w:val="auto"/>
              </w:rPr>
              <w:t>2022</w:t>
            </w:r>
          </w:p>
        </w:tc>
      </w:tr>
      <w:tr>
        <w:trPr>
          <w:trHeight w:val="163"/>
        </w:trPr>
        <w:tc>
          <w:tcPr>
            <w:tcW w:w="8540" w:type="dxa"/>
            <w:vAlign w:val="bottom"/>
          </w:tcPr>
          <w:p>
            <w:pPr>
              <w:ind w:left="20"/>
              <w:spacing w:after="0"/>
              <w:rPr>
                <w:sz w:val="20"/>
                <w:szCs w:val="20"/>
                <w:color w:val="auto"/>
              </w:rPr>
            </w:pPr>
            <w:r>
              <w:rPr>
                <w:rFonts w:ascii="Arial" w:cs="Arial" w:eastAsia="Arial" w:hAnsi="Arial"/>
                <w:sz w:val="12"/>
                <w:szCs w:val="12"/>
                <w:color w:val="auto"/>
              </w:rPr>
              <w:t>Receivables from contracts with customers, less estimated credit losses of $24,252 and $21,387</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2"/>
                <w:szCs w:val="12"/>
                <w:b w:val="1"/>
                <w:bCs w:val="1"/>
                <w:color w:val="auto"/>
              </w:rPr>
              <w:t>440,944</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533,622</w:t>
            </w:r>
          </w:p>
        </w:tc>
      </w:tr>
      <w:tr>
        <w:trPr>
          <w:trHeight w:val="173"/>
        </w:trPr>
        <w:tc>
          <w:tcPr>
            <w:tcW w:w="8540" w:type="dxa"/>
            <w:vAlign w:val="bottom"/>
          </w:tcPr>
          <w:p>
            <w:pPr>
              <w:ind w:left="20"/>
              <w:spacing w:after="0"/>
              <w:rPr>
                <w:sz w:val="20"/>
                <w:szCs w:val="20"/>
                <w:color w:val="auto"/>
              </w:rPr>
            </w:pPr>
            <w:r>
              <w:rPr>
                <w:rFonts w:ascii="Arial" w:cs="Arial" w:eastAsia="Arial" w:hAnsi="Arial"/>
                <w:sz w:val="12"/>
                <w:szCs w:val="12"/>
                <w:color w:val="auto"/>
              </w:rPr>
              <w:t>Other receivables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27,419</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27,157</w:t>
            </w:r>
          </w:p>
        </w:tc>
      </w:tr>
      <w:tr>
        <w:trPr>
          <w:trHeight w:val="163"/>
        </w:trPr>
        <w:tc>
          <w:tcPr>
            <w:tcW w:w="854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468,363</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560,779</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3"/>
          <w:szCs w:val="13"/>
          <w:color w:val="auto"/>
        </w:rPr>
        <w:t>Credit loss expense was $1.4 million and $0.7 million for the three months ended June 30, 2023 and 2022, respectively. Credit loss expense was $1.9 million and $2.2 million for the six months ended June 30, 2023 and 2022,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Accounts payable and accrued liabilities consist of the following:</w:t>
      </w:r>
    </w:p>
    <w:p>
      <w:pPr>
        <w:sectPr>
          <w:pgSz w:w="11900" w:h="16838" w:orient="portrait"/>
          <w:cols w:equalWidth="0" w:num="1">
            <w:col w:w="11280"/>
          </w:cols>
          <w:pgMar w:left="300" w:top="695" w:right="3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Accounts payable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Accrued compensation and related benefits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accrued liabilities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1"/>
          <w:szCs w:val="11"/>
          <w:b w:val="1"/>
          <w:bCs w:val="1"/>
          <w:color w:val="auto"/>
        </w:rPr>
        <w:t>As of</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ind w:right="442"/>
              <w:spacing w:after="0" w:line="114" w:lineRule="exact"/>
              <w:rPr>
                <w:sz w:val="20"/>
                <w:szCs w:val="20"/>
                <w:color w:val="auto"/>
              </w:rPr>
            </w:pPr>
            <w:r>
              <w:rPr>
                <w:rFonts w:ascii="Arial" w:cs="Arial" w:eastAsia="Arial" w:hAnsi="Arial"/>
                <w:sz w:val="11"/>
                <w:szCs w:val="11"/>
                <w:b w:val="1"/>
                <w:bCs w:val="1"/>
                <w:color w:val="auto"/>
              </w:rPr>
              <w:t>June 30,</w:t>
            </w:r>
          </w:p>
        </w:tc>
        <w:tc>
          <w:tcPr>
            <w:tcW w:w="2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242"/>
              <w:spacing w:after="0" w:line="114" w:lineRule="exact"/>
              <w:rPr>
                <w:sz w:val="20"/>
                <w:szCs w:val="20"/>
                <w:color w:val="auto"/>
              </w:rPr>
            </w:pPr>
            <w:r>
              <w:rPr>
                <w:rFonts w:ascii="Arial" w:cs="Arial" w:eastAsia="Arial" w:hAnsi="Arial"/>
                <w:sz w:val="11"/>
                <w:szCs w:val="11"/>
                <w:color w:val="auto"/>
              </w:rPr>
              <w:t>December 31,</w:t>
            </w:r>
          </w:p>
        </w:tc>
      </w:tr>
      <w:tr>
        <w:trPr>
          <w:trHeight w:val="149"/>
        </w:trPr>
        <w:tc>
          <w:tcPr>
            <w:tcW w:w="280" w:type="dxa"/>
            <w:vAlign w:val="bottom"/>
          </w:tcPr>
          <w:p>
            <w:pPr>
              <w:spacing w:after="0"/>
              <w:rPr>
                <w:sz w:val="12"/>
                <w:szCs w:val="12"/>
                <w:color w:val="auto"/>
              </w:rPr>
            </w:pPr>
          </w:p>
        </w:tc>
        <w:tc>
          <w:tcPr>
            <w:tcW w:w="1120" w:type="dxa"/>
            <w:vAlign w:val="bottom"/>
          </w:tcPr>
          <w:p>
            <w:pPr>
              <w:jc w:val="right"/>
              <w:ind w:right="542"/>
              <w:spacing w:after="0"/>
              <w:rPr>
                <w:sz w:val="20"/>
                <w:szCs w:val="20"/>
                <w:color w:val="auto"/>
              </w:rPr>
            </w:pPr>
            <w:r>
              <w:rPr>
                <w:rFonts w:ascii="Arial" w:cs="Arial" w:eastAsia="Arial" w:hAnsi="Arial"/>
                <w:sz w:val="11"/>
                <w:szCs w:val="11"/>
                <w:b w:val="1"/>
                <w:bCs w:val="1"/>
                <w:color w:val="auto"/>
              </w:rPr>
              <w:t>2023</w:t>
            </w:r>
          </w:p>
        </w:tc>
        <w:tc>
          <w:tcPr>
            <w:tcW w:w="260" w:type="dxa"/>
            <w:vAlign w:val="bottom"/>
          </w:tcPr>
          <w:p>
            <w:pPr>
              <w:spacing w:after="0"/>
              <w:rPr>
                <w:sz w:val="12"/>
                <w:szCs w:val="12"/>
                <w:color w:val="auto"/>
              </w:rPr>
            </w:pPr>
          </w:p>
        </w:tc>
        <w:tc>
          <w:tcPr>
            <w:tcW w:w="1080" w:type="dxa"/>
            <w:vAlign w:val="bottom"/>
          </w:tcPr>
          <w:p>
            <w:pPr>
              <w:jc w:val="right"/>
              <w:ind w:right="462"/>
              <w:spacing w:after="0"/>
              <w:rPr>
                <w:sz w:val="20"/>
                <w:szCs w:val="20"/>
                <w:color w:val="auto"/>
              </w:rPr>
            </w:pPr>
            <w:r>
              <w:rPr>
                <w:rFonts w:ascii="Arial" w:cs="Arial" w:eastAsia="Arial" w:hAnsi="Arial"/>
                <w:sz w:val="11"/>
                <w:szCs w:val="11"/>
                <w:color w:val="auto"/>
              </w:rPr>
              <w:t>2022</w:t>
            </w:r>
          </w:p>
        </w:tc>
      </w:tr>
      <w:tr>
        <w:trPr>
          <w:trHeight w:val="186"/>
        </w:trPr>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2"/>
                <w:szCs w:val="12"/>
                <w:b w:val="1"/>
                <w:bCs w:val="1"/>
                <w:color w:val="auto"/>
              </w:rPr>
              <w:t>135,173</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136,186</w:t>
            </w:r>
          </w:p>
        </w:tc>
      </w:tr>
      <w:tr>
        <w:trPr>
          <w:trHeight w:val="172"/>
        </w:trPr>
        <w:tc>
          <w:tcPr>
            <w:tcW w:w="28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b w:val="1"/>
                <w:bCs w:val="1"/>
                <w:color w:val="auto"/>
              </w:rPr>
              <w:t>112,145</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149,823</w:t>
            </w:r>
          </w:p>
        </w:tc>
      </w:tr>
      <w:tr>
        <w:trPr>
          <w:trHeight w:val="180"/>
        </w:trPr>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311,835</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276,996</w:t>
            </w:r>
          </w:p>
        </w:tc>
      </w:tr>
      <w:tr>
        <w:trPr>
          <w:trHeight w:val="168"/>
        </w:trPr>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559,153</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563,005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-5421630</wp:posOffset>
            </wp:positionH>
            <wp:positionV relativeFrom="paragraph">
              <wp:posOffset>-480695</wp:posOffset>
            </wp:positionV>
            <wp:extent cx="716661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7820" w:space="720"/>
            <w:col w:w="2740"/>
          </w:cols>
          <w:pgMar w:left="300" w:top="695" w:right="319" w:bottom="1440" w:gutter="0" w:footer="0" w:header="0"/>
          <w:type w:val="continuous"/>
        </w:sectPr>
      </w:pPr>
    </w:p>
    <w:p>
      <w:pPr>
        <w:spacing w:after="0"/>
        <w:rPr>
          <w:sz w:val="20"/>
          <w:szCs w:val="20"/>
          <w:color w:val="auto"/>
        </w:rPr>
      </w:pPr>
      <w:r>
        <w:rPr>
          <w:rFonts w:ascii="Arial" w:cs="Arial" w:eastAsia="Arial" w:hAnsi="Arial"/>
          <w:sz w:val="13"/>
          <w:szCs w:val="13"/>
          <w:color w:val="auto"/>
        </w:rPr>
        <w:t>Cash overdrafts of $4.1 million and $0.5 million are included in accounts payable as of June 30, 2023 and December 31, 2022, respectively.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5. INVENTORIES, CONTRACTS IN PROGRESS AND VEHICLE FLOOR PLAN PAYABLE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Inventories and contracts in progress consist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1"/>
                <w:szCs w:val="11"/>
                <w:b w:val="1"/>
                <w:bCs w:val="1"/>
                <w:color w:val="auto"/>
              </w:rPr>
              <w:t>As of</w:t>
            </w:r>
          </w:p>
        </w:tc>
        <w:tc>
          <w:tcPr>
            <w:tcW w:w="1080" w:type="dxa"/>
            <w:vAlign w:val="bottom"/>
            <w:tcBorders>
              <w:bottom w:val="single" w:sz="8" w:color="auto"/>
            </w:tcBorders>
          </w:tcPr>
          <w:p>
            <w:pPr>
              <w:spacing w:after="0"/>
              <w:rPr>
                <w:sz w:val="13"/>
                <w:szCs w:val="13"/>
                <w:color w:val="auto"/>
              </w:rPr>
            </w:pPr>
          </w:p>
        </w:tc>
      </w:tr>
      <w:tr>
        <w:trPr>
          <w:trHeight w:val="118"/>
        </w:trPr>
        <w:tc>
          <w:tcPr>
            <w:tcW w:w="8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right"/>
              <w:ind w:right="442"/>
              <w:spacing w:after="0" w:line="119" w:lineRule="exact"/>
              <w:rPr>
                <w:sz w:val="20"/>
                <w:szCs w:val="20"/>
                <w:color w:val="auto"/>
              </w:rPr>
            </w:pPr>
            <w:r>
              <w:rPr>
                <w:rFonts w:ascii="Arial" w:cs="Arial" w:eastAsia="Arial" w:hAnsi="Arial"/>
                <w:sz w:val="11"/>
                <w:szCs w:val="11"/>
                <w:b w:val="1"/>
                <w:bCs w:val="1"/>
                <w:color w:val="auto"/>
              </w:rPr>
              <w:t>June 30,</w:t>
            </w:r>
          </w:p>
        </w:tc>
        <w:tc>
          <w:tcPr>
            <w:tcW w:w="260" w:type="dxa"/>
            <w:vAlign w:val="bottom"/>
          </w:tcPr>
          <w:p>
            <w:pPr>
              <w:spacing w:after="0"/>
              <w:rPr>
                <w:sz w:val="10"/>
                <w:szCs w:val="10"/>
                <w:color w:val="auto"/>
              </w:rPr>
            </w:pPr>
          </w:p>
        </w:tc>
        <w:tc>
          <w:tcPr>
            <w:tcW w:w="1080" w:type="dxa"/>
            <w:vAlign w:val="bottom"/>
          </w:tcPr>
          <w:p>
            <w:pPr>
              <w:jc w:val="right"/>
              <w:ind w:right="241"/>
              <w:spacing w:after="0" w:line="119" w:lineRule="exact"/>
              <w:rPr>
                <w:sz w:val="20"/>
                <w:szCs w:val="20"/>
                <w:color w:val="auto"/>
              </w:rPr>
            </w:pPr>
            <w:r>
              <w:rPr>
                <w:rFonts w:ascii="Arial" w:cs="Arial" w:eastAsia="Arial" w:hAnsi="Arial"/>
                <w:sz w:val="11"/>
                <w:szCs w:val="11"/>
                <w:color w:val="auto"/>
              </w:rPr>
              <w:t>December 31,</w:t>
            </w:r>
          </w:p>
        </w:tc>
      </w:tr>
      <w:tr>
        <w:trPr>
          <w:trHeight w:val="150"/>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2"/>
              <w:spacing w:after="0"/>
              <w:rPr>
                <w:sz w:val="20"/>
                <w:szCs w:val="20"/>
                <w:color w:val="auto"/>
              </w:rPr>
            </w:pPr>
            <w:r>
              <w:rPr>
                <w:rFonts w:ascii="Arial" w:cs="Arial" w:eastAsia="Arial" w:hAnsi="Arial"/>
                <w:sz w:val="11"/>
                <w:szCs w:val="11"/>
                <w:b w:val="1"/>
                <w:bCs w:val="1"/>
                <w:color w:val="auto"/>
              </w:rPr>
              <w:t>2023</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color w:val="auto"/>
              </w:rPr>
              <w:t>2022</w:t>
            </w:r>
          </w:p>
        </w:tc>
      </w:tr>
      <w:tr>
        <w:trPr>
          <w:trHeight w:val="158"/>
        </w:trPr>
        <w:tc>
          <w:tcPr>
            <w:tcW w:w="8540" w:type="dxa"/>
            <w:vAlign w:val="bottom"/>
          </w:tcPr>
          <w:p>
            <w:pPr>
              <w:ind w:left="20"/>
              <w:spacing w:after="0"/>
              <w:rPr>
                <w:sz w:val="20"/>
                <w:szCs w:val="20"/>
                <w:color w:val="auto"/>
              </w:rPr>
            </w:pPr>
            <w:r>
              <w:rPr>
                <w:rFonts w:ascii="Arial" w:cs="Arial" w:eastAsia="Arial" w:hAnsi="Arial"/>
                <w:sz w:val="12"/>
                <w:szCs w:val="12"/>
                <w:color w:val="auto"/>
              </w:rPr>
              <w:t>Raw materials</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2"/>
                <w:szCs w:val="12"/>
                <w:b w:val="1"/>
                <w:bCs w:val="1"/>
                <w:color w:val="auto"/>
              </w:rPr>
              <w:t>65,076</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68,494</w:t>
            </w:r>
          </w:p>
        </w:tc>
      </w:tr>
      <w:tr>
        <w:trPr>
          <w:trHeight w:val="179"/>
        </w:trPr>
        <w:tc>
          <w:tcPr>
            <w:tcW w:w="8540" w:type="dxa"/>
            <w:vAlign w:val="bottom"/>
          </w:tcPr>
          <w:p>
            <w:pPr>
              <w:ind w:left="20"/>
              <w:spacing w:after="0"/>
              <w:rPr>
                <w:sz w:val="20"/>
                <w:szCs w:val="20"/>
                <w:color w:val="auto"/>
              </w:rPr>
            </w:pPr>
            <w:r>
              <w:rPr>
                <w:rFonts w:ascii="Arial" w:cs="Arial" w:eastAsia="Arial" w:hAnsi="Arial"/>
                <w:sz w:val="12"/>
                <w:szCs w:val="12"/>
                <w:color w:val="auto"/>
              </w:rPr>
              <w:t>Work-in-process</w:t>
            </w:r>
          </w:p>
        </w:tc>
        <w:tc>
          <w:tcPr>
            <w:tcW w:w="28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b w:val="1"/>
                <w:bCs w:val="1"/>
                <w:color w:val="auto"/>
              </w:rPr>
              <w:t>14,687</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15,718</w:t>
            </w:r>
          </w:p>
        </w:tc>
      </w:tr>
      <w:tr>
        <w:trPr>
          <w:trHeight w:val="172"/>
        </w:trPr>
        <w:tc>
          <w:tcPr>
            <w:tcW w:w="8540" w:type="dxa"/>
            <w:vAlign w:val="bottom"/>
          </w:tcPr>
          <w:p>
            <w:pPr>
              <w:ind w:left="20"/>
              <w:spacing w:after="0"/>
              <w:rPr>
                <w:sz w:val="20"/>
                <w:szCs w:val="20"/>
                <w:color w:val="auto"/>
              </w:rPr>
            </w:pPr>
            <w:r>
              <w:rPr>
                <w:rFonts w:ascii="Arial" w:cs="Arial" w:eastAsia="Arial" w:hAnsi="Arial"/>
                <w:sz w:val="12"/>
                <w:szCs w:val="12"/>
                <w:color w:val="auto"/>
              </w:rPr>
              <w:t>Finished goods</w:t>
            </w:r>
          </w:p>
        </w:tc>
        <w:tc>
          <w:tcPr>
            <w:tcW w:w="28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b w:val="1"/>
                <w:bCs w:val="1"/>
                <w:color w:val="auto"/>
              </w:rPr>
              <w:t>178,323</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140,548</w:t>
            </w:r>
          </w:p>
        </w:tc>
      </w:tr>
      <w:tr>
        <w:trPr>
          <w:trHeight w:val="176"/>
        </w:trPr>
        <w:tc>
          <w:tcPr>
            <w:tcW w:w="8540" w:type="dxa"/>
            <w:vAlign w:val="bottom"/>
          </w:tcPr>
          <w:p>
            <w:pPr>
              <w:ind w:left="20"/>
              <w:spacing w:after="0"/>
              <w:rPr>
                <w:sz w:val="20"/>
                <w:szCs w:val="20"/>
                <w:color w:val="auto"/>
              </w:rPr>
            </w:pPr>
            <w:r>
              <w:rPr>
                <w:rFonts w:ascii="Arial" w:cs="Arial" w:eastAsia="Arial" w:hAnsi="Arial"/>
                <w:sz w:val="12"/>
                <w:szCs w:val="12"/>
                <w:color w:val="auto"/>
              </w:rPr>
              <w:t>Contracts in progress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1,138</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2,051</w:t>
            </w:r>
          </w:p>
        </w:tc>
      </w:tr>
      <w:tr>
        <w:trPr>
          <w:trHeight w:val="162"/>
        </w:trPr>
        <w:tc>
          <w:tcPr>
            <w:tcW w:w="854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259,224</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226,811</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Company finances new, used and service loaner vehicle inventory through standardized floor plan facilities with Truist Bank (Truist floor plan facility) and Ford Motor Credit Company</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(Ford floor plan facility). At June 30, 2023, the floor plan facilities bore interest at variable rates that are based on the Secured Overnight Financing Rate (SOFR) and prime-based interest rates. The weighted average interest rate for the floor plan facilities was 6.1% and 2.2% for the three months ended June 30, 2023 and 2022, respectively. The weighted average interest rate</w:t>
      </w:r>
    </w:p>
    <w:p>
      <w:pPr>
        <w:spacing w:after="0"/>
        <w:rPr>
          <w:sz w:val="20"/>
          <w:szCs w:val="20"/>
          <w:color w:val="auto"/>
        </w:rPr>
      </w:pPr>
      <w:r>
        <w:rPr>
          <w:rFonts w:ascii="Arial" w:cs="Arial" w:eastAsia="Arial" w:hAnsi="Arial"/>
          <w:sz w:val="13"/>
          <w:szCs w:val="13"/>
          <w:color w:val="auto"/>
        </w:rPr>
        <w:t>for the floor plan facilities was 5.7% and 2.1% for the six months ended June 30, 2023 and 2022, respectively. As of June 30, 2023, the aggregate capacity under the floor plan facilities was</w:t>
      </w:r>
    </w:p>
    <w:p>
      <w:pPr>
        <w:spacing w:after="0" w:line="2" w:lineRule="exact"/>
        <w:rPr>
          <w:sz w:val="20"/>
          <w:szCs w:val="20"/>
          <w:color w:val="auto"/>
        </w:rPr>
      </w:pPr>
    </w:p>
    <w:p>
      <w:pPr>
        <w:ind w:right="240"/>
        <w:spacing w:after="0" w:line="247" w:lineRule="auto"/>
        <w:rPr>
          <w:sz w:val="20"/>
          <w:szCs w:val="20"/>
          <w:color w:val="auto"/>
        </w:rPr>
      </w:pPr>
      <w:r>
        <w:rPr>
          <w:rFonts w:ascii="Arial" w:cs="Arial" w:eastAsia="Arial" w:hAnsi="Arial"/>
          <w:sz w:val="13"/>
          <w:szCs w:val="13"/>
          <w:color w:val="auto"/>
        </w:rPr>
        <w:t>$106.3 million, of which $98.7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floor plan facilities are collateralized by vehicle inventory and other assets of the relevant dealership subsidiary, and contains a number of covenants, including, among others, covenants</w:t>
      </w:r>
    </w:p>
    <w:p>
      <w:pPr>
        <w:spacing w:after="0" w:line="12" w:lineRule="exact"/>
        <w:rPr>
          <w:sz w:val="20"/>
          <w:szCs w:val="20"/>
          <w:color w:val="auto"/>
        </w:rPr>
      </w:pPr>
    </w:p>
    <w:p>
      <w:pPr>
        <w:ind w:right="340"/>
        <w:spacing w:after="0" w:line="247" w:lineRule="auto"/>
        <w:rPr>
          <w:sz w:val="20"/>
          <w:szCs w:val="20"/>
          <w:color w:val="auto"/>
        </w:rPr>
      </w:pPr>
      <w:r>
        <w:rPr>
          <w:rFonts w:ascii="Arial" w:cs="Arial" w:eastAsia="Arial" w:hAnsi="Arial"/>
          <w:sz w:val="13"/>
          <w:szCs w:val="13"/>
          <w:color w:val="auto"/>
        </w:rPr>
        <w:t>restricting the dealership subsidiary with respect to the creation of liens and changes in ownership, officers and key management personnel. The Company was in compliance with all of these restrictive covenants as of June 30, 2023.</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floor plan interest expense related to the vehicle floor plan arrangements is offset by amounts received from manufacturers in the form of floor plan assistance capitalized in inventory</w:t>
      </w:r>
    </w:p>
    <w:p>
      <w:pPr>
        <w:spacing w:after="0" w:line="12" w:lineRule="exact"/>
        <w:rPr>
          <w:sz w:val="20"/>
          <w:szCs w:val="20"/>
          <w:color w:val="auto"/>
        </w:rPr>
      </w:pPr>
    </w:p>
    <w:p>
      <w:pPr>
        <w:ind w:right="260"/>
        <w:spacing w:after="0" w:line="235" w:lineRule="auto"/>
        <w:rPr>
          <w:sz w:val="20"/>
          <w:szCs w:val="20"/>
          <w:color w:val="auto"/>
        </w:rPr>
      </w:pPr>
      <w:r>
        <w:rPr>
          <w:rFonts w:ascii="Arial" w:cs="Arial" w:eastAsia="Arial" w:hAnsi="Arial"/>
          <w:sz w:val="13"/>
          <w:szCs w:val="13"/>
          <w:color w:val="auto"/>
        </w:rPr>
        <w:t>and recorded against cost of goods sold in the Condensed Consolidated Statements of Operations when the associated inventory is sold. For the three months ended June 30, 2023 and 2022, the Company recognized a reduction in cost of goods sold of $1.5 million and $1.1 million, respectively, related to manufacturer floor plan assistance. For the six months ended</w:t>
      </w:r>
    </w:p>
    <w:p>
      <w:pPr>
        <w:spacing w:after="0"/>
        <w:rPr>
          <w:sz w:val="20"/>
          <w:szCs w:val="20"/>
          <w:color w:val="auto"/>
        </w:rPr>
      </w:pPr>
      <w:r>
        <w:rPr>
          <w:rFonts w:ascii="Arial" w:cs="Arial" w:eastAsia="Arial" w:hAnsi="Arial"/>
          <w:sz w:val="13"/>
          <w:szCs w:val="13"/>
          <w:color w:val="auto"/>
        </w:rPr>
        <w:t>June 30, 2023 and 2022, the Company recognized a reduction in cost of goods sold of $2.9 million and $2.0 million, respectively, related to manufacturer floor plan assistance.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GOODWILL AND OTHER INTANGIBLE ASSETS</w:t>
      </w:r>
    </w:p>
    <w:p>
      <w:pPr>
        <w:spacing w:after="0" w:line="119"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color w:val="auto"/>
        </w:rPr>
        <w:t>Amortization of intangible assets for the three months ended June 30, 2023 and 2022, was $13.3 million and $14.9 million, respectively. Amortization of intangible assets for the six months ended June 30, 2023 and 2022, was $27.2 million and $29.8 million, respectively. Amortization of intangible assets is estimated to be approximately $23 million for the remainder of 2023, $37 million in 2024, $29 million in 2025, $20 million in 2026, $6 million in 2027 and $19 million thereafter.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The changes in the carrying amount of goodwill, by segment,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300"/>
              <w:spacing w:after="0"/>
              <w:rPr>
                <w:sz w:val="20"/>
                <w:szCs w:val="20"/>
                <w:color w:val="auto"/>
              </w:rPr>
            </w:pPr>
            <w:r>
              <w:rPr>
                <w:rFonts w:ascii="Arial" w:cs="Arial" w:eastAsia="Arial" w:hAnsi="Arial"/>
                <w:sz w:val="11"/>
                <w:szCs w:val="11"/>
                <w:b w:val="1"/>
                <w:bCs w:val="1"/>
                <w:color w:val="auto"/>
              </w:rPr>
              <w:t>Education</w:t>
            </w:r>
          </w:p>
        </w:tc>
        <w:tc>
          <w:tcPr>
            <w:tcW w:w="240" w:type="dxa"/>
            <w:vAlign w:val="bottom"/>
          </w:tcPr>
          <w:p>
            <w:pPr>
              <w:spacing w:after="0"/>
              <w:rPr>
                <w:sz w:val="10"/>
                <w:szCs w:val="10"/>
                <w:color w:val="auto"/>
              </w:rPr>
            </w:pPr>
          </w:p>
        </w:tc>
        <w:tc>
          <w:tcPr>
            <w:tcW w:w="1080" w:type="dxa"/>
            <w:vAlign w:val="bottom"/>
          </w:tcPr>
          <w:p>
            <w:pPr>
              <w:jc w:val="right"/>
              <w:ind w:right="321"/>
              <w:spacing w:after="0"/>
              <w:rPr>
                <w:sz w:val="20"/>
                <w:szCs w:val="20"/>
                <w:color w:val="auto"/>
              </w:rPr>
            </w:pPr>
            <w:r>
              <w:rPr>
                <w:rFonts w:ascii="Arial" w:cs="Arial" w:eastAsia="Arial" w:hAnsi="Arial"/>
                <w:sz w:val="11"/>
                <w:szCs w:val="11"/>
                <w:b w:val="1"/>
                <w:bCs w:val="1"/>
                <w:color w:val="auto"/>
              </w:rPr>
              <w:t>Television</w:t>
            </w:r>
          </w:p>
        </w:tc>
        <w:tc>
          <w:tcPr>
            <w:tcW w:w="260" w:type="dxa"/>
            <w:vAlign w:val="bottom"/>
          </w:tcPr>
          <w:p>
            <w:pPr>
              <w:spacing w:after="0"/>
              <w:rPr>
                <w:sz w:val="10"/>
                <w:szCs w:val="10"/>
                <w:color w:val="auto"/>
              </w:rPr>
            </w:pPr>
          </w:p>
        </w:tc>
        <w:tc>
          <w:tcPr>
            <w:tcW w:w="1200" w:type="dxa"/>
            <w:vAlign w:val="bottom"/>
            <w:vMerge w:val="restart"/>
          </w:tcPr>
          <w:p>
            <w:pPr>
              <w:jc w:val="right"/>
              <w:ind w:right="280"/>
              <w:spacing w:after="0"/>
              <w:rPr>
                <w:sz w:val="20"/>
                <w:szCs w:val="20"/>
                <w:color w:val="auto"/>
              </w:rPr>
            </w:pPr>
            <w:r>
              <w:rPr>
                <w:rFonts w:ascii="Arial" w:cs="Arial" w:eastAsia="Arial" w:hAnsi="Arial"/>
                <w:sz w:val="11"/>
                <w:szCs w:val="11"/>
                <w:b w:val="1"/>
                <w:bCs w:val="1"/>
                <w:color w:val="auto"/>
              </w:rPr>
              <w:t>Manufacturing</w:t>
            </w:r>
          </w:p>
        </w:tc>
        <w:tc>
          <w:tcPr>
            <w:tcW w:w="200" w:type="dxa"/>
            <w:vAlign w:val="bottom"/>
          </w:tcPr>
          <w:p>
            <w:pPr>
              <w:spacing w:after="0"/>
              <w:rPr>
                <w:sz w:val="10"/>
                <w:szCs w:val="10"/>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1"/>
                <w:szCs w:val="11"/>
                <w:b w:val="1"/>
                <w:bCs w:val="1"/>
                <w:color w:val="auto"/>
              </w:rPr>
              <w:t>Healthcare</w:t>
            </w:r>
          </w:p>
        </w:tc>
        <w:tc>
          <w:tcPr>
            <w:tcW w:w="220" w:type="dxa"/>
            <w:vAlign w:val="bottom"/>
          </w:tcPr>
          <w:p>
            <w:pPr>
              <w:spacing w:after="0"/>
              <w:rPr>
                <w:sz w:val="10"/>
                <w:szCs w:val="10"/>
                <w:color w:val="auto"/>
              </w:rPr>
            </w:pPr>
          </w:p>
        </w:tc>
        <w:tc>
          <w:tcPr>
            <w:tcW w:w="960" w:type="dxa"/>
            <w:vAlign w:val="bottom"/>
            <w:vMerge w:val="restart"/>
          </w:tcPr>
          <w:p>
            <w:pPr>
              <w:jc w:val="right"/>
              <w:ind w:right="220"/>
              <w:spacing w:after="0"/>
              <w:rPr>
                <w:sz w:val="20"/>
                <w:szCs w:val="20"/>
                <w:color w:val="auto"/>
              </w:rPr>
            </w:pPr>
            <w:r>
              <w:rPr>
                <w:rFonts w:ascii="Arial" w:cs="Arial" w:eastAsia="Arial" w:hAnsi="Arial"/>
                <w:sz w:val="11"/>
                <w:szCs w:val="11"/>
                <w:b w:val="1"/>
                <w:bCs w:val="1"/>
                <w:color w:val="auto"/>
              </w:rPr>
              <w:t>Automotive</w:t>
            </w:r>
          </w:p>
        </w:tc>
        <w:tc>
          <w:tcPr>
            <w:tcW w:w="240" w:type="dxa"/>
            <w:vAlign w:val="bottom"/>
          </w:tcPr>
          <w:p>
            <w:pPr>
              <w:spacing w:after="0"/>
              <w:rPr>
                <w:sz w:val="10"/>
                <w:szCs w:val="10"/>
                <w:color w:val="auto"/>
              </w:rPr>
            </w:pPr>
          </w:p>
        </w:tc>
        <w:tc>
          <w:tcPr>
            <w:tcW w:w="980" w:type="dxa"/>
            <w:vAlign w:val="bottom"/>
          </w:tcPr>
          <w:p>
            <w:pPr>
              <w:jc w:val="right"/>
              <w:ind w:right="401"/>
              <w:spacing w:after="0"/>
              <w:rPr>
                <w:sz w:val="20"/>
                <w:szCs w:val="20"/>
                <w:color w:val="auto"/>
              </w:rPr>
            </w:pPr>
            <w:r>
              <w:rPr>
                <w:rFonts w:ascii="Arial" w:cs="Arial" w:eastAsia="Arial" w:hAnsi="Arial"/>
                <w:sz w:val="11"/>
                <w:szCs w:val="11"/>
                <w:b w:val="1"/>
                <w:bCs w:val="1"/>
                <w:color w:val="auto"/>
              </w:rPr>
              <w:t>Other</w:t>
            </w:r>
          </w:p>
        </w:tc>
        <w:tc>
          <w:tcPr>
            <w:tcW w:w="320" w:type="dxa"/>
            <w:vAlign w:val="bottom"/>
          </w:tcPr>
          <w:p>
            <w:pPr>
              <w:spacing w:after="0"/>
              <w:rPr>
                <w:sz w:val="10"/>
                <w:szCs w:val="10"/>
                <w:color w:val="auto"/>
              </w:rPr>
            </w:pPr>
          </w:p>
        </w:tc>
        <w:tc>
          <w:tcPr>
            <w:tcW w:w="900" w:type="dxa"/>
            <w:vAlign w:val="bottom"/>
            <w:vMerge w:val="restart"/>
          </w:tcPr>
          <w:p>
            <w:pPr>
              <w:jc w:val="right"/>
              <w:ind w:right="4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Broadcasting</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Businesses</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Arial" w:cs="Arial" w:eastAsia="Arial" w:hAnsi="Arial"/>
                <w:sz w:val="12"/>
                <w:szCs w:val="12"/>
                <w:color w:val="auto"/>
              </w:rPr>
              <w:t>Balance as of December 31, 2022</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40" w:type="dxa"/>
            <w:vAlign w:val="bottom"/>
          </w:tcPr>
          <w:p>
            <w:pPr>
              <w:ind w:left="160"/>
              <w:spacing w:after="0"/>
              <w:rPr>
                <w:sz w:val="20"/>
                <w:szCs w:val="20"/>
                <w:color w:val="auto"/>
              </w:rPr>
            </w:pPr>
            <w:r>
              <w:rPr>
                <w:rFonts w:ascii="Arial" w:cs="Arial" w:eastAsia="Arial" w:hAnsi="Arial"/>
                <w:sz w:val="12"/>
                <w:szCs w:val="12"/>
                <w:color w:val="auto"/>
              </w:rPr>
              <w:t>Goodwill</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1,145,502</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190,815</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234,993</w:t>
            </w:r>
          </w:p>
        </w:tc>
        <w:tc>
          <w:tcPr>
            <w:tcW w:w="2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135,870</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84,697</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251,216</w:t>
            </w:r>
          </w:p>
        </w:tc>
        <w:tc>
          <w:tcPr>
            <w:tcW w:w="32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2,043,093</w:t>
            </w:r>
          </w:p>
        </w:tc>
        <w:tc>
          <w:tcPr>
            <w:tcW w:w="0" w:type="dxa"/>
            <w:vAlign w:val="bottom"/>
          </w:tcPr>
          <w:p>
            <w:pPr>
              <w:spacing w:after="0"/>
              <w:rPr>
                <w:sz w:val="1"/>
                <w:szCs w:val="1"/>
                <w:color w:val="auto"/>
              </w:rPr>
            </w:pPr>
          </w:p>
        </w:tc>
      </w:tr>
      <w:tr>
        <w:trPr>
          <w:trHeight w:val="189"/>
        </w:trPr>
        <w:tc>
          <w:tcPr>
            <w:tcW w:w="2540" w:type="dxa"/>
            <w:vAlign w:val="bottom"/>
          </w:tcPr>
          <w:p>
            <w:pPr>
              <w:ind w:left="160"/>
              <w:spacing w:after="0"/>
              <w:rPr>
                <w:sz w:val="20"/>
                <w:szCs w:val="20"/>
                <w:color w:val="auto"/>
              </w:rPr>
            </w:pPr>
            <w:r>
              <w:rPr>
                <w:rFonts w:ascii="Arial" w:cs="Arial" w:eastAsia="Arial" w:hAnsi="Arial"/>
                <w:sz w:val="12"/>
                <w:szCs w:val="12"/>
                <w:color w:val="auto"/>
              </w:rPr>
              <w:t>Accumulated impairment losses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(331,151)</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(34,302)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(116,687)</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(482,140)</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814,351</w:t>
            </w:r>
          </w:p>
        </w:tc>
        <w:tc>
          <w:tcPr>
            <w:tcW w:w="240" w:type="dxa"/>
            <w:vAlign w:val="bottom"/>
          </w:tcPr>
          <w:p>
            <w:pPr>
              <w:spacing w:after="0"/>
              <w:rPr>
                <w:sz w:val="13"/>
                <w:szCs w:val="13"/>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190,815</w:t>
            </w:r>
          </w:p>
        </w:tc>
        <w:tc>
          <w:tcPr>
            <w:tcW w:w="260" w:type="dxa"/>
            <w:vAlign w:val="bottom"/>
          </w:tcPr>
          <w:p>
            <w:pPr>
              <w:spacing w:after="0"/>
              <w:rPr>
                <w:sz w:val="13"/>
                <w:szCs w:val="13"/>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200,691</w:t>
            </w:r>
          </w:p>
        </w:tc>
        <w:tc>
          <w:tcPr>
            <w:tcW w:w="200" w:type="dxa"/>
            <w:vAlign w:val="bottom"/>
          </w:tcPr>
          <w:p>
            <w:pPr>
              <w:spacing w:after="0"/>
              <w:rPr>
                <w:sz w:val="13"/>
                <w:szCs w:val="13"/>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135,870</w:t>
            </w:r>
          </w:p>
        </w:tc>
        <w:tc>
          <w:tcPr>
            <w:tcW w:w="220" w:type="dxa"/>
            <w:vAlign w:val="bottom"/>
          </w:tcPr>
          <w:p>
            <w:pPr>
              <w:spacing w:after="0"/>
              <w:rPr>
                <w:sz w:val="13"/>
                <w:szCs w:val="13"/>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84,697</w:t>
            </w:r>
          </w:p>
        </w:tc>
        <w:tc>
          <w:tcPr>
            <w:tcW w:w="24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134,529</w:t>
            </w: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1,560,953</w:t>
            </w:r>
          </w:p>
        </w:tc>
        <w:tc>
          <w:tcPr>
            <w:tcW w:w="0" w:type="dxa"/>
            <w:vAlign w:val="bottom"/>
          </w:tcPr>
          <w:p>
            <w:pPr>
              <w:spacing w:after="0"/>
              <w:rPr>
                <w:sz w:val="1"/>
                <w:szCs w:val="1"/>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2"/>
                <w:szCs w:val="12"/>
                <w:b w:val="1"/>
                <w:bCs w:val="1"/>
                <w:color w:val="auto"/>
              </w:rPr>
              <w:t>Measurement period adjustments</w:t>
            </w:r>
          </w:p>
        </w:tc>
        <w:tc>
          <w:tcPr>
            <w:tcW w:w="20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(2,217)</w:t>
            </w:r>
          </w:p>
        </w:tc>
        <w:tc>
          <w:tcPr>
            <w:tcW w:w="22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5"/>
                <w:szCs w:val="15"/>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(2,217)</w:t>
            </w:r>
          </w:p>
        </w:tc>
        <w:tc>
          <w:tcPr>
            <w:tcW w:w="0" w:type="dxa"/>
            <w:vAlign w:val="bottom"/>
          </w:tcPr>
          <w:p>
            <w:pPr>
              <w:spacing w:after="0"/>
              <w:rPr>
                <w:sz w:val="1"/>
                <w:szCs w:val="1"/>
                <w:color w:val="auto"/>
              </w:rPr>
            </w:pPr>
          </w:p>
        </w:tc>
      </w:tr>
      <w:tr>
        <w:trPr>
          <w:trHeight w:val="172"/>
        </w:trPr>
        <w:tc>
          <w:tcPr>
            <w:tcW w:w="2540" w:type="dxa"/>
            <w:vAlign w:val="bottom"/>
          </w:tcPr>
          <w:p>
            <w:pPr>
              <w:ind w:left="20"/>
              <w:spacing w:after="0"/>
              <w:rPr>
                <w:sz w:val="20"/>
                <w:szCs w:val="20"/>
                <w:color w:val="auto"/>
              </w:rPr>
            </w:pPr>
            <w:r>
              <w:rPr>
                <w:rFonts w:ascii="Arial" w:cs="Arial" w:eastAsia="Arial" w:hAnsi="Arial"/>
                <w:sz w:val="12"/>
                <w:szCs w:val="12"/>
                <w:b w:val="1"/>
                <w:bCs w:val="1"/>
                <w:color w:val="auto"/>
              </w:rPr>
              <w:t>Acquisitions</w:t>
            </w:r>
          </w:p>
        </w:tc>
        <w:tc>
          <w:tcPr>
            <w:tcW w:w="2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b w:val="1"/>
                <w:bCs w:val="1"/>
                <w:color w:val="auto"/>
              </w:rPr>
              <w:t>385</w:t>
            </w:r>
          </w:p>
        </w:tc>
        <w:tc>
          <w:tcPr>
            <w:tcW w:w="22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385</w:t>
            </w:r>
          </w:p>
        </w:tc>
        <w:tc>
          <w:tcPr>
            <w:tcW w:w="0" w:type="dxa"/>
            <w:vAlign w:val="bottom"/>
          </w:tcPr>
          <w:p>
            <w:pPr>
              <w:spacing w:after="0"/>
              <w:rPr>
                <w:sz w:val="1"/>
                <w:szCs w:val="1"/>
                <w:color w:val="auto"/>
              </w:rPr>
            </w:pPr>
          </w:p>
        </w:tc>
      </w:tr>
      <w:tr>
        <w:trPr>
          <w:trHeight w:val="178"/>
        </w:trPr>
        <w:tc>
          <w:tcPr>
            <w:tcW w:w="2540" w:type="dxa"/>
            <w:vAlign w:val="bottom"/>
          </w:tcPr>
          <w:p>
            <w:pPr>
              <w:ind w:left="20"/>
              <w:spacing w:after="0"/>
              <w:rPr>
                <w:sz w:val="20"/>
                <w:szCs w:val="20"/>
                <w:color w:val="auto"/>
              </w:rPr>
            </w:pPr>
            <w:r>
              <w:rPr>
                <w:rFonts w:ascii="Arial" w:cs="Arial" w:eastAsia="Arial" w:hAnsi="Arial"/>
                <w:sz w:val="12"/>
                <w:szCs w:val="12"/>
                <w:b w:val="1"/>
                <w:bCs w:val="1"/>
                <w:color w:val="auto"/>
              </w:rPr>
              <w:t>Foreign currency exchange rate changes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8,899</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8,899</w:t>
            </w:r>
          </w:p>
        </w:tc>
        <w:tc>
          <w:tcPr>
            <w:tcW w:w="0" w:type="dxa"/>
            <w:vAlign w:val="bottom"/>
          </w:tcPr>
          <w:p>
            <w:pPr>
              <w:spacing w:after="0"/>
              <w:rPr>
                <w:sz w:val="1"/>
                <w:szCs w:val="1"/>
                <w:color w:val="auto"/>
              </w:rPr>
            </w:pPr>
          </w:p>
        </w:tc>
      </w:tr>
      <w:tr>
        <w:trPr>
          <w:trHeight w:val="155"/>
        </w:trPr>
        <w:tc>
          <w:tcPr>
            <w:tcW w:w="2540" w:type="dxa"/>
            <w:vAlign w:val="bottom"/>
          </w:tcPr>
          <w:p>
            <w:pPr>
              <w:ind w:left="20"/>
              <w:spacing w:after="0"/>
              <w:rPr>
                <w:sz w:val="20"/>
                <w:szCs w:val="20"/>
                <w:color w:val="auto"/>
              </w:rPr>
            </w:pPr>
            <w:r>
              <w:rPr>
                <w:rFonts w:ascii="Arial" w:cs="Arial" w:eastAsia="Arial" w:hAnsi="Arial"/>
                <w:sz w:val="12"/>
                <w:szCs w:val="12"/>
                <w:b w:val="1"/>
                <w:bCs w:val="1"/>
                <w:color w:val="auto"/>
              </w:rPr>
              <w:t>Balance as of June 30, 2023</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60"/>
              <w:spacing w:after="0"/>
              <w:rPr>
                <w:sz w:val="20"/>
                <w:szCs w:val="20"/>
                <w:color w:val="auto"/>
              </w:rPr>
            </w:pPr>
            <w:r>
              <w:rPr>
                <w:rFonts w:ascii="Arial" w:cs="Arial" w:eastAsia="Arial" w:hAnsi="Arial"/>
                <w:sz w:val="12"/>
                <w:szCs w:val="12"/>
                <w:b w:val="1"/>
                <w:bCs w:val="1"/>
                <w:color w:val="auto"/>
              </w:rPr>
              <w:t>Goodwill</w:t>
            </w:r>
          </w:p>
        </w:tc>
        <w:tc>
          <w:tcPr>
            <w:tcW w:w="20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b w:val="1"/>
                <w:bCs w:val="1"/>
                <w:color w:val="auto"/>
              </w:rPr>
              <w:t>1,154,401</w:t>
            </w:r>
          </w:p>
        </w:tc>
        <w:tc>
          <w:tcPr>
            <w:tcW w:w="24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b w:val="1"/>
                <w:bCs w:val="1"/>
                <w:color w:val="auto"/>
              </w:rPr>
              <w:t>190,815</w:t>
            </w:r>
          </w:p>
        </w:tc>
        <w:tc>
          <w:tcPr>
            <w:tcW w:w="2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b w:val="1"/>
                <w:bCs w:val="1"/>
                <w:color w:val="auto"/>
              </w:rPr>
              <w:t>234,993</w:t>
            </w:r>
          </w:p>
        </w:tc>
        <w:tc>
          <w:tcPr>
            <w:tcW w:w="200" w:type="dxa"/>
            <w:vAlign w:val="bottom"/>
          </w:tcPr>
          <w:p>
            <w:pPr>
              <w:spacing w:after="0"/>
              <w:rPr>
                <w:sz w:val="15"/>
                <w:szCs w:val="15"/>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b w:val="1"/>
                <w:bCs w:val="1"/>
                <w:color w:val="auto"/>
              </w:rPr>
              <w:t>134,038</w:t>
            </w:r>
          </w:p>
        </w:tc>
        <w:tc>
          <w:tcPr>
            <w:tcW w:w="22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b w:val="1"/>
                <w:bCs w:val="1"/>
                <w:color w:val="auto"/>
              </w:rPr>
              <w:t>84,697</w:t>
            </w:r>
          </w:p>
        </w:tc>
        <w:tc>
          <w:tcPr>
            <w:tcW w:w="240" w:type="dxa"/>
            <w:vAlign w:val="bottom"/>
          </w:tcPr>
          <w:p>
            <w:pPr>
              <w:spacing w:after="0"/>
              <w:rPr>
                <w:sz w:val="15"/>
                <w:szCs w:val="15"/>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b w:val="1"/>
                <w:bCs w:val="1"/>
                <w:color w:val="auto"/>
              </w:rPr>
              <w:t>251,216</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2,050,160</w:t>
            </w:r>
          </w:p>
        </w:tc>
        <w:tc>
          <w:tcPr>
            <w:tcW w:w="0" w:type="dxa"/>
            <w:vAlign w:val="bottom"/>
          </w:tcPr>
          <w:p>
            <w:pPr>
              <w:spacing w:after="0"/>
              <w:rPr>
                <w:sz w:val="1"/>
                <w:szCs w:val="1"/>
                <w:color w:val="auto"/>
              </w:rPr>
            </w:pPr>
          </w:p>
        </w:tc>
      </w:tr>
      <w:tr>
        <w:trPr>
          <w:trHeight w:val="175"/>
        </w:trPr>
        <w:tc>
          <w:tcPr>
            <w:tcW w:w="2540" w:type="dxa"/>
            <w:vAlign w:val="bottom"/>
          </w:tcPr>
          <w:p>
            <w:pPr>
              <w:ind w:left="160"/>
              <w:spacing w:after="0"/>
              <w:rPr>
                <w:sz w:val="20"/>
                <w:szCs w:val="20"/>
                <w:color w:val="auto"/>
              </w:rPr>
            </w:pPr>
            <w:r>
              <w:rPr>
                <w:rFonts w:ascii="Arial" w:cs="Arial" w:eastAsia="Arial" w:hAnsi="Arial"/>
                <w:sz w:val="12"/>
                <w:szCs w:val="12"/>
                <w:b w:val="1"/>
                <w:bCs w:val="1"/>
                <w:color w:val="auto"/>
              </w:rPr>
              <w:t>Accumulated impairment losses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(331,151)</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(34,302)</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(116,687)</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(482,140)</w:t>
            </w: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823,250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190,815</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200,691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134,038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84,697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134,529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1,568,020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changes in carrying amount of goodwill at the Company’s education division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441"/>
              <w:spacing w:after="0"/>
              <w:rPr>
                <w:sz w:val="20"/>
                <w:szCs w:val="20"/>
                <w:color w:val="auto"/>
              </w:rPr>
            </w:pPr>
            <w:r>
              <w:rPr>
                <w:rFonts w:ascii="Arial" w:cs="Arial" w:eastAsia="Arial" w:hAnsi="Arial"/>
                <w:sz w:val="11"/>
                <w:szCs w:val="11"/>
                <w:b w:val="1"/>
                <w:bCs w:val="1"/>
                <w:color w:val="auto"/>
              </w:rPr>
              <w:t>Kaplan</w:t>
            </w:r>
          </w:p>
        </w:tc>
        <w:tc>
          <w:tcPr>
            <w:tcW w:w="300" w:type="dxa"/>
            <w:vAlign w:val="bottom"/>
          </w:tcPr>
          <w:p>
            <w:pPr>
              <w:spacing w:after="0"/>
              <w:rPr>
                <w:sz w:val="10"/>
                <w:szCs w:val="10"/>
                <w:color w:val="auto"/>
              </w:rPr>
            </w:pPr>
          </w:p>
        </w:tc>
        <w:tc>
          <w:tcPr>
            <w:tcW w:w="1120" w:type="dxa"/>
            <w:vAlign w:val="bottom"/>
          </w:tcPr>
          <w:p>
            <w:pPr>
              <w:jc w:val="right"/>
              <w:ind w:right="481"/>
              <w:spacing w:after="0"/>
              <w:rPr>
                <w:sz w:val="20"/>
                <w:szCs w:val="20"/>
                <w:color w:val="auto"/>
              </w:rPr>
            </w:pPr>
            <w:r>
              <w:rPr>
                <w:rFonts w:ascii="Arial" w:cs="Arial" w:eastAsia="Arial" w:hAnsi="Arial"/>
                <w:sz w:val="11"/>
                <w:szCs w:val="11"/>
                <w:b w:val="1"/>
                <w:bCs w:val="1"/>
                <w:color w:val="auto"/>
              </w:rPr>
              <w:t>Higher</w:t>
            </w: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55"/>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International</w:t>
            </w: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Education</w:t>
            </w:r>
          </w:p>
        </w:tc>
        <w:tc>
          <w:tcPr>
            <w:tcW w:w="14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1"/>
                <w:szCs w:val="11"/>
                <w:b w:val="1"/>
                <w:bCs w:val="1"/>
                <w:color w:val="auto"/>
              </w:rPr>
              <w:t>Supplemental Education</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Total</w:t>
            </w:r>
          </w:p>
        </w:tc>
      </w:tr>
      <w:tr>
        <w:trPr>
          <w:trHeight w:val="153"/>
        </w:trPr>
        <w:tc>
          <w:tcPr>
            <w:tcW w:w="5740" w:type="dxa"/>
            <w:vAlign w:val="bottom"/>
          </w:tcPr>
          <w:p>
            <w:pPr>
              <w:ind w:left="20"/>
              <w:spacing w:after="0"/>
              <w:rPr>
                <w:sz w:val="20"/>
                <w:szCs w:val="20"/>
                <w:color w:val="auto"/>
              </w:rPr>
            </w:pPr>
            <w:r>
              <w:rPr>
                <w:rFonts w:ascii="Arial" w:cs="Arial" w:eastAsia="Arial" w:hAnsi="Arial"/>
                <w:sz w:val="12"/>
                <w:szCs w:val="12"/>
                <w:color w:val="auto"/>
              </w:rPr>
              <w:t>Balance as of December 31, 2022</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5740" w:type="dxa"/>
            <w:vAlign w:val="bottom"/>
          </w:tcPr>
          <w:p>
            <w:pPr>
              <w:ind w:left="160"/>
              <w:spacing w:after="0"/>
              <w:rPr>
                <w:sz w:val="20"/>
                <w:szCs w:val="20"/>
                <w:color w:val="auto"/>
              </w:rPr>
            </w:pPr>
            <w:r>
              <w:rPr>
                <w:rFonts w:ascii="Arial" w:cs="Arial" w:eastAsia="Arial" w:hAnsi="Arial"/>
                <w:sz w:val="12"/>
                <w:szCs w:val="12"/>
                <w:color w:val="auto"/>
              </w:rPr>
              <w:t>Goodwill</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579,561</w:t>
            </w:r>
          </w:p>
        </w:tc>
        <w:tc>
          <w:tcPr>
            <w:tcW w:w="3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1"/>
              <w:spacing w:after="0"/>
              <w:rPr>
                <w:sz w:val="20"/>
                <w:szCs w:val="20"/>
                <w:color w:val="auto"/>
              </w:rPr>
            </w:pPr>
            <w:r>
              <w:rPr>
                <w:rFonts w:ascii="Arial" w:cs="Arial" w:eastAsia="Arial" w:hAnsi="Arial"/>
                <w:sz w:val="12"/>
                <w:szCs w:val="12"/>
                <w:color w:val="auto"/>
              </w:rPr>
              <w:t>174,564</w:t>
            </w:r>
          </w:p>
        </w:tc>
        <w:tc>
          <w:tcPr>
            <w:tcW w:w="48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9"/>
              <w:spacing w:after="0"/>
              <w:rPr>
                <w:sz w:val="20"/>
                <w:szCs w:val="20"/>
                <w:color w:val="auto"/>
              </w:rPr>
            </w:pPr>
            <w:r>
              <w:rPr>
                <w:rFonts w:ascii="Arial" w:cs="Arial" w:eastAsia="Arial" w:hAnsi="Arial"/>
                <w:sz w:val="12"/>
                <w:szCs w:val="12"/>
                <w:color w:val="auto"/>
              </w:rPr>
              <w:t>391,377</w:t>
            </w:r>
          </w:p>
        </w:tc>
        <w:tc>
          <w:tcPr>
            <w:tcW w:w="3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1,145,502</w:t>
            </w:r>
          </w:p>
        </w:tc>
      </w:tr>
      <w:tr>
        <w:trPr>
          <w:trHeight w:val="184"/>
        </w:trPr>
        <w:tc>
          <w:tcPr>
            <w:tcW w:w="5740" w:type="dxa"/>
            <w:vAlign w:val="bottom"/>
          </w:tcPr>
          <w:p>
            <w:pPr>
              <w:ind w:left="160"/>
              <w:spacing w:after="0"/>
              <w:rPr>
                <w:sz w:val="20"/>
                <w:szCs w:val="20"/>
                <w:color w:val="auto"/>
              </w:rPr>
            </w:pPr>
            <w:r>
              <w:rPr>
                <w:rFonts w:ascii="Arial" w:cs="Arial" w:eastAsia="Arial" w:hAnsi="Arial"/>
                <w:sz w:val="12"/>
                <w:szCs w:val="12"/>
                <w:color w:val="auto"/>
              </w:rPr>
              <w:t>Accumulated impairment losses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(111,324)</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(219,827)</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(331,151)</w:t>
            </w:r>
          </w:p>
        </w:tc>
      </w:tr>
      <w:tr>
        <w:trPr>
          <w:trHeight w:val="150"/>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579,561</w:t>
            </w:r>
          </w:p>
        </w:tc>
        <w:tc>
          <w:tcPr>
            <w:tcW w:w="300" w:type="dxa"/>
            <w:vAlign w:val="bottom"/>
          </w:tcPr>
          <w:p>
            <w:pPr>
              <w:spacing w:after="0"/>
              <w:rPr>
                <w:sz w:val="13"/>
                <w:szCs w:val="13"/>
                <w:color w:val="auto"/>
              </w:rPr>
            </w:pPr>
          </w:p>
        </w:tc>
        <w:tc>
          <w:tcPr>
            <w:tcW w:w="1120" w:type="dxa"/>
            <w:vAlign w:val="bottom"/>
          </w:tcPr>
          <w:p>
            <w:pPr>
              <w:jc w:val="right"/>
              <w:ind w:right="41"/>
              <w:spacing w:after="0"/>
              <w:rPr>
                <w:sz w:val="20"/>
                <w:szCs w:val="20"/>
                <w:color w:val="auto"/>
              </w:rPr>
            </w:pPr>
            <w:r>
              <w:rPr>
                <w:rFonts w:ascii="Arial" w:cs="Arial" w:eastAsia="Arial" w:hAnsi="Arial"/>
                <w:sz w:val="12"/>
                <w:szCs w:val="12"/>
                <w:color w:val="auto"/>
              </w:rPr>
              <w:t>63,240</w:t>
            </w:r>
          </w:p>
        </w:tc>
        <w:tc>
          <w:tcPr>
            <w:tcW w:w="480" w:type="dxa"/>
            <w:vAlign w:val="bottom"/>
          </w:tcPr>
          <w:p>
            <w:pPr>
              <w:spacing w:after="0"/>
              <w:rPr>
                <w:sz w:val="13"/>
                <w:szCs w:val="13"/>
                <w:color w:val="auto"/>
              </w:rPr>
            </w:pPr>
          </w:p>
        </w:tc>
        <w:tc>
          <w:tcPr>
            <w:tcW w:w="940" w:type="dxa"/>
            <w:vAlign w:val="bottom"/>
          </w:tcPr>
          <w:p>
            <w:pPr>
              <w:jc w:val="right"/>
              <w:ind w:right="39"/>
              <w:spacing w:after="0"/>
              <w:rPr>
                <w:sz w:val="20"/>
                <w:szCs w:val="20"/>
                <w:color w:val="auto"/>
              </w:rPr>
            </w:pPr>
            <w:r>
              <w:rPr>
                <w:rFonts w:ascii="Arial" w:cs="Arial" w:eastAsia="Arial" w:hAnsi="Arial"/>
                <w:sz w:val="12"/>
                <w:szCs w:val="12"/>
                <w:color w:val="auto"/>
              </w:rPr>
              <w:t>171,550</w:t>
            </w:r>
          </w:p>
        </w:tc>
        <w:tc>
          <w:tcPr>
            <w:tcW w:w="3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814,351</w:t>
            </w:r>
          </w:p>
        </w:tc>
      </w:tr>
      <w:tr>
        <w:trPr>
          <w:trHeight w:val="190"/>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Foreign currency exchange rate changes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8,856</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43</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8,899</w:t>
            </w:r>
          </w:p>
        </w:tc>
      </w:tr>
      <w:tr>
        <w:trPr>
          <w:trHeight w:val="162"/>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Balance as of June 30, 2023</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740" w:type="dxa"/>
            <w:vAlign w:val="bottom"/>
          </w:tcPr>
          <w:p>
            <w:pPr>
              <w:ind w:left="160"/>
              <w:spacing w:after="0"/>
              <w:rPr>
                <w:sz w:val="20"/>
                <w:szCs w:val="20"/>
                <w:color w:val="auto"/>
              </w:rPr>
            </w:pPr>
            <w:r>
              <w:rPr>
                <w:rFonts w:ascii="Arial" w:cs="Arial" w:eastAsia="Arial" w:hAnsi="Arial"/>
                <w:sz w:val="12"/>
                <w:szCs w:val="12"/>
                <w:b w:val="1"/>
                <w:bCs w:val="1"/>
                <w:color w:val="auto"/>
              </w:rPr>
              <w:t>Goodwill</w:t>
            </w:r>
          </w:p>
        </w:tc>
        <w:tc>
          <w:tcPr>
            <w:tcW w:w="20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b w:val="1"/>
                <w:bCs w:val="1"/>
                <w:color w:val="auto"/>
              </w:rPr>
              <w:t>588,417</w:t>
            </w:r>
          </w:p>
        </w:tc>
        <w:tc>
          <w:tcPr>
            <w:tcW w:w="30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Arial" w:cs="Arial" w:eastAsia="Arial" w:hAnsi="Arial"/>
                <w:sz w:val="12"/>
                <w:szCs w:val="12"/>
                <w:b w:val="1"/>
                <w:bCs w:val="1"/>
                <w:color w:val="auto"/>
              </w:rPr>
              <w:t>174,564</w:t>
            </w:r>
          </w:p>
        </w:tc>
        <w:tc>
          <w:tcPr>
            <w:tcW w:w="480" w:type="dxa"/>
            <w:vAlign w:val="bottom"/>
          </w:tcPr>
          <w:p>
            <w:pPr>
              <w:spacing w:after="0"/>
              <w:rPr>
                <w:sz w:val="14"/>
                <w:szCs w:val="14"/>
                <w:color w:val="auto"/>
              </w:rPr>
            </w:pPr>
          </w:p>
        </w:tc>
        <w:tc>
          <w:tcPr>
            <w:tcW w:w="940" w:type="dxa"/>
            <w:vAlign w:val="bottom"/>
          </w:tcPr>
          <w:p>
            <w:pPr>
              <w:jc w:val="right"/>
              <w:ind w:right="39"/>
              <w:spacing w:after="0"/>
              <w:rPr>
                <w:sz w:val="20"/>
                <w:szCs w:val="20"/>
                <w:color w:val="auto"/>
              </w:rPr>
            </w:pPr>
            <w:r>
              <w:rPr>
                <w:rFonts w:ascii="Arial" w:cs="Arial" w:eastAsia="Arial" w:hAnsi="Arial"/>
                <w:sz w:val="12"/>
                <w:szCs w:val="12"/>
                <w:b w:val="1"/>
                <w:bCs w:val="1"/>
                <w:color w:val="auto"/>
              </w:rPr>
              <w:t>391,420</w:t>
            </w:r>
          </w:p>
        </w:tc>
        <w:tc>
          <w:tcPr>
            <w:tcW w:w="3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1,154,401</w:t>
            </w:r>
          </w:p>
        </w:tc>
      </w:tr>
      <w:tr>
        <w:trPr>
          <w:trHeight w:val="178"/>
        </w:trPr>
        <w:tc>
          <w:tcPr>
            <w:tcW w:w="5740" w:type="dxa"/>
            <w:vAlign w:val="bottom"/>
          </w:tcPr>
          <w:p>
            <w:pPr>
              <w:ind w:left="160"/>
              <w:spacing w:after="0"/>
              <w:rPr>
                <w:sz w:val="20"/>
                <w:szCs w:val="20"/>
                <w:color w:val="auto"/>
              </w:rPr>
            </w:pPr>
            <w:r>
              <w:rPr>
                <w:rFonts w:ascii="Arial" w:cs="Arial" w:eastAsia="Arial" w:hAnsi="Arial"/>
                <w:sz w:val="12"/>
                <w:szCs w:val="12"/>
                <w:b w:val="1"/>
                <w:bCs w:val="1"/>
                <w:color w:val="auto"/>
              </w:rPr>
              <w:t>Accumulated impairment losses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(111,324)</w:t>
            </w: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(219,827)</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(331,151)</w:t>
            </w:r>
          </w:p>
        </w:tc>
      </w:tr>
      <w:tr>
        <w:trPr>
          <w:trHeight w:val="165"/>
        </w:trPr>
        <w:tc>
          <w:tcPr>
            <w:tcW w:w="5740" w:type="dxa"/>
            <w:vAlign w:val="bottom"/>
          </w:tcPr>
          <w:p>
            <w:pPr>
              <w:spacing w:after="0"/>
              <w:rPr>
                <w:sz w:val="14"/>
                <w:szCs w:val="14"/>
                <w:color w:val="auto"/>
              </w:rPr>
            </w:pPr>
          </w:p>
        </w:tc>
        <w:tc>
          <w:tcPr>
            <w:tcW w:w="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588,417</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63,240</w:t>
            </w: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171,593</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823,250</w:t>
            </w: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Other intangible assets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97"/>
              </w:rPr>
              <w:t>As of June 30, 2023</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color w:val="auto"/>
                <w:w w:val="97"/>
              </w:rPr>
              <w:t>As of December 31, 2022</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1740" w:type="dxa"/>
            <w:vAlign w:val="bottom"/>
            <w:vMerge w:val="restart"/>
          </w:tcPr>
          <w:p>
            <w:pPr>
              <w:jc w:val="center"/>
              <w:ind w:left="221"/>
              <w:spacing w:after="0"/>
              <w:rPr>
                <w:sz w:val="20"/>
                <w:szCs w:val="20"/>
                <w:color w:val="auto"/>
              </w:rPr>
            </w:pPr>
            <w:r>
              <w:rPr>
                <w:rFonts w:ascii="Arial" w:cs="Arial" w:eastAsia="Arial" w:hAnsi="Arial"/>
                <w:sz w:val="11"/>
                <w:szCs w:val="11"/>
                <w:b w:val="1"/>
                <w:bCs w:val="1"/>
                <w:color w:val="auto"/>
                <w:w w:val="95"/>
              </w:rPr>
              <w:t>Useful Life</w:t>
            </w:r>
          </w:p>
        </w:tc>
        <w:tc>
          <w:tcPr>
            <w:tcW w:w="160" w:type="dxa"/>
            <w:vAlign w:val="bottom"/>
          </w:tcPr>
          <w:p>
            <w:pPr>
              <w:spacing w:after="0"/>
              <w:rPr>
                <w:sz w:val="9"/>
                <w:szCs w:val="9"/>
                <w:color w:val="auto"/>
              </w:rPr>
            </w:pPr>
          </w:p>
        </w:tc>
        <w:tc>
          <w:tcPr>
            <w:tcW w:w="800" w:type="dxa"/>
            <w:vAlign w:val="bottom"/>
          </w:tcPr>
          <w:p>
            <w:pPr>
              <w:jc w:val="center"/>
              <w:ind w:right="101"/>
              <w:spacing w:after="0" w:line="109" w:lineRule="exact"/>
              <w:rPr>
                <w:sz w:val="20"/>
                <w:szCs w:val="20"/>
                <w:color w:val="auto"/>
              </w:rPr>
            </w:pPr>
            <w:r>
              <w:rPr>
                <w:rFonts w:ascii="Arial" w:cs="Arial" w:eastAsia="Arial" w:hAnsi="Arial"/>
                <w:sz w:val="11"/>
                <w:szCs w:val="11"/>
                <w:b w:val="1"/>
                <w:bCs w:val="1"/>
                <w:color w:val="auto"/>
              </w:rPr>
              <w:t>Gross</w:t>
            </w:r>
          </w:p>
        </w:tc>
        <w:tc>
          <w:tcPr>
            <w:tcW w:w="200" w:type="dxa"/>
            <w:vAlign w:val="bottom"/>
          </w:tcPr>
          <w:p>
            <w:pPr>
              <w:spacing w:after="0"/>
              <w:rPr>
                <w:sz w:val="9"/>
                <w:szCs w:val="9"/>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9"/>
                <w:szCs w:val="9"/>
                <w:color w:val="auto"/>
              </w:rPr>
            </w:pPr>
          </w:p>
        </w:tc>
        <w:tc>
          <w:tcPr>
            <w:tcW w:w="960" w:type="dxa"/>
            <w:vAlign w:val="bottom"/>
            <w:vMerge w:val="restart"/>
          </w:tcPr>
          <w:p>
            <w:pPr>
              <w:jc w:val="right"/>
              <w:ind w:right="201"/>
              <w:spacing w:after="0"/>
              <w:rPr>
                <w:sz w:val="20"/>
                <w:szCs w:val="20"/>
                <w:color w:val="auto"/>
              </w:rPr>
            </w:pPr>
            <w:r>
              <w:rPr>
                <w:rFonts w:ascii="Arial" w:cs="Arial" w:eastAsia="Arial" w:hAnsi="Arial"/>
                <w:sz w:val="11"/>
                <w:szCs w:val="11"/>
                <w:b w:val="1"/>
                <w:bCs w:val="1"/>
                <w:color w:val="auto"/>
              </w:rPr>
              <w:t>Net Carrying</w:t>
            </w:r>
          </w:p>
        </w:tc>
        <w:tc>
          <w:tcPr>
            <w:tcW w:w="180" w:type="dxa"/>
            <w:vAlign w:val="bottom"/>
          </w:tcPr>
          <w:p>
            <w:pPr>
              <w:spacing w:after="0"/>
              <w:rPr>
                <w:sz w:val="9"/>
                <w:szCs w:val="9"/>
                <w:color w:val="auto"/>
              </w:rPr>
            </w:pPr>
          </w:p>
        </w:tc>
        <w:tc>
          <w:tcPr>
            <w:tcW w:w="800" w:type="dxa"/>
            <w:vAlign w:val="bottom"/>
          </w:tcPr>
          <w:p>
            <w:pPr>
              <w:jc w:val="center"/>
              <w:ind w:right="121"/>
              <w:spacing w:after="0" w:line="109" w:lineRule="exact"/>
              <w:rPr>
                <w:sz w:val="20"/>
                <w:szCs w:val="20"/>
                <w:color w:val="auto"/>
              </w:rPr>
            </w:pPr>
            <w:r>
              <w:rPr>
                <w:rFonts w:ascii="Arial" w:cs="Arial" w:eastAsia="Arial" w:hAnsi="Arial"/>
                <w:sz w:val="11"/>
                <w:szCs w:val="11"/>
                <w:color w:val="auto"/>
              </w:rPr>
              <w:t>Gross</w:t>
            </w: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center"/>
              <w:ind w:right="141"/>
              <w:spacing w:after="0" w:line="109" w:lineRule="exact"/>
              <w:rPr>
                <w:sz w:val="20"/>
                <w:szCs w:val="20"/>
                <w:color w:val="auto"/>
              </w:rPr>
            </w:pPr>
            <w:r>
              <w:rPr>
                <w:rFonts w:ascii="Arial" w:cs="Arial" w:eastAsia="Arial" w:hAnsi="Arial"/>
                <w:sz w:val="11"/>
                <w:szCs w:val="11"/>
                <w:color w:val="auto"/>
                <w:w w:val="93"/>
              </w:rPr>
              <w:t>Net</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101"/>
              <w:spacing w:after="0" w:line="122" w:lineRule="exact"/>
              <w:rPr>
                <w:sz w:val="20"/>
                <w:szCs w:val="20"/>
                <w:color w:val="auto"/>
              </w:rPr>
            </w:pPr>
            <w:r>
              <w:rPr>
                <w:rFonts w:ascii="Arial" w:cs="Arial" w:eastAsia="Arial" w:hAnsi="Arial"/>
                <w:sz w:val="11"/>
                <w:szCs w:val="11"/>
                <w:b w:val="1"/>
                <w:bCs w:val="1"/>
                <w:color w:val="auto"/>
                <w:w w:val="97"/>
              </w:rPr>
              <w:t>Carrying</w:t>
            </w:r>
          </w:p>
        </w:tc>
        <w:tc>
          <w:tcPr>
            <w:tcW w:w="2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ind w:right="121"/>
              <w:spacing w:after="0" w:line="122" w:lineRule="exact"/>
              <w:rPr>
                <w:sz w:val="20"/>
                <w:szCs w:val="20"/>
                <w:color w:val="auto"/>
              </w:rPr>
            </w:pPr>
            <w:r>
              <w:rPr>
                <w:rFonts w:ascii="Arial" w:cs="Arial" w:eastAsia="Arial" w:hAnsi="Arial"/>
                <w:sz w:val="11"/>
                <w:szCs w:val="11"/>
                <w:color w:val="auto"/>
              </w:rPr>
              <w:t>Carrying</w:t>
            </w:r>
          </w:p>
        </w:tc>
        <w:tc>
          <w:tcPr>
            <w:tcW w:w="280" w:type="dxa"/>
            <w:vAlign w:val="bottom"/>
          </w:tcPr>
          <w:p>
            <w:pPr>
              <w:spacing w:after="0"/>
              <w:rPr>
                <w:sz w:val="10"/>
                <w:szCs w:val="10"/>
                <w:color w:val="auto"/>
              </w:rPr>
            </w:pPr>
          </w:p>
        </w:tc>
        <w:tc>
          <w:tcPr>
            <w:tcW w:w="1060" w:type="dxa"/>
            <w:vAlign w:val="bottom"/>
          </w:tcPr>
          <w:p>
            <w:pPr>
              <w:jc w:val="center"/>
              <w:ind w:right="181"/>
              <w:spacing w:after="0" w:line="122" w:lineRule="exact"/>
              <w:rPr>
                <w:sz w:val="20"/>
                <w:szCs w:val="20"/>
                <w:color w:val="auto"/>
              </w:rPr>
            </w:pPr>
            <w:r>
              <w:rPr>
                <w:rFonts w:ascii="Arial" w:cs="Arial" w:eastAsia="Arial" w:hAnsi="Arial"/>
                <w:sz w:val="11"/>
                <w:szCs w:val="11"/>
                <w:color w:val="auto"/>
                <w:w w:val="97"/>
              </w:rPr>
              <w:t>Accumulated</w:t>
            </w:r>
          </w:p>
        </w:tc>
        <w:tc>
          <w:tcPr>
            <w:tcW w:w="220" w:type="dxa"/>
            <w:vAlign w:val="bottom"/>
          </w:tcPr>
          <w:p>
            <w:pPr>
              <w:spacing w:after="0"/>
              <w:rPr>
                <w:sz w:val="10"/>
                <w:szCs w:val="10"/>
                <w:color w:val="auto"/>
              </w:rPr>
            </w:pPr>
          </w:p>
        </w:tc>
        <w:tc>
          <w:tcPr>
            <w:tcW w:w="800" w:type="dxa"/>
            <w:vAlign w:val="bottom"/>
          </w:tcPr>
          <w:p>
            <w:pPr>
              <w:jc w:val="center"/>
              <w:ind w:right="101"/>
              <w:spacing w:after="0" w:line="122" w:lineRule="exact"/>
              <w:rPr>
                <w:sz w:val="20"/>
                <w:szCs w:val="20"/>
                <w:color w:val="auto"/>
              </w:rPr>
            </w:pPr>
            <w:r>
              <w:rPr>
                <w:rFonts w:ascii="Arial" w:cs="Arial" w:eastAsia="Arial" w:hAnsi="Arial"/>
                <w:sz w:val="11"/>
                <w:szCs w:val="11"/>
                <w:color w:val="auto"/>
                <w:w w:val="96"/>
              </w:rPr>
              <w:t>Carrying</w:t>
            </w:r>
          </w:p>
        </w:tc>
        <w:tc>
          <w:tcPr>
            <w:tcW w:w="0" w:type="dxa"/>
            <w:vAlign w:val="bottom"/>
          </w:tcPr>
          <w:p>
            <w:pPr>
              <w:spacing w:after="0"/>
              <w:rPr>
                <w:sz w:val="1"/>
                <w:szCs w:val="1"/>
                <w:color w:val="auto"/>
              </w:rPr>
            </w:pPr>
          </w:p>
        </w:tc>
      </w:tr>
      <w:tr>
        <w:trPr>
          <w:trHeight w:val="15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740" w:type="dxa"/>
            <w:vAlign w:val="bottom"/>
            <w:tcBorders>
              <w:bottom w:val="single" w:sz="8" w:color="auto"/>
            </w:tcBorders>
          </w:tcPr>
          <w:p>
            <w:pPr>
              <w:jc w:val="center"/>
              <w:ind w:left="241"/>
              <w:spacing w:after="0"/>
              <w:rPr>
                <w:sz w:val="20"/>
                <w:szCs w:val="20"/>
                <w:color w:val="auto"/>
              </w:rPr>
            </w:pPr>
            <w:r>
              <w:rPr>
                <w:rFonts w:ascii="Arial" w:cs="Arial" w:eastAsia="Arial" w:hAnsi="Arial"/>
                <w:sz w:val="11"/>
                <w:szCs w:val="11"/>
                <w:b w:val="1"/>
                <w:bCs w:val="1"/>
                <w:color w:val="auto"/>
                <w:w w:val="95"/>
              </w:rPr>
              <w:t>Range</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1"/>
              <w:spacing w:after="0"/>
              <w:rPr>
                <w:sz w:val="20"/>
                <w:szCs w:val="20"/>
                <w:color w:val="auto"/>
              </w:rPr>
            </w:pPr>
            <w:r>
              <w:rPr>
                <w:rFonts w:ascii="Arial" w:cs="Arial" w:eastAsia="Arial" w:hAnsi="Arial"/>
                <w:sz w:val="11"/>
                <w:szCs w:val="11"/>
                <w:b w:val="1"/>
                <w:bCs w:val="1"/>
                <w:color w:val="auto"/>
                <w:w w:val="96"/>
              </w:rPr>
              <w:t>Amount</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w w:val="98"/>
              </w:rPr>
              <w:t>Amortization</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rPr>
                <w:sz w:val="20"/>
                <w:szCs w:val="20"/>
                <w:color w:val="auto"/>
              </w:rPr>
            </w:pPr>
            <w:r>
              <w:rPr>
                <w:rFonts w:ascii="Arial" w:cs="Arial" w:eastAsia="Arial" w:hAnsi="Arial"/>
                <w:sz w:val="11"/>
                <w:szCs w:val="11"/>
                <w:color w:val="auto"/>
              </w:rPr>
              <w:t>Amount</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01"/>
              <w:spacing w:after="0"/>
              <w:rPr>
                <w:sz w:val="20"/>
                <w:szCs w:val="20"/>
                <w:color w:val="auto"/>
              </w:rPr>
            </w:pPr>
            <w:r>
              <w:rPr>
                <w:rFonts w:ascii="Arial" w:cs="Arial" w:eastAsia="Arial" w:hAnsi="Arial"/>
                <w:sz w:val="11"/>
                <w:szCs w:val="11"/>
                <w:color w:val="auto"/>
                <w:w w:val="98"/>
              </w:rPr>
              <w:t>Amortization</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1"/>
              <w:spacing w:after="0"/>
              <w:rPr>
                <w:sz w:val="20"/>
                <w:szCs w:val="20"/>
                <w:color w:val="auto"/>
              </w:rPr>
            </w:pPr>
            <w:r>
              <w:rPr>
                <w:rFonts w:ascii="Arial" w:cs="Arial" w:eastAsia="Arial" w:hAnsi="Arial"/>
                <w:sz w:val="11"/>
                <w:szCs w:val="11"/>
                <w:color w:val="auto"/>
                <w:w w:val="94"/>
              </w:rPr>
              <w:t>Amount</w:t>
            </w:r>
          </w:p>
        </w:tc>
        <w:tc>
          <w:tcPr>
            <w:tcW w:w="0" w:type="dxa"/>
            <w:vAlign w:val="bottom"/>
          </w:tcPr>
          <w:p>
            <w:pPr>
              <w:spacing w:after="0"/>
              <w:rPr>
                <w:sz w:val="1"/>
                <w:szCs w:val="1"/>
                <w:color w:val="auto"/>
              </w:rPr>
            </w:pPr>
          </w:p>
        </w:tc>
      </w:tr>
      <w:tr>
        <w:trPr>
          <w:trHeight w:val="163"/>
        </w:trPr>
        <w:tc>
          <w:tcPr>
            <w:tcW w:w="2700" w:type="dxa"/>
            <w:vAlign w:val="bottom"/>
          </w:tcPr>
          <w:p>
            <w:pPr>
              <w:ind w:left="20"/>
              <w:spacing w:after="0"/>
              <w:rPr>
                <w:sz w:val="20"/>
                <w:szCs w:val="20"/>
                <w:color w:val="auto"/>
              </w:rPr>
            </w:pPr>
            <w:r>
              <w:rPr>
                <w:rFonts w:ascii="Arial" w:cs="Arial" w:eastAsia="Arial" w:hAnsi="Arial"/>
                <w:sz w:val="12"/>
                <w:szCs w:val="12"/>
                <w:b w:val="1"/>
                <w:bCs w:val="1"/>
                <w:color w:val="auto"/>
              </w:rPr>
              <w:t>Amortized Intangible Assets</w:t>
            </w: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100"/>
              <w:spacing w:after="0"/>
              <w:rPr>
                <w:sz w:val="20"/>
                <w:szCs w:val="20"/>
                <w:color w:val="auto"/>
              </w:rPr>
            </w:pPr>
            <w:r>
              <w:rPr>
                <w:rFonts w:ascii="Arial" w:cs="Arial" w:eastAsia="Arial" w:hAnsi="Arial"/>
                <w:sz w:val="12"/>
                <w:szCs w:val="12"/>
                <w:color w:val="auto"/>
              </w:rPr>
              <w:t>Student and customer relationships</w:t>
            </w:r>
          </w:p>
        </w:tc>
        <w:tc>
          <w:tcPr>
            <w:tcW w:w="1740" w:type="dxa"/>
            <w:vAlign w:val="bottom"/>
          </w:tcPr>
          <w:p>
            <w:pPr>
              <w:jc w:val="center"/>
              <w:ind w:left="221"/>
              <w:spacing w:after="0"/>
              <w:rPr>
                <w:sz w:val="20"/>
                <w:szCs w:val="20"/>
                <w:color w:val="auto"/>
              </w:rPr>
            </w:pPr>
            <w:r>
              <w:rPr>
                <w:rFonts w:ascii="Arial" w:cs="Arial" w:eastAsia="Arial" w:hAnsi="Arial"/>
                <w:sz w:val="12"/>
                <w:szCs w:val="12"/>
                <w:b w:val="1"/>
                <w:bCs w:val="1"/>
                <w:color w:val="auto"/>
              </w:rPr>
              <w:t>2–10 years</w:t>
            </w:r>
          </w:p>
        </w:tc>
        <w:tc>
          <w:tcPr>
            <w:tcW w:w="160" w:type="dxa"/>
            <w:vAlign w:val="bottom"/>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282,017</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Pr>
          <w:p>
            <w:pPr>
              <w:jc w:val="right"/>
              <w:ind w:right="21"/>
              <w:spacing w:after="0"/>
              <w:rPr>
                <w:sz w:val="20"/>
                <w:szCs w:val="20"/>
                <w:color w:val="auto"/>
              </w:rPr>
            </w:pPr>
            <w:r>
              <w:rPr>
                <w:rFonts w:ascii="Arial" w:cs="Arial" w:eastAsia="Arial" w:hAnsi="Arial"/>
                <w:sz w:val="12"/>
                <w:szCs w:val="12"/>
                <w:b w:val="1"/>
                <w:bCs w:val="1"/>
                <w:color w:val="auto"/>
              </w:rPr>
              <w:t>226,281</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101"/>
              <w:spacing w:after="0"/>
              <w:rPr>
                <w:sz w:val="20"/>
                <w:szCs w:val="20"/>
                <w:color w:val="auto"/>
              </w:rPr>
            </w:pPr>
            <w:r>
              <w:rPr>
                <w:rFonts w:ascii="Arial" w:cs="Arial" w:eastAsia="Arial" w:hAnsi="Arial"/>
                <w:sz w:val="12"/>
                <w:szCs w:val="12"/>
                <w:b w:val="1"/>
                <w:bCs w:val="1"/>
                <w:color w:val="auto"/>
              </w:rPr>
              <w:t>55,736</w:t>
            </w: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297,766</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230,429</w:t>
            </w:r>
          </w:p>
        </w:tc>
        <w:tc>
          <w:tcPr>
            <w:tcW w:w="2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67,337</w:t>
            </w:r>
          </w:p>
        </w:tc>
        <w:tc>
          <w:tcPr>
            <w:tcW w:w="0" w:type="dxa"/>
            <w:vAlign w:val="bottom"/>
          </w:tcPr>
          <w:p>
            <w:pPr>
              <w:spacing w:after="0"/>
              <w:rPr>
                <w:sz w:val="1"/>
                <w:szCs w:val="1"/>
                <w:color w:val="auto"/>
              </w:rPr>
            </w:pPr>
          </w:p>
        </w:tc>
      </w:tr>
      <w:tr>
        <w:trPr>
          <w:trHeight w:val="172"/>
        </w:trPr>
        <w:tc>
          <w:tcPr>
            <w:tcW w:w="2700" w:type="dxa"/>
            <w:vAlign w:val="bottom"/>
          </w:tcPr>
          <w:p>
            <w:pPr>
              <w:ind w:left="100"/>
              <w:spacing w:after="0"/>
              <w:rPr>
                <w:sz w:val="20"/>
                <w:szCs w:val="20"/>
                <w:color w:val="auto"/>
              </w:rPr>
            </w:pPr>
            <w:r>
              <w:rPr>
                <w:rFonts w:ascii="Arial" w:cs="Arial" w:eastAsia="Arial" w:hAnsi="Arial"/>
                <w:sz w:val="12"/>
                <w:szCs w:val="12"/>
                <w:color w:val="auto"/>
              </w:rPr>
              <w:t>Trade names and trademarks</w:t>
            </w:r>
          </w:p>
        </w:tc>
        <w:tc>
          <w:tcPr>
            <w:tcW w:w="1740" w:type="dxa"/>
            <w:vAlign w:val="bottom"/>
          </w:tcPr>
          <w:p>
            <w:pPr>
              <w:jc w:val="center"/>
              <w:ind w:left="221"/>
              <w:spacing w:after="0"/>
              <w:rPr>
                <w:sz w:val="20"/>
                <w:szCs w:val="20"/>
                <w:color w:val="auto"/>
              </w:rPr>
            </w:pPr>
            <w:r>
              <w:rPr>
                <w:rFonts w:ascii="Arial" w:cs="Arial" w:eastAsia="Arial" w:hAnsi="Arial"/>
                <w:sz w:val="12"/>
                <w:szCs w:val="12"/>
                <w:b w:val="1"/>
                <w:bCs w:val="1"/>
                <w:color w:val="auto"/>
              </w:rPr>
              <w:t>2–15 years</w:t>
            </w:r>
          </w:p>
        </w:tc>
        <w:tc>
          <w:tcPr>
            <w:tcW w:w="16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143,024</w:t>
            </w:r>
          </w:p>
        </w:tc>
        <w:tc>
          <w:tcPr>
            <w:tcW w:w="200" w:type="dxa"/>
            <w:vAlign w:val="bottom"/>
          </w:tcPr>
          <w:p>
            <w:pPr>
              <w:spacing w:after="0"/>
              <w:rPr>
                <w:sz w:val="14"/>
                <w:szCs w:val="14"/>
                <w:color w:val="auto"/>
              </w:rPr>
            </w:pPr>
          </w:p>
        </w:tc>
        <w:tc>
          <w:tcPr>
            <w:tcW w:w="1180" w:type="dxa"/>
            <w:vAlign w:val="bottom"/>
          </w:tcPr>
          <w:p>
            <w:pPr>
              <w:jc w:val="right"/>
              <w:ind w:right="21"/>
              <w:spacing w:after="0"/>
              <w:rPr>
                <w:sz w:val="20"/>
                <w:szCs w:val="20"/>
                <w:color w:val="auto"/>
              </w:rPr>
            </w:pPr>
            <w:r>
              <w:rPr>
                <w:rFonts w:ascii="Arial" w:cs="Arial" w:eastAsia="Arial" w:hAnsi="Arial"/>
                <w:sz w:val="12"/>
                <w:szCs w:val="12"/>
                <w:b w:val="1"/>
                <w:bCs w:val="1"/>
                <w:color w:val="auto"/>
              </w:rPr>
              <w:t>83,129</w:t>
            </w:r>
          </w:p>
        </w:tc>
        <w:tc>
          <w:tcPr>
            <w:tcW w:w="180" w:type="dxa"/>
            <w:vAlign w:val="bottom"/>
          </w:tcPr>
          <w:p>
            <w:pPr>
              <w:spacing w:after="0"/>
              <w:rPr>
                <w:sz w:val="14"/>
                <w:szCs w:val="14"/>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b w:val="1"/>
                <w:bCs w:val="1"/>
                <w:color w:val="auto"/>
              </w:rPr>
              <w:t>59,895</w:t>
            </w:r>
          </w:p>
        </w:tc>
        <w:tc>
          <w:tcPr>
            <w:tcW w:w="18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148,102</w:t>
            </w:r>
          </w:p>
        </w:tc>
        <w:tc>
          <w:tcPr>
            <w:tcW w:w="28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81,078</w:t>
            </w:r>
          </w:p>
        </w:tc>
        <w:tc>
          <w:tcPr>
            <w:tcW w:w="22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67,024</w:t>
            </w:r>
          </w:p>
        </w:tc>
        <w:tc>
          <w:tcPr>
            <w:tcW w:w="0" w:type="dxa"/>
            <w:vAlign w:val="bottom"/>
          </w:tcPr>
          <w:p>
            <w:pPr>
              <w:spacing w:after="0"/>
              <w:rPr>
                <w:sz w:val="1"/>
                <w:szCs w:val="1"/>
                <w:color w:val="auto"/>
              </w:rPr>
            </w:pPr>
          </w:p>
        </w:tc>
      </w:tr>
      <w:tr>
        <w:trPr>
          <w:trHeight w:val="172"/>
        </w:trPr>
        <w:tc>
          <w:tcPr>
            <w:tcW w:w="2700" w:type="dxa"/>
            <w:vAlign w:val="bottom"/>
          </w:tcPr>
          <w:p>
            <w:pPr>
              <w:ind w:left="100"/>
              <w:spacing w:after="0"/>
              <w:rPr>
                <w:sz w:val="20"/>
                <w:szCs w:val="20"/>
                <w:color w:val="auto"/>
              </w:rPr>
            </w:pPr>
            <w:r>
              <w:rPr>
                <w:rFonts w:ascii="Arial" w:cs="Arial" w:eastAsia="Arial" w:hAnsi="Arial"/>
                <w:sz w:val="12"/>
                <w:szCs w:val="12"/>
                <w:color w:val="auto"/>
              </w:rPr>
              <w:t>Network affiliation agreements</w:t>
            </w:r>
          </w:p>
        </w:tc>
        <w:tc>
          <w:tcPr>
            <w:tcW w:w="1740" w:type="dxa"/>
            <w:vAlign w:val="bottom"/>
          </w:tcPr>
          <w:p>
            <w:pPr>
              <w:jc w:val="center"/>
              <w:ind w:left="241"/>
              <w:spacing w:after="0"/>
              <w:rPr>
                <w:sz w:val="20"/>
                <w:szCs w:val="20"/>
                <w:color w:val="auto"/>
              </w:rPr>
            </w:pPr>
            <w:r>
              <w:rPr>
                <w:rFonts w:ascii="Arial" w:cs="Arial" w:eastAsia="Arial" w:hAnsi="Arial"/>
                <w:sz w:val="12"/>
                <w:szCs w:val="12"/>
                <w:b w:val="1"/>
                <w:bCs w:val="1"/>
                <w:color w:val="auto"/>
                <w:w w:val="99"/>
              </w:rPr>
              <w:t>10 years</w:t>
            </w:r>
          </w:p>
        </w:tc>
        <w:tc>
          <w:tcPr>
            <w:tcW w:w="16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17,400</w:t>
            </w:r>
          </w:p>
        </w:tc>
        <w:tc>
          <w:tcPr>
            <w:tcW w:w="200" w:type="dxa"/>
            <w:vAlign w:val="bottom"/>
          </w:tcPr>
          <w:p>
            <w:pPr>
              <w:spacing w:after="0"/>
              <w:rPr>
                <w:sz w:val="14"/>
                <w:szCs w:val="14"/>
                <w:color w:val="auto"/>
              </w:rPr>
            </w:pPr>
          </w:p>
        </w:tc>
        <w:tc>
          <w:tcPr>
            <w:tcW w:w="1180" w:type="dxa"/>
            <w:vAlign w:val="bottom"/>
          </w:tcPr>
          <w:p>
            <w:pPr>
              <w:jc w:val="right"/>
              <w:ind w:right="21"/>
              <w:spacing w:after="0"/>
              <w:rPr>
                <w:sz w:val="20"/>
                <w:szCs w:val="20"/>
                <w:color w:val="auto"/>
              </w:rPr>
            </w:pPr>
            <w:r>
              <w:rPr>
                <w:rFonts w:ascii="Arial" w:cs="Arial" w:eastAsia="Arial" w:hAnsi="Arial"/>
                <w:sz w:val="12"/>
                <w:szCs w:val="12"/>
                <w:b w:val="1"/>
                <w:bCs w:val="1"/>
                <w:color w:val="auto"/>
              </w:rPr>
              <w:t>11,857</w:t>
            </w:r>
          </w:p>
        </w:tc>
        <w:tc>
          <w:tcPr>
            <w:tcW w:w="180" w:type="dxa"/>
            <w:vAlign w:val="bottom"/>
          </w:tcPr>
          <w:p>
            <w:pPr>
              <w:spacing w:after="0"/>
              <w:rPr>
                <w:sz w:val="14"/>
                <w:szCs w:val="14"/>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b w:val="1"/>
                <w:bCs w:val="1"/>
                <w:color w:val="auto"/>
              </w:rPr>
              <w:t>5,543</w:t>
            </w:r>
          </w:p>
        </w:tc>
        <w:tc>
          <w:tcPr>
            <w:tcW w:w="18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17,400</w:t>
            </w:r>
          </w:p>
        </w:tc>
        <w:tc>
          <w:tcPr>
            <w:tcW w:w="28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10,367</w:t>
            </w:r>
          </w:p>
        </w:tc>
        <w:tc>
          <w:tcPr>
            <w:tcW w:w="22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7,033</w:t>
            </w:r>
          </w:p>
        </w:tc>
        <w:tc>
          <w:tcPr>
            <w:tcW w:w="0" w:type="dxa"/>
            <w:vAlign w:val="bottom"/>
          </w:tcPr>
          <w:p>
            <w:pPr>
              <w:spacing w:after="0"/>
              <w:rPr>
                <w:sz w:val="1"/>
                <w:szCs w:val="1"/>
                <w:color w:val="auto"/>
              </w:rPr>
            </w:pPr>
          </w:p>
        </w:tc>
      </w:tr>
      <w:tr>
        <w:trPr>
          <w:trHeight w:val="182"/>
        </w:trPr>
        <w:tc>
          <w:tcPr>
            <w:tcW w:w="2700" w:type="dxa"/>
            <w:vAlign w:val="bottom"/>
          </w:tcPr>
          <w:p>
            <w:pPr>
              <w:ind w:left="100"/>
              <w:spacing w:after="0"/>
              <w:rPr>
                <w:sz w:val="20"/>
                <w:szCs w:val="20"/>
                <w:color w:val="auto"/>
              </w:rPr>
            </w:pPr>
            <w:r>
              <w:rPr>
                <w:rFonts w:ascii="Arial" w:cs="Arial" w:eastAsia="Arial" w:hAnsi="Arial"/>
                <w:sz w:val="12"/>
                <w:szCs w:val="12"/>
                <w:color w:val="auto"/>
              </w:rPr>
              <w:t>Databases and technology</w:t>
            </w:r>
          </w:p>
        </w:tc>
        <w:tc>
          <w:tcPr>
            <w:tcW w:w="1740" w:type="dxa"/>
            <w:vAlign w:val="bottom"/>
          </w:tcPr>
          <w:p>
            <w:pPr>
              <w:jc w:val="center"/>
              <w:ind w:left="241"/>
              <w:spacing w:after="0"/>
              <w:rPr>
                <w:sz w:val="20"/>
                <w:szCs w:val="20"/>
                <w:color w:val="auto"/>
              </w:rPr>
            </w:pPr>
            <w:r>
              <w:rPr>
                <w:rFonts w:ascii="Arial" w:cs="Arial" w:eastAsia="Arial" w:hAnsi="Arial"/>
                <w:sz w:val="12"/>
                <w:szCs w:val="12"/>
                <w:b w:val="1"/>
                <w:bCs w:val="1"/>
                <w:color w:val="auto"/>
              </w:rPr>
              <w:t>3–6 years</w:t>
            </w:r>
          </w:p>
        </w:tc>
        <w:tc>
          <w:tcPr>
            <w:tcW w:w="1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36,287</w:t>
            </w:r>
          </w:p>
        </w:tc>
        <w:tc>
          <w:tcPr>
            <w:tcW w:w="20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Arial" w:cs="Arial" w:eastAsia="Arial" w:hAnsi="Arial"/>
                <w:sz w:val="12"/>
                <w:szCs w:val="12"/>
                <w:b w:val="1"/>
                <w:bCs w:val="1"/>
                <w:color w:val="auto"/>
              </w:rPr>
              <w:t>34,545</w:t>
            </w:r>
          </w:p>
        </w:tc>
        <w:tc>
          <w:tcPr>
            <w:tcW w:w="18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b w:val="1"/>
                <w:bCs w:val="1"/>
                <w:color w:val="auto"/>
              </w:rPr>
              <w:t>1,742</w:t>
            </w:r>
          </w:p>
        </w:tc>
        <w:tc>
          <w:tcPr>
            <w:tcW w:w="18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36,216</w:t>
            </w:r>
          </w:p>
        </w:tc>
        <w:tc>
          <w:tcPr>
            <w:tcW w:w="280" w:type="dxa"/>
            <w:vAlign w:val="bottom"/>
          </w:tcPr>
          <w:p>
            <w:pPr>
              <w:spacing w:after="0"/>
              <w:rPr>
                <w:sz w:val="15"/>
                <w:szCs w:val="15"/>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32,219</w:t>
            </w:r>
          </w:p>
        </w:tc>
        <w:tc>
          <w:tcPr>
            <w:tcW w:w="2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3,997</w:t>
            </w:r>
          </w:p>
        </w:tc>
        <w:tc>
          <w:tcPr>
            <w:tcW w:w="0" w:type="dxa"/>
            <w:vAlign w:val="bottom"/>
          </w:tcPr>
          <w:p>
            <w:pPr>
              <w:spacing w:after="0"/>
              <w:rPr>
                <w:sz w:val="1"/>
                <w:szCs w:val="1"/>
                <w:color w:val="auto"/>
              </w:rPr>
            </w:pPr>
          </w:p>
        </w:tc>
      </w:tr>
      <w:tr>
        <w:trPr>
          <w:trHeight w:val="172"/>
        </w:trPr>
        <w:tc>
          <w:tcPr>
            <w:tcW w:w="2700" w:type="dxa"/>
            <w:vAlign w:val="bottom"/>
          </w:tcPr>
          <w:p>
            <w:pPr>
              <w:ind w:left="100"/>
              <w:spacing w:after="0"/>
              <w:rPr>
                <w:sz w:val="20"/>
                <w:szCs w:val="20"/>
                <w:color w:val="auto"/>
              </w:rPr>
            </w:pPr>
            <w:r>
              <w:rPr>
                <w:rFonts w:ascii="Arial" w:cs="Arial" w:eastAsia="Arial" w:hAnsi="Arial"/>
                <w:sz w:val="12"/>
                <w:szCs w:val="12"/>
                <w:color w:val="auto"/>
              </w:rPr>
              <w:t>Noncompete agreements</w:t>
            </w:r>
          </w:p>
        </w:tc>
        <w:tc>
          <w:tcPr>
            <w:tcW w:w="1740" w:type="dxa"/>
            <w:vAlign w:val="bottom"/>
          </w:tcPr>
          <w:p>
            <w:pPr>
              <w:jc w:val="center"/>
              <w:ind w:left="241"/>
              <w:spacing w:after="0"/>
              <w:rPr>
                <w:sz w:val="20"/>
                <w:szCs w:val="20"/>
                <w:color w:val="auto"/>
              </w:rPr>
            </w:pPr>
            <w:r>
              <w:rPr>
                <w:rFonts w:ascii="Arial" w:cs="Arial" w:eastAsia="Arial" w:hAnsi="Arial"/>
                <w:sz w:val="12"/>
                <w:szCs w:val="12"/>
                <w:b w:val="1"/>
                <w:bCs w:val="1"/>
                <w:color w:val="auto"/>
              </w:rPr>
              <w:t>2–5 years</w:t>
            </w:r>
          </w:p>
        </w:tc>
        <w:tc>
          <w:tcPr>
            <w:tcW w:w="16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20</w:t>
            </w:r>
          </w:p>
        </w:tc>
        <w:tc>
          <w:tcPr>
            <w:tcW w:w="200" w:type="dxa"/>
            <w:vAlign w:val="bottom"/>
          </w:tcPr>
          <w:p>
            <w:pPr>
              <w:spacing w:after="0"/>
              <w:rPr>
                <w:sz w:val="14"/>
                <w:szCs w:val="14"/>
                <w:color w:val="auto"/>
              </w:rPr>
            </w:pPr>
          </w:p>
        </w:tc>
        <w:tc>
          <w:tcPr>
            <w:tcW w:w="1180" w:type="dxa"/>
            <w:vAlign w:val="bottom"/>
          </w:tcPr>
          <w:p>
            <w:pPr>
              <w:jc w:val="right"/>
              <w:ind w:right="21"/>
              <w:spacing w:after="0"/>
              <w:rPr>
                <w:sz w:val="20"/>
                <w:szCs w:val="20"/>
                <w:color w:val="auto"/>
              </w:rPr>
            </w:pPr>
            <w:r>
              <w:rPr>
                <w:rFonts w:ascii="Arial" w:cs="Arial" w:eastAsia="Arial" w:hAnsi="Arial"/>
                <w:sz w:val="12"/>
                <w:szCs w:val="12"/>
                <w:b w:val="1"/>
                <w:bCs w:val="1"/>
                <w:color w:val="auto"/>
              </w:rPr>
              <w:t>17</w:t>
            </w:r>
          </w:p>
        </w:tc>
        <w:tc>
          <w:tcPr>
            <w:tcW w:w="180" w:type="dxa"/>
            <w:vAlign w:val="bottom"/>
          </w:tcPr>
          <w:p>
            <w:pPr>
              <w:spacing w:after="0"/>
              <w:rPr>
                <w:sz w:val="14"/>
                <w:szCs w:val="14"/>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1,000</w:t>
            </w:r>
          </w:p>
        </w:tc>
        <w:tc>
          <w:tcPr>
            <w:tcW w:w="28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995</w:t>
            </w:r>
          </w:p>
        </w:tc>
        <w:tc>
          <w:tcPr>
            <w:tcW w:w="22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5"/>
        </w:trPr>
        <w:tc>
          <w:tcPr>
            <w:tcW w:w="2700" w:type="dxa"/>
            <w:vAlign w:val="bottom"/>
          </w:tcPr>
          <w:p>
            <w:pPr>
              <w:ind w:left="100"/>
              <w:spacing w:after="0"/>
              <w:rPr>
                <w:sz w:val="20"/>
                <w:szCs w:val="20"/>
                <w:color w:val="auto"/>
              </w:rPr>
            </w:pPr>
            <w:r>
              <w:rPr>
                <w:rFonts w:ascii="Arial" w:cs="Arial" w:eastAsia="Arial" w:hAnsi="Arial"/>
                <w:sz w:val="12"/>
                <w:szCs w:val="12"/>
                <w:color w:val="auto"/>
              </w:rPr>
              <w:t>Other</w:t>
            </w:r>
          </w:p>
        </w:tc>
        <w:tc>
          <w:tcPr>
            <w:tcW w:w="1740" w:type="dxa"/>
            <w:vAlign w:val="bottom"/>
          </w:tcPr>
          <w:p>
            <w:pPr>
              <w:jc w:val="center"/>
              <w:ind w:left="241"/>
              <w:spacing w:after="0"/>
              <w:rPr>
                <w:sz w:val="20"/>
                <w:szCs w:val="20"/>
                <w:color w:val="auto"/>
              </w:rPr>
            </w:pPr>
            <w:r>
              <w:rPr>
                <w:rFonts w:ascii="Arial" w:cs="Arial" w:eastAsia="Arial" w:hAnsi="Arial"/>
                <w:sz w:val="12"/>
                <w:szCs w:val="12"/>
                <w:b w:val="1"/>
                <w:bCs w:val="1"/>
                <w:color w:val="auto"/>
              </w:rPr>
              <w:t>1–8 years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41,144</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29,700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11,444</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43,644</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27,618</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16,026</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519,892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385,529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134,363</w:t>
            </w: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544,128</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382,706</w:t>
            </w:r>
          </w:p>
        </w:tc>
        <w:tc>
          <w:tcPr>
            <w:tcW w:w="2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161,422</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Indefinite-Lived Intangible Assets</w:t>
            </w: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70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8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85,858</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100"/>
              <w:spacing w:after="0"/>
              <w:rPr>
                <w:sz w:val="20"/>
                <w:szCs w:val="20"/>
                <w:color w:val="auto"/>
              </w:rPr>
            </w:pPr>
            <w:r>
              <w:rPr>
                <w:rFonts w:ascii="Arial" w:cs="Arial" w:eastAsia="Arial" w:hAnsi="Arial"/>
                <w:sz w:val="12"/>
                <w:szCs w:val="12"/>
                <w:color w:val="auto"/>
              </w:rPr>
              <w:t>Franchise agreements</w:t>
            </w:r>
          </w:p>
        </w:tc>
        <w:tc>
          <w:tcPr>
            <w:tcW w:w="17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85,858</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100"/>
              <w:spacing w:after="0"/>
              <w:rPr>
                <w:sz w:val="20"/>
                <w:szCs w:val="20"/>
                <w:color w:val="auto"/>
              </w:rPr>
            </w:pPr>
            <w:r>
              <w:rPr>
                <w:rFonts w:ascii="Arial" w:cs="Arial" w:eastAsia="Arial" w:hAnsi="Arial"/>
                <w:sz w:val="12"/>
                <w:szCs w:val="12"/>
                <w:color w:val="auto"/>
              </w:rPr>
              <w:t>Trade names and trademarks</w:t>
            </w: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83,997</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81,905</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100"/>
              <w:spacing w:after="0"/>
              <w:rPr>
                <w:sz w:val="20"/>
                <w:szCs w:val="20"/>
                <w:color w:val="auto"/>
              </w:rPr>
            </w:pPr>
            <w:r>
              <w:rPr>
                <w:rFonts w:ascii="Arial" w:cs="Arial" w:eastAsia="Arial" w:hAnsi="Arial"/>
                <w:sz w:val="12"/>
                <w:szCs w:val="12"/>
                <w:color w:val="auto"/>
              </w:rPr>
              <w:t>FCC licenses</w:t>
            </w: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11,000</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11,000</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100"/>
              <w:spacing w:after="0"/>
              <w:rPr>
                <w:sz w:val="20"/>
                <w:szCs w:val="20"/>
                <w:color w:val="auto"/>
              </w:rPr>
            </w:pPr>
            <w:r>
              <w:rPr>
                <w:rFonts w:ascii="Arial" w:cs="Arial" w:eastAsia="Arial" w:hAnsi="Arial"/>
                <w:sz w:val="12"/>
                <w:szCs w:val="12"/>
                <w:color w:val="auto"/>
              </w:rPr>
              <w:t>Licensure and accreditation</w:t>
            </w: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b w:val="1"/>
                <w:bCs w:val="1"/>
                <w:color w:val="auto"/>
              </w:rPr>
              <w:t>150</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150</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tcPr>
          <w:p>
            <w:pPr>
              <w:ind w:left="100"/>
              <w:spacing w:after="0"/>
              <w:rPr>
                <w:sz w:val="20"/>
                <w:szCs w:val="20"/>
                <w:color w:val="auto"/>
              </w:rPr>
            </w:pPr>
            <w:r>
              <w:rPr>
                <w:rFonts w:ascii="Arial" w:cs="Arial" w:eastAsia="Arial" w:hAnsi="Arial"/>
                <w:sz w:val="12"/>
                <w:szCs w:val="12"/>
                <w:color w:val="auto"/>
              </w:rPr>
              <w:t>Other</w:t>
            </w: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21</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181,026</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178,934</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7. DEBT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Company’s borrowings consist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1"/>
                <w:szCs w:val="11"/>
                <w:b w:val="1"/>
                <w:bCs w:val="1"/>
                <w:color w:val="auto"/>
              </w:rPr>
              <w:t>As of</w:t>
            </w: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960" w:type="dxa"/>
            <w:vAlign w:val="bottom"/>
            <w:vMerge w:val="restart"/>
          </w:tcPr>
          <w:p>
            <w:pPr>
              <w:ind w:left="1020"/>
              <w:spacing w:after="0"/>
              <w:rPr>
                <w:sz w:val="20"/>
                <w:szCs w:val="20"/>
                <w:color w:val="auto"/>
              </w:rPr>
            </w:pPr>
            <w:r>
              <w:rPr>
                <w:rFonts w:ascii="Arial" w:cs="Arial" w:eastAsia="Arial" w:hAnsi="Arial"/>
                <w:sz w:val="11"/>
                <w:szCs w:val="11"/>
                <w:b w:val="1"/>
                <w:bCs w:val="1"/>
                <w:color w:val="auto"/>
              </w:rPr>
              <w:t>Maturities</w:t>
            </w:r>
          </w:p>
        </w:tc>
        <w:tc>
          <w:tcPr>
            <w:tcW w:w="168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Stated Interest Rate</w:t>
            </w:r>
          </w:p>
        </w:tc>
        <w:tc>
          <w:tcPr>
            <w:tcW w:w="1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Effective Interest Rate</w:t>
            </w:r>
          </w:p>
        </w:tc>
        <w:tc>
          <w:tcPr>
            <w:tcW w:w="1020" w:type="dxa"/>
            <w:vAlign w:val="bottom"/>
          </w:tcPr>
          <w:p>
            <w:pPr>
              <w:jc w:val="right"/>
              <w:spacing w:after="0" w:line="109" w:lineRule="exact"/>
              <w:rPr>
                <w:sz w:val="20"/>
                <w:szCs w:val="20"/>
                <w:color w:val="auto"/>
              </w:rPr>
            </w:pPr>
            <w:r>
              <w:rPr>
                <w:rFonts w:ascii="Arial" w:cs="Arial" w:eastAsia="Arial" w:hAnsi="Arial"/>
                <w:sz w:val="11"/>
                <w:szCs w:val="11"/>
                <w:b w:val="1"/>
                <w:bCs w:val="1"/>
                <w:color w:val="auto"/>
              </w:rPr>
              <w:t>June 30,</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jc w:val="right"/>
              <w:ind w:right="381"/>
              <w:spacing w:after="0" w:line="109" w:lineRule="exact"/>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5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960" w:type="dxa"/>
            <w:vAlign w:val="bottom"/>
            <w:tcBorders>
              <w:bottom w:val="single" w:sz="8" w:color="auto"/>
            </w:tcBorders>
            <w:vMerge w:val="continue"/>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176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65"/>
        </w:trPr>
        <w:tc>
          <w:tcPr>
            <w:tcW w:w="2640" w:type="dxa"/>
            <w:vAlign w:val="bottom"/>
          </w:tcPr>
          <w:p>
            <w:pPr>
              <w:ind w:left="20"/>
              <w:spacing w:after="0" w:line="165" w:lineRule="exact"/>
              <w:rPr>
                <w:sz w:val="20"/>
                <w:szCs w:val="20"/>
                <w:color w:val="auto"/>
              </w:rPr>
            </w:pPr>
            <w:r>
              <w:rPr>
                <w:rFonts w:ascii="Arial" w:cs="Arial" w:eastAsia="Arial" w:hAnsi="Arial"/>
                <w:sz w:val="12"/>
                <w:szCs w:val="12"/>
                <w:color w:val="auto"/>
              </w:rPr>
              <w:t xml:space="preserve">Unsecured notes </w:t>
            </w:r>
            <w:r>
              <w:rPr>
                <w:rFonts w:ascii="Arial" w:cs="Arial" w:eastAsia="Arial" w:hAnsi="Arial"/>
                <w:sz w:val="15"/>
                <w:szCs w:val="15"/>
                <w:color w:val="auto"/>
                <w:vertAlign w:val="superscript"/>
              </w:rPr>
              <w:t>(1)</w:t>
            </w:r>
          </w:p>
        </w:tc>
        <w:tc>
          <w:tcPr>
            <w:tcW w:w="1960" w:type="dxa"/>
            <w:vAlign w:val="bottom"/>
          </w:tcPr>
          <w:p>
            <w:pPr>
              <w:jc w:val="center"/>
              <w:ind w:left="540"/>
              <w:spacing w:after="0"/>
              <w:rPr>
                <w:sz w:val="20"/>
                <w:szCs w:val="20"/>
                <w:color w:val="auto"/>
              </w:rPr>
            </w:pPr>
            <w:r>
              <w:rPr>
                <w:rFonts w:ascii="Arial" w:cs="Arial" w:eastAsia="Arial" w:hAnsi="Arial"/>
                <w:sz w:val="12"/>
                <w:szCs w:val="12"/>
                <w:color w:val="auto"/>
              </w:rPr>
              <w:t>2026</w:t>
            </w:r>
          </w:p>
        </w:tc>
        <w:tc>
          <w:tcPr>
            <w:tcW w:w="1680" w:type="dxa"/>
            <w:vAlign w:val="bottom"/>
          </w:tcPr>
          <w:p>
            <w:pPr>
              <w:jc w:val="center"/>
              <w:spacing w:after="0"/>
              <w:rPr>
                <w:sz w:val="20"/>
                <w:szCs w:val="20"/>
                <w:color w:val="auto"/>
              </w:rPr>
            </w:pPr>
            <w:r>
              <w:rPr>
                <w:rFonts w:ascii="Arial" w:cs="Arial" w:eastAsia="Arial" w:hAnsi="Arial"/>
                <w:sz w:val="12"/>
                <w:szCs w:val="12"/>
                <w:color w:val="auto"/>
                <w:w w:val="99"/>
              </w:rPr>
              <w:t>5.75%</w:t>
            </w:r>
          </w:p>
        </w:tc>
        <w:tc>
          <w:tcPr>
            <w:tcW w:w="1760" w:type="dxa"/>
            <w:vAlign w:val="bottom"/>
          </w:tcPr>
          <w:p>
            <w:pPr>
              <w:jc w:val="center"/>
              <w:spacing w:after="0"/>
              <w:rPr>
                <w:sz w:val="20"/>
                <w:szCs w:val="20"/>
                <w:color w:val="auto"/>
              </w:rPr>
            </w:pPr>
            <w:r>
              <w:rPr>
                <w:rFonts w:ascii="Arial" w:cs="Arial" w:eastAsia="Arial" w:hAnsi="Arial"/>
                <w:sz w:val="12"/>
                <w:szCs w:val="12"/>
                <w:color w:val="auto"/>
                <w:w w:val="99"/>
              </w:rPr>
              <w:t>5.75%</w:t>
            </w:r>
          </w:p>
        </w:tc>
        <w:tc>
          <w:tcPr>
            <w:tcW w:w="1020" w:type="dxa"/>
            <w:vAlign w:val="bottom"/>
          </w:tcPr>
          <w:p>
            <w:pPr>
              <w:jc w:val="right"/>
              <w:ind w:right="883"/>
              <w:spacing w:after="0"/>
              <w:rPr>
                <w:sz w:val="20"/>
                <w:szCs w:val="20"/>
                <w:color w:val="auto"/>
              </w:rPr>
            </w:pPr>
            <w:r>
              <w:rPr>
                <w:rFonts w:ascii="Arial" w:cs="Arial" w:eastAsia="Arial" w:hAnsi="Arial"/>
                <w:sz w:val="12"/>
                <w:szCs w:val="12"/>
                <w:b w:val="1"/>
                <w:bCs w:val="1"/>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397,904</w:t>
            </w:r>
          </w:p>
        </w:tc>
        <w:tc>
          <w:tcPr>
            <w:tcW w:w="32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397,548</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Arial" w:cs="Arial" w:eastAsia="Arial" w:hAnsi="Arial"/>
                <w:sz w:val="12"/>
                <w:szCs w:val="12"/>
                <w:color w:val="auto"/>
              </w:rPr>
              <w:t>Revolving credit facility</w:t>
            </w:r>
          </w:p>
        </w:tc>
        <w:tc>
          <w:tcPr>
            <w:tcW w:w="1960" w:type="dxa"/>
            <w:vAlign w:val="bottom"/>
          </w:tcPr>
          <w:p>
            <w:pPr>
              <w:jc w:val="center"/>
              <w:ind w:left="540"/>
              <w:spacing w:after="0"/>
              <w:rPr>
                <w:sz w:val="20"/>
                <w:szCs w:val="20"/>
                <w:color w:val="auto"/>
              </w:rPr>
            </w:pPr>
            <w:r>
              <w:rPr>
                <w:rFonts w:ascii="Arial" w:cs="Arial" w:eastAsia="Arial" w:hAnsi="Arial"/>
                <w:sz w:val="12"/>
                <w:szCs w:val="12"/>
                <w:color w:val="auto"/>
              </w:rPr>
              <w:t>2027</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rPr>
              <w:t>4.80% - 8.63%</w:t>
            </w:r>
          </w:p>
        </w:tc>
        <w:tc>
          <w:tcPr>
            <w:tcW w:w="1760" w:type="dxa"/>
            <w:vAlign w:val="bottom"/>
          </w:tcPr>
          <w:p>
            <w:pPr>
              <w:jc w:val="center"/>
              <w:spacing w:after="0"/>
              <w:rPr>
                <w:sz w:val="20"/>
                <w:szCs w:val="20"/>
                <w:color w:val="auto"/>
              </w:rPr>
            </w:pPr>
            <w:r>
              <w:rPr>
                <w:rFonts w:ascii="Arial" w:cs="Arial" w:eastAsia="Arial" w:hAnsi="Arial"/>
                <w:sz w:val="12"/>
                <w:szCs w:val="12"/>
                <w:color w:val="auto"/>
                <w:w w:val="99"/>
              </w:rPr>
              <w:t>6.09%</w:t>
            </w:r>
          </w:p>
        </w:tc>
        <w:tc>
          <w:tcPr>
            <w:tcW w:w="102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188,136</w:t>
            </w:r>
          </w:p>
        </w:tc>
        <w:tc>
          <w:tcPr>
            <w:tcW w:w="3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200,236</w:t>
            </w:r>
          </w:p>
        </w:tc>
        <w:tc>
          <w:tcPr>
            <w:tcW w:w="0" w:type="dxa"/>
            <w:vAlign w:val="bottom"/>
          </w:tcPr>
          <w:p>
            <w:pPr>
              <w:spacing w:after="0"/>
              <w:rPr>
                <w:sz w:val="1"/>
                <w:szCs w:val="1"/>
                <w:color w:val="auto"/>
              </w:rPr>
            </w:pPr>
          </w:p>
        </w:tc>
      </w:tr>
      <w:tr>
        <w:trPr>
          <w:trHeight w:val="186"/>
        </w:trPr>
        <w:tc>
          <w:tcPr>
            <w:tcW w:w="2640" w:type="dxa"/>
            <w:vAlign w:val="bottom"/>
          </w:tcPr>
          <w:p>
            <w:pPr>
              <w:ind w:left="20"/>
              <w:spacing w:after="0"/>
              <w:rPr>
                <w:sz w:val="20"/>
                <w:szCs w:val="20"/>
                <w:color w:val="auto"/>
              </w:rPr>
            </w:pPr>
            <w:r>
              <w:rPr>
                <w:rFonts w:ascii="Arial" w:cs="Arial" w:eastAsia="Arial" w:hAnsi="Arial"/>
                <w:sz w:val="12"/>
                <w:szCs w:val="12"/>
                <w:color w:val="auto"/>
              </w:rPr>
              <w:t xml:space="preserve">Truist Bank commercial note </w:t>
            </w:r>
            <w:r>
              <w:rPr>
                <w:rFonts w:ascii="Arial" w:cs="Arial" w:eastAsia="Arial" w:hAnsi="Arial"/>
                <w:sz w:val="15"/>
                <w:szCs w:val="15"/>
                <w:color w:val="auto"/>
                <w:vertAlign w:val="superscript"/>
              </w:rPr>
              <w:t>(2)</w:t>
            </w:r>
          </w:p>
        </w:tc>
        <w:tc>
          <w:tcPr>
            <w:tcW w:w="1960" w:type="dxa"/>
            <w:vAlign w:val="bottom"/>
          </w:tcPr>
          <w:p>
            <w:pPr>
              <w:jc w:val="center"/>
              <w:ind w:left="540"/>
              <w:spacing w:after="0"/>
              <w:rPr>
                <w:sz w:val="20"/>
                <w:szCs w:val="20"/>
                <w:color w:val="auto"/>
              </w:rPr>
            </w:pPr>
            <w:r>
              <w:rPr>
                <w:rFonts w:ascii="Arial" w:cs="Arial" w:eastAsia="Arial" w:hAnsi="Arial"/>
                <w:sz w:val="12"/>
                <w:szCs w:val="12"/>
                <w:color w:val="auto"/>
              </w:rPr>
              <w:t>2031</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rPr>
              <w:t>6.10% - 6.86%</w:t>
            </w:r>
          </w:p>
        </w:tc>
        <w:tc>
          <w:tcPr>
            <w:tcW w:w="1760" w:type="dxa"/>
            <w:vAlign w:val="bottom"/>
          </w:tcPr>
          <w:p>
            <w:pPr>
              <w:jc w:val="center"/>
              <w:spacing w:after="0"/>
              <w:rPr>
                <w:sz w:val="20"/>
                <w:szCs w:val="20"/>
                <w:color w:val="auto"/>
              </w:rPr>
            </w:pPr>
            <w:r>
              <w:rPr>
                <w:rFonts w:ascii="Arial" w:cs="Arial" w:eastAsia="Arial" w:hAnsi="Arial"/>
                <w:sz w:val="12"/>
                <w:szCs w:val="12"/>
                <w:color w:val="auto"/>
                <w:w w:val="99"/>
              </w:rPr>
              <w:t>6.58%</w:t>
            </w:r>
          </w:p>
        </w:tc>
        <w:tc>
          <w:tcPr>
            <w:tcW w:w="1020" w:type="dxa"/>
            <w:vAlign w:val="bottom"/>
          </w:tcPr>
          <w:p>
            <w:pPr>
              <w:spacing w:after="0"/>
              <w:rPr>
                <w:sz w:val="16"/>
                <w:szCs w:val="16"/>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23,031</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23,522</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Arial" w:cs="Arial" w:eastAsia="Arial" w:hAnsi="Arial"/>
                <w:sz w:val="12"/>
                <w:szCs w:val="12"/>
                <w:color w:val="auto"/>
              </w:rPr>
              <w:t>Truist Bank commercial note</w:t>
            </w:r>
          </w:p>
        </w:tc>
        <w:tc>
          <w:tcPr>
            <w:tcW w:w="1960" w:type="dxa"/>
            <w:vAlign w:val="bottom"/>
          </w:tcPr>
          <w:p>
            <w:pPr>
              <w:jc w:val="center"/>
              <w:ind w:left="540"/>
              <w:spacing w:after="0"/>
              <w:rPr>
                <w:sz w:val="20"/>
                <w:szCs w:val="20"/>
                <w:color w:val="auto"/>
              </w:rPr>
            </w:pPr>
            <w:r>
              <w:rPr>
                <w:rFonts w:ascii="Arial" w:cs="Arial" w:eastAsia="Arial" w:hAnsi="Arial"/>
                <w:sz w:val="12"/>
                <w:szCs w:val="12"/>
                <w:color w:val="auto"/>
              </w:rPr>
              <w:t>2032</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rPr>
              <w:t>6.38% - 7.21%</w:t>
            </w:r>
          </w:p>
        </w:tc>
        <w:tc>
          <w:tcPr>
            <w:tcW w:w="1760" w:type="dxa"/>
            <w:vAlign w:val="bottom"/>
          </w:tcPr>
          <w:p>
            <w:pPr>
              <w:jc w:val="center"/>
              <w:spacing w:after="0"/>
              <w:rPr>
                <w:sz w:val="20"/>
                <w:szCs w:val="20"/>
                <w:color w:val="auto"/>
              </w:rPr>
            </w:pPr>
            <w:r>
              <w:rPr>
                <w:rFonts w:ascii="Arial" w:cs="Arial" w:eastAsia="Arial" w:hAnsi="Arial"/>
                <w:sz w:val="12"/>
                <w:szCs w:val="12"/>
                <w:color w:val="auto"/>
                <w:w w:val="99"/>
              </w:rPr>
              <w:t>6.81%</w:t>
            </w:r>
          </w:p>
        </w:tc>
        <w:tc>
          <w:tcPr>
            <w:tcW w:w="102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60,452</w:t>
            </w:r>
          </w:p>
        </w:tc>
        <w:tc>
          <w:tcPr>
            <w:tcW w:w="3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66,513</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rPr>
                <w:sz w:val="20"/>
                <w:szCs w:val="20"/>
                <w:color w:val="auto"/>
              </w:rPr>
            </w:pPr>
            <w:r>
              <w:rPr>
                <w:rFonts w:ascii="Arial" w:cs="Arial" w:eastAsia="Arial" w:hAnsi="Arial"/>
                <w:sz w:val="12"/>
                <w:szCs w:val="12"/>
                <w:color w:val="auto"/>
              </w:rPr>
              <w:t xml:space="preserve">Truist Bank commercial note </w:t>
            </w:r>
            <w:r>
              <w:rPr>
                <w:rFonts w:ascii="Arial" w:cs="Arial" w:eastAsia="Arial" w:hAnsi="Arial"/>
                <w:sz w:val="15"/>
                <w:szCs w:val="15"/>
                <w:color w:val="auto"/>
                <w:vertAlign w:val="superscript"/>
              </w:rPr>
              <w:t>(3)</w:t>
            </w:r>
          </w:p>
        </w:tc>
        <w:tc>
          <w:tcPr>
            <w:tcW w:w="1960" w:type="dxa"/>
            <w:vAlign w:val="bottom"/>
          </w:tcPr>
          <w:p>
            <w:pPr>
              <w:jc w:val="center"/>
              <w:ind w:left="540"/>
              <w:spacing w:after="0"/>
              <w:rPr>
                <w:sz w:val="20"/>
                <w:szCs w:val="20"/>
                <w:color w:val="auto"/>
              </w:rPr>
            </w:pPr>
            <w:r>
              <w:rPr>
                <w:rFonts w:ascii="Arial" w:cs="Arial" w:eastAsia="Arial" w:hAnsi="Arial"/>
                <w:sz w:val="12"/>
                <w:szCs w:val="12"/>
                <w:color w:val="auto"/>
              </w:rPr>
              <w:t>2032</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rPr>
              <w:t>6.13% - 6.96%</w:t>
            </w:r>
          </w:p>
        </w:tc>
        <w:tc>
          <w:tcPr>
            <w:tcW w:w="1760" w:type="dxa"/>
            <w:vAlign w:val="bottom"/>
          </w:tcPr>
          <w:p>
            <w:pPr>
              <w:jc w:val="center"/>
              <w:spacing w:after="0"/>
              <w:rPr>
                <w:sz w:val="20"/>
                <w:szCs w:val="20"/>
                <w:color w:val="auto"/>
              </w:rPr>
            </w:pPr>
            <w:r>
              <w:rPr>
                <w:rFonts w:ascii="Arial" w:cs="Arial" w:eastAsia="Arial" w:hAnsi="Arial"/>
                <w:sz w:val="12"/>
                <w:szCs w:val="12"/>
                <w:color w:val="auto"/>
                <w:w w:val="99"/>
              </w:rPr>
              <w:t>6.63%</w:t>
            </w:r>
          </w:p>
        </w:tc>
        <w:tc>
          <w:tcPr>
            <w:tcW w:w="1020" w:type="dxa"/>
            <w:vAlign w:val="bottom"/>
          </w:tcPr>
          <w:p>
            <w:pPr>
              <w:spacing w:after="0"/>
              <w:rPr>
                <w:sz w:val="15"/>
                <w:szCs w:val="15"/>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25,873</w:t>
            </w: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26,548</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Arial" w:cs="Arial" w:eastAsia="Arial" w:hAnsi="Arial"/>
                <w:sz w:val="12"/>
                <w:szCs w:val="12"/>
                <w:color w:val="auto"/>
              </w:rPr>
              <w:t>Pinnacle Bank term loan</w:t>
            </w:r>
          </w:p>
        </w:tc>
        <w:tc>
          <w:tcPr>
            <w:tcW w:w="1960" w:type="dxa"/>
            <w:vAlign w:val="bottom"/>
          </w:tcPr>
          <w:p>
            <w:pPr>
              <w:jc w:val="center"/>
              <w:ind w:left="540"/>
              <w:spacing w:after="0"/>
              <w:rPr>
                <w:sz w:val="20"/>
                <w:szCs w:val="20"/>
                <w:color w:val="auto"/>
              </w:rPr>
            </w:pPr>
            <w:r>
              <w:rPr>
                <w:rFonts w:ascii="Arial" w:cs="Arial" w:eastAsia="Arial" w:hAnsi="Arial"/>
                <w:sz w:val="12"/>
                <w:szCs w:val="12"/>
                <w:color w:val="auto"/>
              </w:rPr>
              <w:t>2024</w:t>
            </w:r>
          </w:p>
        </w:tc>
        <w:tc>
          <w:tcPr>
            <w:tcW w:w="1680" w:type="dxa"/>
            <w:vAlign w:val="bottom"/>
          </w:tcPr>
          <w:p>
            <w:pPr>
              <w:jc w:val="center"/>
              <w:spacing w:after="0"/>
              <w:rPr>
                <w:sz w:val="20"/>
                <w:szCs w:val="20"/>
                <w:color w:val="auto"/>
              </w:rPr>
            </w:pPr>
            <w:r>
              <w:rPr>
                <w:rFonts w:ascii="Arial" w:cs="Arial" w:eastAsia="Arial" w:hAnsi="Arial"/>
                <w:sz w:val="12"/>
                <w:szCs w:val="12"/>
                <w:color w:val="auto"/>
                <w:w w:val="99"/>
              </w:rPr>
              <w:t>4.15%</w:t>
            </w:r>
          </w:p>
        </w:tc>
        <w:tc>
          <w:tcPr>
            <w:tcW w:w="1760" w:type="dxa"/>
            <w:vAlign w:val="bottom"/>
          </w:tcPr>
          <w:p>
            <w:pPr>
              <w:jc w:val="center"/>
              <w:spacing w:after="0"/>
              <w:rPr>
                <w:sz w:val="20"/>
                <w:szCs w:val="20"/>
                <w:color w:val="auto"/>
              </w:rPr>
            </w:pPr>
            <w:r>
              <w:rPr>
                <w:rFonts w:ascii="Arial" w:cs="Arial" w:eastAsia="Arial" w:hAnsi="Arial"/>
                <w:sz w:val="12"/>
                <w:szCs w:val="12"/>
                <w:color w:val="auto"/>
                <w:w w:val="99"/>
              </w:rPr>
              <w:t>4.18%</w:t>
            </w:r>
          </w:p>
        </w:tc>
        <w:tc>
          <w:tcPr>
            <w:tcW w:w="102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7,871</w:t>
            </w:r>
          </w:p>
        </w:tc>
        <w:tc>
          <w:tcPr>
            <w:tcW w:w="3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8,433</w:t>
            </w:r>
          </w:p>
        </w:tc>
        <w:tc>
          <w:tcPr>
            <w:tcW w:w="0" w:type="dxa"/>
            <w:vAlign w:val="bottom"/>
          </w:tcPr>
          <w:p>
            <w:pPr>
              <w:spacing w:after="0"/>
              <w:rPr>
                <w:sz w:val="1"/>
                <w:szCs w:val="1"/>
                <w:color w:val="auto"/>
              </w:rPr>
            </w:pPr>
          </w:p>
        </w:tc>
      </w:tr>
      <w:tr>
        <w:trPr>
          <w:trHeight w:val="174"/>
        </w:trPr>
        <w:tc>
          <w:tcPr>
            <w:tcW w:w="2640" w:type="dxa"/>
            <w:vAlign w:val="bottom"/>
          </w:tcPr>
          <w:p>
            <w:pPr>
              <w:ind w:left="20"/>
              <w:spacing w:after="0"/>
              <w:rPr>
                <w:sz w:val="20"/>
                <w:szCs w:val="20"/>
                <w:color w:val="auto"/>
              </w:rPr>
            </w:pPr>
            <w:r>
              <w:rPr>
                <w:rFonts w:ascii="Arial" w:cs="Arial" w:eastAsia="Arial" w:hAnsi="Arial"/>
                <w:sz w:val="12"/>
                <w:szCs w:val="12"/>
                <w:color w:val="auto"/>
              </w:rPr>
              <w:t>Other indebtedness</w:t>
            </w:r>
          </w:p>
        </w:tc>
        <w:tc>
          <w:tcPr>
            <w:tcW w:w="1960" w:type="dxa"/>
            <w:vAlign w:val="bottom"/>
          </w:tcPr>
          <w:p>
            <w:pPr>
              <w:jc w:val="center"/>
              <w:ind w:left="540"/>
              <w:spacing w:after="0"/>
              <w:rPr>
                <w:sz w:val="20"/>
                <w:szCs w:val="20"/>
                <w:color w:val="auto"/>
              </w:rPr>
            </w:pPr>
            <w:r>
              <w:rPr>
                <w:rFonts w:ascii="Arial" w:cs="Arial" w:eastAsia="Arial" w:hAnsi="Arial"/>
                <w:sz w:val="12"/>
                <w:szCs w:val="12"/>
                <w:color w:val="auto"/>
                <w:w w:val="99"/>
              </w:rPr>
              <w:t>2025 - 2030</w:t>
            </w:r>
          </w:p>
        </w:tc>
        <w:tc>
          <w:tcPr>
            <w:tcW w:w="1680" w:type="dxa"/>
            <w:vAlign w:val="bottom"/>
          </w:tcPr>
          <w:p>
            <w:pPr>
              <w:jc w:val="center"/>
              <w:spacing w:after="0"/>
              <w:rPr>
                <w:sz w:val="20"/>
                <w:szCs w:val="20"/>
                <w:color w:val="auto"/>
              </w:rPr>
            </w:pPr>
            <w:r>
              <w:rPr>
                <w:rFonts w:ascii="Arial" w:cs="Arial" w:eastAsia="Arial" w:hAnsi="Arial"/>
                <w:sz w:val="12"/>
                <w:szCs w:val="12"/>
                <w:color w:val="auto"/>
              </w:rPr>
              <w:t>0.00% - 16.00%</w:t>
            </w:r>
          </w:p>
        </w:tc>
        <w:tc>
          <w:tcPr>
            <w:tcW w:w="17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3,458</w:t>
            </w: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3,560</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2"/>
                <w:szCs w:val="12"/>
                <w:b w:val="1"/>
                <w:bCs w:val="1"/>
                <w:color w:val="auto"/>
              </w:rPr>
              <w:t>Total Debt</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rPr>
              <w:t>706,725</w:t>
            </w:r>
          </w:p>
        </w:tc>
        <w:tc>
          <w:tcPr>
            <w:tcW w:w="3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726,360</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2"/>
                <w:szCs w:val="12"/>
                <w:color w:val="auto"/>
              </w:rPr>
              <w:t>Less: current portion</w:t>
            </w:r>
          </w:p>
        </w:tc>
        <w:tc>
          <w:tcPr>
            <w:tcW w:w="1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(141,161)</w:t>
            </w: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(155,813)</w:t>
            </w:r>
          </w:p>
        </w:tc>
        <w:tc>
          <w:tcPr>
            <w:tcW w:w="0" w:type="dxa"/>
            <w:vAlign w:val="bottom"/>
          </w:tcPr>
          <w:p>
            <w:pPr>
              <w:spacing w:after="0"/>
              <w:rPr>
                <w:sz w:val="1"/>
                <w:szCs w:val="1"/>
                <w:color w:val="auto"/>
              </w:rPr>
            </w:pPr>
          </w:p>
        </w:tc>
      </w:tr>
      <w:tr>
        <w:trPr>
          <w:trHeight w:val="169"/>
        </w:trPr>
        <w:tc>
          <w:tcPr>
            <w:tcW w:w="2640" w:type="dxa"/>
            <w:vAlign w:val="bottom"/>
          </w:tcPr>
          <w:p>
            <w:pPr>
              <w:ind w:left="20"/>
              <w:spacing w:after="0"/>
              <w:rPr>
                <w:sz w:val="20"/>
                <w:szCs w:val="20"/>
                <w:color w:val="auto"/>
              </w:rPr>
            </w:pPr>
            <w:r>
              <w:rPr>
                <w:rFonts w:ascii="Arial" w:cs="Arial" w:eastAsia="Arial" w:hAnsi="Arial"/>
                <w:sz w:val="12"/>
                <w:szCs w:val="12"/>
                <w:b w:val="1"/>
                <w:bCs w:val="1"/>
                <w:color w:val="auto"/>
              </w:rPr>
              <w:t>Total Long-Term Debt</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Borders>
              <w:bottom w:val="single" w:sz="8" w:color="auto"/>
            </w:tcBorders>
          </w:tcPr>
          <w:p>
            <w:pPr>
              <w:jc w:val="right"/>
              <w:ind w:right="883"/>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565,564</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570,547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8"/>
          <w:szCs w:val="8"/>
          <w:color w:val="auto"/>
        </w:rPr>
        <w:t>_</w:t>
      </w:r>
    </w:p>
    <w:p>
      <w:pPr>
        <w:spacing w:after="0" w:line="65" w:lineRule="exact"/>
        <w:rPr>
          <w:sz w:val="20"/>
          <w:szCs w:val="20"/>
          <w:color w:val="auto"/>
        </w:rPr>
      </w:pPr>
    </w:p>
    <w:p>
      <w:pPr>
        <w:ind w:left="280" w:hanging="279"/>
        <w:spacing w:after="0"/>
        <w:tabs>
          <w:tab w:leader="none" w:pos="2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carrying value is net of $2.1 million and $2.5 million of unamortized debt issuance costs as of June 30, 2023 and December 31, 2022, respectively.</w:t>
      </w:r>
    </w:p>
    <w:p>
      <w:pPr>
        <w:spacing w:after="0" w:line="25" w:lineRule="exact"/>
        <w:rPr>
          <w:rFonts w:ascii="Arial" w:cs="Arial" w:eastAsia="Arial" w:hAnsi="Arial"/>
          <w:sz w:val="11"/>
          <w:szCs w:val="11"/>
          <w:color w:val="auto"/>
        </w:rPr>
      </w:pPr>
    </w:p>
    <w:p>
      <w:pPr>
        <w:ind w:left="280" w:hanging="279"/>
        <w:spacing w:after="0"/>
        <w:tabs>
          <w:tab w:leader="none" w:pos="2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carrying value is net of $0.1 million of unamortized debt issuance costs as of June 30, 2023 and December 31, 2022.</w:t>
      </w:r>
    </w:p>
    <w:p>
      <w:pPr>
        <w:spacing w:after="0" w:line="35" w:lineRule="exact"/>
        <w:rPr>
          <w:rFonts w:ascii="Arial" w:cs="Arial" w:eastAsia="Arial" w:hAnsi="Arial"/>
          <w:sz w:val="11"/>
          <w:szCs w:val="11"/>
          <w:color w:val="auto"/>
        </w:rPr>
      </w:pPr>
    </w:p>
    <w:p>
      <w:pPr>
        <w:ind w:left="280" w:hanging="279"/>
        <w:spacing w:after="0"/>
        <w:tabs>
          <w:tab w:leader="none" w:pos="2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carrying value is net of $0.1 million of unamortized debt issuance costs as of June 30, 2023 and December 31, 2022.</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On July 28, 2023, the Company entered into a $150 million term note with each of the lenders party thereto, Wells Fargo Bank, N.A., JPMorgan Chase Bank N.A., Bank of America, N.A.,</w:t>
      </w:r>
    </w:p>
    <w:p>
      <w:pPr>
        <w:spacing w:after="0" w:line="12" w:lineRule="exact"/>
        <w:rPr>
          <w:sz w:val="20"/>
          <w:szCs w:val="20"/>
          <w:color w:val="auto"/>
        </w:rPr>
      </w:pPr>
    </w:p>
    <w:p>
      <w:pPr>
        <w:ind w:right="100"/>
        <w:spacing w:after="0" w:line="235" w:lineRule="auto"/>
        <w:rPr>
          <w:sz w:val="20"/>
          <w:szCs w:val="20"/>
          <w:color w:val="auto"/>
        </w:rPr>
      </w:pPr>
      <w:r>
        <w:rPr>
          <w:rFonts w:ascii="Arial" w:cs="Arial" w:eastAsia="Arial" w:hAnsi="Arial"/>
          <w:sz w:val="13"/>
          <w:szCs w:val="13"/>
          <w:color w:val="auto"/>
        </w:rPr>
        <w:t>HSBC Bank USA, N.A., and PNC Bank, N.A. The term note is payable in quarterly installments of $1.875 million starting in December 2023 with a final payment of the principal balance due on May 30, 2027. The term note bears interest at variable rates based on SOFR plus 1.75% per annum. The Company may redeem the term note in whole or in part with no penalty at any</w:t>
      </w:r>
    </w:p>
    <w:p>
      <w:pPr>
        <w:spacing w:after="0"/>
        <w:rPr>
          <w:sz w:val="20"/>
          <w:szCs w:val="20"/>
          <w:color w:val="auto"/>
        </w:rPr>
      </w:pPr>
      <w:r>
        <w:rPr>
          <w:rFonts w:ascii="Arial" w:cs="Arial" w:eastAsia="Arial" w:hAnsi="Arial"/>
          <w:sz w:val="13"/>
          <w:szCs w:val="13"/>
          <w:color w:val="auto"/>
        </w:rPr>
        <w:t>time. The term note has no impact on the existing financial covenants of the revolving credit facility.</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At June 30, 2023 and December 31, 2022, the fair value of the Company’s 5.75% unsecured notes, based on quoted market prices (Level 2 fair value assessment), totaled $395.1 million.</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The outstanding balance on the Company’s $300 million unsecured revolving credit facility was $188.1 million as of June 30, 2023, consisting of U.S. dollar borrowings of $125 million with</w:t>
      </w:r>
    </w:p>
    <w:p>
      <w:pPr>
        <w:spacing w:after="0" w:line="12"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interest payable at SOFR plus 1.375% or prime rate plus 0.375%, and British Pound (GBP) borrowings of £50 million with interest payable at Daily Sterling Overnight Index Average (SONIA) plus 1.375%.</w:t>
      </w:r>
    </w:p>
    <w:p>
      <w:pPr>
        <w:spacing w:after="0" w:line="97" w:lineRule="exact"/>
        <w:rPr>
          <w:sz w:val="20"/>
          <w:szCs w:val="20"/>
          <w:color w:val="auto"/>
        </w:rPr>
      </w:pPr>
    </w:p>
    <w:p>
      <w:pPr>
        <w:ind w:right="180"/>
        <w:spacing w:after="0" w:line="279" w:lineRule="auto"/>
        <w:rPr>
          <w:sz w:val="20"/>
          <w:szCs w:val="20"/>
          <w:color w:val="auto"/>
        </w:rPr>
      </w:pPr>
      <w:r>
        <w:rPr>
          <w:rFonts w:ascii="Arial" w:cs="Arial" w:eastAsia="Arial" w:hAnsi="Arial"/>
          <w:sz w:val="13"/>
          <w:szCs w:val="13"/>
          <w:color w:val="auto"/>
        </w:rPr>
        <w:t>The fair value of the Company’s other debt, which is based on Level 2 inputs, approximates its carrying value as of June 30, 2023 and December 31, 2022. The Company is in compliance with all financial covenants of the revolving credit facility, commercial notes, and Pinnacle Bank term loan as of June 30, 2023.</w:t>
      </w:r>
    </w:p>
    <w:p>
      <w:pPr>
        <w:spacing w:after="0" w:line="67"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During the three months ended June 30, 2023 and 2022, the Company had average borrowings outstanding of approximately $742.1 million and $638.3 million, respectively, at average annual interest rates of approximately 6.0% and 4.7%, respectively. During the six months ended June 30, 2023 and 2022, the Company incurred net interest expense of $10.2 million and $15.3 million, respectively.</w:t>
      </w:r>
    </w:p>
    <w:p>
      <w:pPr>
        <w:spacing w:after="0" w:line="78"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During the six months ended June 30, 2023 and 2022, the Company had average borrowings outstanding of approximately $738.3 million and $648.8 million, respectively, at average annual interest rates of approximately 5.9% and 4.5%, respectively. During the six months ended June 30, 2023 and 2022, the Company incurred net interest expense of $23.3 million and $26.0 million, respectively.</w:t>
      </w:r>
    </w:p>
    <w:p>
      <w:pPr>
        <w:spacing w:after="0" w:line="78"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During the three months ended June 30, 2023, the Company recorded a credit to interest expense of $1.2 million to adjust the fair value of the mandatorily redeemable noncontrolling interest. During the six months ended June 30, 2023, the Company recorded interest expense of $0.3 million to adjust the fair value of the mandatorily redeemable noncontrolling interest.</w:t>
      </w:r>
    </w:p>
    <w:p>
      <w:pPr>
        <w:ind w:right="140"/>
        <w:spacing w:after="0" w:line="235" w:lineRule="auto"/>
        <w:rPr>
          <w:sz w:val="20"/>
          <w:szCs w:val="20"/>
          <w:color w:val="auto"/>
        </w:rPr>
      </w:pPr>
      <w:r>
        <w:rPr>
          <w:rFonts w:ascii="Arial" w:cs="Arial" w:eastAsia="Arial" w:hAnsi="Arial"/>
          <w:sz w:val="13"/>
          <w:szCs w:val="13"/>
          <w:color w:val="auto"/>
        </w:rPr>
        <w:t>During the three and six months ended June 30, 2022, the Company recorded interest expense of $8.0 million and $11.4 million, respectively, to adjust the fair value of the mandatorily redeemable noncontrolling interest. The fair value of the mandatorily redeemable noncontrolling interest was based on the fair value of the underlying subsidiaries owned by GHC One and</w:t>
      </w:r>
    </w:p>
    <w:p>
      <w:pPr>
        <w:ind w:right="180"/>
        <w:spacing w:after="0" w:line="263" w:lineRule="auto"/>
        <w:rPr>
          <w:sz w:val="20"/>
          <w:szCs w:val="20"/>
          <w:color w:val="auto"/>
        </w:rPr>
      </w:pPr>
      <w:r>
        <w:rPr>
          <w:rFonts w:ascii="Arial" w:cs="Arial" w:eastAsia="Arial" w:hAnsi="Arial"/>
          <w:sz w:val="13"/>
          <w:szCs w:val="13"/>
          <w:color w:val="auto"/>
        </w:rPr>
        <w:t>GHC Two,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8. FAIR VALUE MEASUREMENTS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The Company’s financial assets and liabilities measured at fair value on a recurring basis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1"/>
                <w:szCs w:val="11"/>
                <w:b w:val="1"/>
                <w:bCs w:val="1"/>
                <w:color w:val="auto"/>
              </w:rPr>
              <w:t>As of June 30, 2023</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auto"/>
            </w:tcBorders>
          </w:tcPr>
          <w:p>
            <w:pPr>
              <w:spacing w:after="0"/>
              <w:rPr>
                <w:sz w:val="12"/>
                <w:szCs w:val="12"/>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Level 1</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Level 3</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2"/>
                <w:szCs w:val="12"/>
                <w:b w:val="1"/>
                <w:bCs w:val="1"/>
                <w:color w:val="auto"/>
              </w:rPr>
              <w:t xml:space="preserve">Money market investments </w:t>
            </w:r>
            <w:r>
              <w:rPr>
                <w:rFonts w:ascii="Arial" w:cs="Arial" w:eastAsia="Arial" w:hAnsi="Arial"/>
                <w:sz w:val="15"/>
                <w:szCs w:val="15"/>
                <w:b w:val="1"/>
                <w:bCs w:val="1"/>
                <w:color w:val="auto"/>
                <w:vertAlign w:val="superscript"/>
              </w:rPr>
              <w:t>(1)</w:t>
            </w:r>
          </w:p>
        </w:tc>
        <w:tc>
          <w:tcPr>
            <w:tcW w:w="240" w:type="dxa"/>
            <w:vAlign w:val="bottom"/>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30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2"/>
                <w:szCs w:val="12"/>
                <w:b w:val="1"/>
                <w:bCs w:val="1"/>
                <w:color w:val="auto"/>
              </w:rPr>
              <w:t>6,001</w:t>
            </w:r>
          </w:p>
        </w:tc>
        <w:tc>
          <w:tcPr>
            <w:tcW w:w="30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jc w:val="right"/>
              <w:ind w:right="119"/>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6,001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2"/>
                <w:szCs w:val="12"/>
                <w:b w:val="1"/>
                <w:bCs w:val="1"/>
                <w:color w:val="auto"/>
              </w:rPr>
              <w:t xml:space="preserve">Marketable equity securities </w:t>
            </w:r>
            <w:r>
              <w:rPr>
                <w:rFonts w:ascii="Arial" w:cs="Arial" w:eastAsia="Arial" w:hAnsi="Arial"/>
                <w:sz w:val="15"/>
                <w:szCs w:val="15"/>
                <w:b w:val="1"/>
                <w:bCs w:val="1"/>
                <w:color w:val="auto"/>
                <w:vertAlign w:val="superscript"/>
              </w:rPr>
              <w:t>(2)</w:t>
            </w:r>
          </w:p>
        </w:tc>
        <w:tc>
          <w:tcPr>
            <w:tcW w:w="24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648,756</w:t>
            </w:r>
          </w:p>
        </w:tc>
        <w:tc>
          <w:tcPr>
            <w:tcW w:w="3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5"/>
                <w:szCs w:val="15"/>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648,756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2"/>
                <w:szCs w:val="12"/>
                <w:b w:val="1"/>
                <w:bCs w:val="1"/>
                <w:color w:val="auto"/>
              </w:rPr>
              <w:t xml:space="preserve">Other current investments </w:t>
            </w:r>
            <w:r>
              <w:rPr>
                <w:rFonts w:ascii="Arial" w:cs="Arial" w:eastAsia="Arial" w:hAnsi="Arial"/>
                <w:sz w:val="15"/>
                <w:szCs w:val="15"/>
                <w:b w:val="1"/>
                <w:bCs w:val="1"/>
                <w:color w:val="auto"/>
                <w:vertAlign w:val="superscript"/>
              </w:rPr>
              <w:t>(3)</w:t>
            </w:r>
          </w:p>
        </w:tc>
        <w:tc>
          <w:tcPr>
            <w:tcW w:w="24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11,419</w:t>
            </w:r>
          </w:p>
        </w:tc>
        <w:tc>
          <w:tcPr>
            <w:tcW w:w="30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b w:val="1"/>
                <w:bCs w:val="1"/>
                <w:color w:val="auto"/>
              </w:rPr>
              <w:t>1,131</w:t>
            </w:r>
          </w:p>
        </w:tc>
        <w:tc>
          <w:tcPr>
            <w:tcW w:w="30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12,550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2"/>
                <w:szCs w:val="12"/>
                <w:b w:val="1"/>
                <w:bCs w:val="1"/>
                <w:color w:val="auto"/>
              </w:rPr>
              <w:t xml:space="preserve">Interest rate swaps </w:t>
            </w:r>
            <w:r>
              <w:rPr>
                <w:rFonts w:ascii="Arial" w:cs="Arial" w:eastAsia="Arial" w:hAnsi="Arial"/>
                <w:sz w:val="15"/>
                <w:szCs w:val="15"/>
                <w:b w:val="1"/>
                <w:bCs w:val="1"/>
                <w:color w:val="auto"/>
                <w:vertAlign w:val="superscript"/>
              </w:rPr>
              <w:t>(4)</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2,841</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40"/>
              <w:spacing w:after="0"/>
              <w:rPr>
                <w:sz w:val="20"/>
                <w:szCs w:val="20"/>
                <w:color w:val="auto"/>
              </w:rPr>
            </w:pPr>
            <w:r>
              <w:rPr>
                <w:rFonts w:ascii="Arial" w:cs="Arial" w:eastAsia="Arial" w:hAnsi="Arial"/>
                <w:sz w:val="12"/>
                <w:szCs w:val="12"/>
                <w:b w:val="1"/>
                <w:bCs w:val="1"/>
                <w:color w:val="auto"/>
              </w:rPr>
              <w:t>Total Financial Assets</w:t>
            </w: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660,175</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9,973</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670,148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spacing w:after="0"/>
              <w:rPr>
                <w:sz w:val="20"/>
                <w:szCs w:val="20"/>
                <w:color w:val="auto"/>
              </w:rPr>
            </w:pPr>
            <w:r>
              <w:rPr>
                <w:rFonts w:ascii="Arial" w:cs="Arial" w:eastAsia="Arial" w:hAnsi="Arial"/>
                <w:sz w:val="12"/>
                <w:szCs w:val="12"/>
                <w:b w:val="1"/>
                <w:bCs w:val="1"/>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6520" w:type="dxa"/>
            <w:vAlign w:val="bottom"/>
            <w:vMerge w:val="continue"/>
          </w:tcPr>
          <w:p>
            <w:pPr>
              <w:spacing w:after="0"/>
              <w:rPr>
                <w:sz w:val="12"/>
                <w:szCs w:val="12"/>
                <w:color w:val="auto"/>
              </w:rPr>
            </w:pPr>
          </w:p>
        </w:tc>
        <w:tc>
          <w:tcPr>
            <w:tcW w:w="240" w:type="dxa"/>
            <w:vAlign w:val="bottom"/>
            <w:vMerge w:val="restart"/>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90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w:t>
            </w:r>
          </w:p>
        </w:tc>
        <w:tc>
          <w:tcPr>
            <w:tcW w:w="30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w:t>
            </w:r>
          </w:p>
        </w:tc>
        <w:tc>
          <w:tcPr>
            <w:tcW w:w="900" w:type="dxa"/>
            <w:vAlign w:val="bottom"/>
            <w:vMerge w:val="restart"/>
          </w:tcPr>
          <w:p>
            <w:pPr>
              <w:jc w:val="right"/>
              <w:ind w:right="21"/>
              <w:spacing w:after="0"/>
              <w:rPr>
                <w:sz w:val="20"/>
                <w:szCs w:val="20"/>
                <w:color w:val="auto"/>
              </w:rPr>
            </w:pPr>
            <w:r>
              <w:rPr>
                <w:rFonts w:ascii="Arial" w:cs="Arial" w:eastAsia="Arial" w:hAnsi="Arial"/>
                <w:sz w:val="12"/>
                <w:szCs w:val="12"/>
                <w:b w:val="1"/>
                <w:bCs w:val="1"/>
                <w:color w:val="auto"/>
              </w:rPr>
              <w:t>—</w:t>
            </w:r>
          </w:p>
        </w:tc>
        <w:tc>
          <w:tcPr>
            <w:tcW w:w="30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w:t>
            </w:r>
          </w:p>
        </w:tc>
        <w:tc>
          <w:tcPr>
            <w:tcW w:w="9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2,915</w:t>
            </w:r>
          </w:p>
        </w:tc>
        <w:tc>
          <w:tcPr>
            <w:tcW w:w="320" w:type="dxa"/>
            <w:vAlign w:val="bottom"/>
            <w:vMerge w:val="restart"/>
          </w:tcPr>
          <w:p>
            <w:pPr>
              <w:jc w:val="right"/>
              <w:ind w:right="119"/>
              <w:spacing w:after="0"/>
              <w:rPr>
                <w:sz w:val="20"/>
                <w:szCs w:val="20"/>
                <w:color w:val="auto"/>
              </w:rPr>
            </w:pPr>
            <w:r>
              <w:rPr>
                <w:rFonts w:ascii="Arial" w:cs="Arial" w:eastAsia="Arial" w:hAnsi="Arial"/>
                <w:sz w:val="12"/>
                <w:szCs w:val="12"/>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2,915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20" w:type="dxa"/>
            <w:vAlign w:val="bottom"/>
          </w:tcPr>
          <w:p>
            <w:pPr>
              <w:spacing w:after="0"/>
              <w:rPr>
                <w:sz w:val="20"/>
                <w:szCs w:val="20"/>
                <w:color w:val="auto"/>
              </w:rPr>
            </w:pPr>
            <w:r>
              <w:rPr>
                <w:rFonts w:ascii="Arial" w:cs="Arial" w:eastAsia="Arial" w:hAnsi="Arial"/>
                <w:sz w:val="12"/>
                <w:szCs w:val="12"/>
                <w:b w:val="1"/>
                <w:bCs w:val="1"/>
                <w:color w:val="auto"/>
              </w:rPr>
              <w:t xml:space="preserve">Contingent consideration liabilities </w:t>
            </w:r>
            <w:r>
              <w:rPr>
                <w:rFonts w:ascii="Arial" w:cs="Arial" w:eastAsia="Arial" w:hAnsi="Arial"/>
                <w:sz w:val="15"/>
                <w:szCs w:val="15"/>
                <w:b w:val="1"/>
                <w:bCs w:val="1"/>
                <w:color w:val="auto"/>
                <w:vertAlign w:val="superscript"/>
              </w:rPr>
              <w:t>(5)</w:t>
            </w: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2"/>
                <w:szCs w:val="12"/>
                <w:b w:val="1"/>
                <w:bCs w:val="1"/>
                <w:color w:val="auto"/>
              </w:rPr>
              <w:t xml:space="preserve">Mandatorily redeemable noncontrolling interest </w:t>
            </w:r>
            <w:r>
              <w:rPr>
                <w:rFonts w:ascii="Arial" w:cs="Arial" w:eastAsia="Arial" w:hAnsi="Arial"/>
                <w:sz w:val="15"/>
                <w:szCs w:val="15"/>
                <w:b w:val="1"/>
                <w:bCs w:val="1"/>
                <w:color w:val="auto"/>
                <w:vertAlign w:val="superscript"/>
              </w:rPr>
              <w:t>(6)</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31,136</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31,136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40"/>
              <w:spacing w:after="0"/>
              <w:rPr>
                <w:sz w:val="20"/>
                <w:szCs w:val="20"/>
                <w:color w:val="auto"/>
              </w:rPr>
            </w:pPr>
            <w:r>
              <w:rPr>
                <w:rFonts w:ascii="Arial" w:cs="Arial" w:eastAsia="Arial" w:hAnsi="Arial"/>
                <w:sz w:val="12"/>
                <w:szCs w:val="12"/>
                <w:b w:val="1"/>
                <w:bCs w:val="1"/>
                <w:color w:val="auto"/>
              </w:rPr>
              <w:t>Total Financial Liabilities</w:t>
            </w: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34,051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34,051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1"/>
                <w:szCs w:val="11"/>
                <w:b w:val="1"/>
                <w:bCs w:val="1"/>
                <w:color w:val="auto"/>
              </w:rPr>
              <w:t>As of December 31, 2022</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Level 1</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Level 3</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 xml:space="preserve">Money market investments </w:t>
            </w:r>
            <w:r>
              <w:rPr>
                <w:rFonts w:ascii="Arial" w:cs="Arial" w:eastAsia="Arial" w:hAnsi="Arial"/>
                <w:sz w:val="15"/>
                <w:szCs w:val="15"/>
                <w:color w:val="auto"/>
                <w:vertAlign w:val="superscript"/>
              </w:rPr>
              <w:t>(1)</w:t>
            </w: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7,686</w:t>
            </w:r>
          </w:p>
        </w:tc>
        <w:tc>
          <w:tcPr>
            <w:tcW w:w="30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7,686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 xml:space="preserve">Marketable equity securities </w:t>
            </w:r>
            <w:r>
              <w:rPr>
                <w:rFonts w:ascii="Arial" w:cs="Arial" w:eastAsia="Arial" w:hAnsi="Arial"/>
                <w:sz w:val="15"/>
                <w:szCs w:val="15"/>
                <w:color w:val="auto"/>
                <w:vertAlign w:val="superscript"/>
              </w:rPr>
              <w:t>(2)</w:t>
            </w:r>
          </w:p>
        </w:tc>
        <w:tc>
          <w:tcPr>
            <w:tcW w:w="24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609,921</w:t>
            </w:r>
          </w:p>
        </w:tc>
        <w:tc>
          <w:tcPr>
            <w:tcW w:w="30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609,921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 xml:space="preserve">Other current investments </w:t>
            </w:r>
            <w:r>
              <w:rPr>
                <w:rFonts w:ascii="Arial" w:cs="Arial" w:eastAsia="Arial" w:hAnsi="Arial"/>
                <w:sz w:val="15"/>
                <w:szCs w:val="15"/>
                <w:color w:val="auto"/>
                <w:vertAlign w:val="superscript"/>
              </w:rPr>
              <w:t>(3)</w:t>
            </w:r>
          </w:p>
        </w:tc>
        <w:tc>
          <w:tcPr>
            <w:tcW w:w="24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7,471</w:t>
            </w:r>
          </w:p>
        </w:tc>
        <w:tc>
          <w:tcPr>
            <w:tcW w:w="30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5,016</w:t>
            </w:r>
          </w:p>
        </w:tc>
        <w:tc>
          <w:tcPr>
            <w:tcW w:w="300" w:type="dxa"/>
            <w:vAlign w:val="bottom"/>
          </w:tcPr>
          <w:p>
            <w:pPr>
              <w:spacing w:after="0"/>
              <w:rPr>
                <w:sz w:val="15"/>
                <w:szCs w:val="15"/>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12,487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20" w:type="dxa"/>
            <w:vAlign w:val="bottom"/>
          </w:tcPr>
          <w:p>
            <w:pPr>
              <w:spacing w:after="0" w:line="169" w:lineRule="exact"/>
              <w:rPr>
                <w:sz w:val="20"/>
                <w:szCs w:val="20"/>
                <w:color w:val="auto"/>
              </w:rPr>
            </w:pPr>
            <w:r>
              <w:rPr>
                <w:rFonts w:ascii="Arial" w:cs="Arial" w:eastAsia="Arial" w:hAnsi="Arial"/>
                <w:sz w:val="12"/>
                <w:szCs w:val="12"/>
                <w:color w:val="auto"/>
              </w:rPr>
              <w:t xml:space="preserve">Interest rate swaps </w:t>
            </w:r>
            <w:r>
              <w:rPr>
                <w:rFonts w:ascii="Arial" w:cs="Arial" w:eastAsia="Arial" w:hAnsi="Arial"/>
                <w:sz w:val="15"/>
                <w:szCs w:val="15"/>
                <w:color w:val="auto"/>
                <w:vertAlign w:val="superscript"/>
              </w:rPr>
              <w:t>(4)</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2,636</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2"/>
                <w:szCs w:val="12"/>
                <w:b w:val="1"/>
                <w:bCs w:val="1"/>
                <w:color w:val="auto"/>
              </w:rPr>
              <w:t>Total Financial Assets</w:t>
            </w: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617,392</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15,338</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632,730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spacing w:after="0"/>
              <w:rPr>
                <w:sz w:val="20"/>
                <w:szCs w:val="20"/>
                <w:color w:val="auto"/>
              </w:rPr>
            </w:pPr>
            <w:r>
              <w:rPr>
                <w:rFonts w:ascii="Arial" w:cs="Arial" w:eastAsia="Arial" w:hAnsi="Arial"/>
                <w:sz w:val="12"/>
                <w:szCs w:val="12"/>
                <w:b w:val="1"/>
                <w:bCs w:val="1"/>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 xml:space="preserve">Contingent consideration liabilities </w:t>
            </w:r>
            <w:r>
              <w:rPr>
                <w:rFonts w:ascii="Arial" w:cs="Arial" w:eastAsia="Arial" w:hAnsi="Arial"/>
                <w:sz w:val="15"/>
                <w:szCs w:val="15"/>
                <w:color w:val="auto"/>
                <w:vertAlign w:val="superscript"/>
              </w:rPr>
              <w:t>(5)</w:t>
            </w: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8,423</w:t>
            </w:r>
          </w:p>
        </w:tc>
        <w:tc>
          <w:tcPr>
            <w:tcW w:w="3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8,423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 xml:space="preserve">Foreign exchange swap </w:t>
            </w:r>
            <w:r>
              <w:rPr>
                <w:rFonts w:ascii="Arial" w:cs="Arial" w:eastAsia="Arial" w:hAnsi="Arial"/>
                <w:sz w:val="15"/>
                <w:szCs w:val="15"/>
                <w:color w:val="auto"/>
                <w:vertAlign w:val="superscript"/>
              </w:rPr>
              <w:t>(7)</w:t>
            </w:r>
          </w:p>
        </w:tc>
        <w:tc>
          <w:tcPr>
            <w:tcW w:w="24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333</w:t>
            </w:r>
          </w:p>
        </w:tc>
        <w:tc>
          <w:tcPr>
            <w:tcW w:w="30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20" w:type="dxa"/>
            <w:vAlign w:val="bottom"/>
          </w:tcPr>
          <w:p>
            <w:pPr>
              <w:spacing w:after="0"/>
              <w:rPr>
                <w:sz w:val="20"/>
                <w:szCs w:val="20"/>
                <w:color w:val="auto"/>
              </w:rPr>
            </w:pPr>
            <w:r>
              <w:rPr>
                <w:rFonts w:ascii="Arial" w:cs="Arial" w:eastAsia="Arial" w:hAnsi="Arial"/>
                <w:sz w:val="12"/>
                <w:szCs w:val="12"/>
                <w:color w:val="auto"/>
              </w:rPr>
              <w:t xml:space="preserve">Mandatorily redeemable noncontrolling interest </w:t>
            </w:r>
            <w:r>
              <w:rPr>
                <w:rFonts w:ascii="Arial" w:cs="Arial" w:eastAsia="Arial" w:hAnsi="Arial"/>
                <w:sz w:val="15"/>
                <w:szCs w:val="15"/>
                <w:color w:val="auto"/>
                <w:vertAlign w:val="superscript"/>
              </w:rPr>
              <w:t>(6)</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30,845</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30,845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2"/>
                <w:szCs w:val="12"/>
                <w:b w:val="1"/>
                <w:bCs w:val="1"/>
                <w:color w:val="auto"/>
              </w:rPr>
              <w:t>Total Financial Liabilities</w:t>
            </w: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333</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39,268</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39,601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6" w:lineRule="exact"/>
        <w:rPr>
          <w:sz w:val="20"/>
          <w:szCs w:val="20"/>
          <w:color w:val="auto"/>
        </w:rPr>
      </w:pPr>
    </w:p>
    <w:p>
      <w:pPr>
        <w:ind w:left="380" w:hanging="366"/>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Company’s money market investments are included in cash and cash equivalents and the value considers the liquidity of the counterparty.</w:t>
      </w:r>
    </w:p>
    <w:p>
      <w:pPr>
        <w:spacing w:after="0" w:line="25" w:lineRule="exact"/>
        <w:rPr>
          <w:rFonts w:ascii="Arial" w:cs="Arial" w:eastAsia="Arial" w:hAnsi="Arial"/>
          <w:sz w:val="11"/>
          <w:szCs w:val="11"/>
          <w:color w:val="auto"/>
        </w:rPr>
      </w:pPr>
    </w:p>
    <w:p>
      <w:pPr>
        <w:ind w:left="380" w:hanging="366"/>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Company’s investments in marketable equity securities are held in common shares of U.S. corporations that are actively traded on U.S. stock exchanges. Price quotes for these shares are readily available.</w:t>
      </w:r>
    </w:p>
    <w:p>
      <w:pPr>
        <w:spacing w:after="0" w:line="25" w:lineRule="exact"/>
        <w:rPr>
          <w:rFonts w:ascii="Arial" w:cs="Arial" w:eastAsia="Arial" w:hAnsi="Arial"/>
          <w:sz w:val="11"/>
          <w:szCs w:val="11"/>
          <w:color w:val="auto"/>
        </w:rPr>
      </w:pPr>
    </w:p>
    <w:p>
      <w:pPr>
        <w:ind w:left="380" w:right="260" w:hanging="366"/>
        <w:spacing w:after="0" w:line="250"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19" w:lineRule="exact"/>
        <w:rPr>
          <w:rFonts w:ascii="Arial" w:cs="Arial" w:eastAsia="Arial" w:hAnsi="Arial"/>
          <w:sz w:val="11"/>
          <w:szCs w:val="11"/>
          <w:color w:val="auto"/>
        </w:rPr>
      </w:pPr>
    </w:p>
    <w:p>
      <w:pPr>
        <w:ind w:left="380" w:hanging="366"/>
        <w:spacing w:after="0"/>
        <w:tabs>
          <w:tab w:leader="none" w:pos="380" w:val="left"/>
        </w:tabs>
        <w:numPr>
          <w:ilvl w:val="0"/>
          <w:numId w:val="4"/>
        </w:numPr>
        <w:rPr>
          <w:rFonts w:ascii="Arial" w:cs="Arial" w:eastAsia="Arial" w:hAnsi="Arial"/>
          <w:sz w:val="10"/>
          <w:szCs w:val="10"/>
          <w:color w:val="auto"/>
        </w:rPr>
      </w:pPr>
      <w:r>
        <w:rPr>
          <w:rFonts w:ascii="Arial" w:cs="Arial" w:eastAsia="Arial" w:hAnsi="Arial"/>
          <w:sz w:val="10"/>
          <w:szCs w:val="10"/>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46" w:lineRule="exact"/>
        <w:rPr>
          <w:rFonts w:ascii="Arial" w:cs="Arial" w:eastAsia="Arial" w:hAnsi="Arial"/>
          <w:sz w:val="10"/>
          <w:szCs w:val="10"/>
          <w:color w:val="auto"/>
        </w:rPr>
      </w:pPr>
    </w:p>
    <w:p>
      <w:pPr>
        <w:ind w:left="380" w:right="420" w:hanging="366"/>
        <w:spacing w:after="0" w:line="233"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Included in Accounts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5" w:lineRule="exact"/>
        <w:rPr>
          <w:rFonts w:ascii="Arial" w:cs="Arial" w:eastAsia="Arial" w:hAnsi="Arial"/>
          <w:sz w:val="11"/>
          <w:szCs w:val="11"/>
          <w:color w:val="auto"/>
        </w:rPr>
      </w:pPr>
    </w:p>
    <w:p>
      <w:pPr>
        <w:ind w:left="380" w:right="60" w:hanging="366"/>
        <w:spacing w:after="0" w:line="284" w:lineRule="auto"/>
        <w:tabs>
          <w:tab w:leader="none" w:pos="380" w:val="left"/>
        </w:tabs>
        <w:numPr>
          <w:ilvl w:val="0"/>
          <w:numId w:val="4"/>
        </w:numPr>
        <w:rPr>
          <w:rFonts w:ascii="Arial" w:cs="Arial" w:eastAsia="Arial" w:hAnsi="Arial"/>
          <w:sz w:val="10"/>
          <w:szCs w:val="10"/>
          <w:color w:val="auto"/>
        </w:rPr>
      </w:pPr>
      <w:r>
        <w:rPr>
          <w:rFonts w:ascii="Arial" w:cs="Arial" w:eastAsia="Arial" w:hAnsi="Arial"/>
          <w:sz w:val="10"/>
          <w:szCs w:val="10"/>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ind w:left="380" w:hanging="366"/>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Included in Accounts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auto"/>
        </w:rPr>
        <w:t>The following tables provide a reconciliation of changes in the Company’s financial liabilities measured at fair value on a recurring basis, using Level 3 inputs: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760" w:type="dxa"/>
            <w:vAlign w:val="bottom"/>
          </w:tcPr>
          <w:p>
            <w:pPr>
              <w:spacing w:after="0"/>
              <w:rPr>
                <w:sz w:val="10"/>
                <w:szCs w:val="10"/>
                <w:color w:val="auto"/>
              </w:rPr>
            </w:pPr>
          </w:p>
        </w:tc>
        <w:tc>
          <w:tcPr>
            <w:tcW w:w="5100" w:type="dxa"/>
            <w:vAlign w:val="bottom"/>
            <w:vMerge w:val="restart"/>
          </w:tcPr>
          <w:p>
            <w:pPr>
              <w:ind w:left="3060"/>
              <w:spacing w:after="0"/>
              <w:rPr>
                <w:sz w:val="20"/>
                <w:szCs w:val="20"/>
                <w:color w:val="auto"/>
              </w:rPr>
            </w:pPr>
            <w:r>
              <w:rPr>
                <w:rFonts w:ascii="Arial" w:cs="Arial" w:eastAsia="Arial" w:hAnsi="Arial"/>
                <w:sz w:val="11"/>
                <w:szCs w:val="11"/>
                <w:b w:val="1"/>
                <w:bCs w:val="1"/>
                <w:color w:val="auto"/>
              </w:rPr>
              <w:t>Contingent consideration liabilities</w:t>
            </w:r>
          </w:p>
        </w:tc>
        <w:tc>
          <w:tcPr>
            <w:tcW w:w="2260" w:type="dxa"/>
            <w:vAlign w:val="bottom"/>
          </w:tcPr>
          <w:p>
            <w:pPr>
              <w:jc w:val="center"/>
              <w:ind w:left="206"/>
              <w:spacing w:after="0"/>
              <w:rPr>
                <w:sz w:val="20"/>
                <w:szCs w:val="20"/>
                <w:color w:val="auto"/>
              </w:rPr>
            </w:pPr>
            <w:r>
              <w:rPr>
                <w:rFonts w:ascii="Arial" w:cs="Arial" w:eastAsia="Arial" w:hAnsi="Arial"/>
                <w:sz w:val="11"/>
                <w:szCs w:val="11"/>
                <w:b w:val="1"/>
                <w:bCs w:val="1"/>
                <w:color w:val="auto"/>
                <w:w w:val="97"/>
              </w:rPr>
              <w:t>Mandatorily redeemable noncontrolling</w:t>
            </w:r>
          </w:p>
        </w:tc>
        <w:tc>
          <w:tcPr>
            <w:tcW w:w="0" w:type="dxa"/>
            <w:vAlign w:val="bottom"/>
          </w:tcPr>
          <w:p>
            <w:pPr>
              <w:spacing w:after="0"/>
              <w:rPr>
                <w:sz w:val="1"/>
                <w:szCs w:val="1"/>
                <w:color w:val="auto"/>
              </w:rPr>
            </w:pPr>
          </w:p>
        </w:tc>
      </w:tr>
      <w:tr>
        <w:trPr>
          <w:trHeight w:val="99"/>
        </w:trPr>
        <w:tc>
          <w:tcPr>
            <w:tcW w:w="3760" w:type="dxa"/>
            <w:vAlign w:val="bottom"/>
            <w:vMerge w:val="restart"/>
          </w:tcPr>
          <w:p>
            <w:pPr>
              <w:spacing w:after="0"/>
              <w:rPr>
                <w:sz w:val="20"/>
                <w:szCs w:val="20"/>
                <w:color w:val="auto"/>
              </w:rPr>
            </w:pPr>
            <w:r>
              <w:rPr>
                <w:rFonts w:ascii="Arial" w:cs="Arial" w:eastAsia="Arial" w:hAnsi="Arial"/>
                <w:sz w:val="11"/>
                <w:szCs w:val="11"/>
                <w:color w:val="auto"/>
              </w:rPr>
              <w:t>(in thousands)</w:t>
            </w:r>
          </w:p>
        </w:tc>
        <w:tc>
          <w:tcPr>
            <w:tcW w:w="5100" w:type="dxa"/>
            <w:vAlign w:val="bottom"/>
            <w:vMerge w:val="continue"/>
          </w:tcPr>
          <w:p>
            <w:pPr>
              <w:spacing w:after="0"/>
              <w:rPr>
                <w:sz w:val="8"/>
                <w:szCs w:val="8"/>
                <w:color w:val="auto"/>
              </w:rPr>
            </w:pPr>
          </w:p>
        </w:tc>
        <w:tc>
          <w:tcPr>
            <w:tcW w:w="2260" w:type="dxa"/>
            <w:vAlign w:val="bottom"/>
            <w:vMerge w:val="restart"/>
          </w:tcPr>
          <w:p>
            <w:pPr>
              <w:jc w:val="center"/>
              <w:ind w:left="206"/>
              <w:spacing w:after="0"/>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51"/>
        </w:trPr>
        <w:tc>
          <w:tcPr>
            <w:tcW w:w="3760" w:type="dxa"/>
            <w:vAlign w:val="bottom"/>
            <w:vMerge w:val="continue"/>
          </w:tcPr>
          <w:p>
            <w:pPr>
              <w:spacing w:after="0"/>
              <w:rPr>
                <w:sz w:val="4"/>
                <w:szCs w:val="4"/>
                <w:color w:val="auto"/>
              </w:rPr>
            </w:pPr>
          </w:p>
        </w:tc>
        <w:tc>
          <w:tcPr>
            <w:tcW w:w="510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6661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 of December 31, 2022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Acquisition of business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 xml:space="preserve">Changes in fair value </w:t>
      </w:r>
      <w:r>
        <w:rPr>
          <w:rFonts w:ascii="Arial" w:cs="Arial" w:eastAsia="Arial" w:hAnsi="Arial"/>
          <w:sz w:val="15"/>
          <w:szCs w:val="15"/>
          <w:b w:val="1"/>
          <w:bCs w:val="1"/>
          <w:color w:val="auto"/>
          <w:vertAlign w:val="superscript"/>
        </w:rPr>
        <w:t>(1)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Capital contributions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Accretion of value included in net income </w:t>
      </w:r>
      <w:r>
        <w:rPr>
          <w:rFonts w:ascii="Arial" w:cs="Arial" w:eastAsia="Arial" w:hAnsi="Arial"/>
          <w:sz w:val="14"/>
          <w:szCs w:val="14"/>
          <w:b w:val="1"/>
          <w:bCs w:val="1"/>
          <w:color w:val="auto"/>
          <w:vertAlign w:val="superscript"/>
        </w:rPr>
        <w:t>(1)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Settlements or distributions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As of June 30, 2023</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980" w:type="dxa"/>
            <w:vAlign w:val="bottom"/>
          </w:tcPr>
          <w:p>
            <w:pPr>
              <w:jc w:val="right"/>
              <w:ind w:right="839"/>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8,423</w:t>
            </w:r>
          </w:p>
        </w:tc>
        <w:tc>
          <w:tcPr>
            <w:tcW w:w="1020" w:type="dxa"/>
            <w:vAlign w:val="bottom"/>
          </w:tcPr>
          <w:p>
            <w:pPr>
              <w:jc w:val="right"/>
              <w:ind w:right="819"/>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30,845</w:t>
            </w:r>
          </w:p>
        </w:tc>
      </w:tr>
      <w:tr>
        <w:trPr>
          <w:trHeight w:val="180"/>
        </w:trPr>
        <w:tc>
          <w:tcPr>
            <w:tcW w:w="98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2"/>
                <w:szCs w:val="12"/>
                <w:b w:val="1"/>
                <w:bCs w:val="1"/>
                <w:color w:val="auto"/>
              </w:rPr>
              <w:t>220</w:t>
            </w:r>
          </w:p>
        </w:tc>
        <w:tc>
          <w:tcPr>
            <w:tcW w:w="10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72"/>
        </w:trPr>
        <w:tc>
          <w:tcPr>
            <w:tcW w:w="980" w:type="dxa"/>
            <w:vAlign w:val="bottom"/>
          </w:tcPr>
          <w:p>
            <w:pPr>
              <w:spacing w:after="0"/>
              <w:rPr>
                <w:sz w:val="14"/>
                <w:szCs w:val="14"/>
                <w:color w:val="auto"/>
              </w:rPr>
            </w:pPr>
          </w:p>
        </w:tc>
        <w:tc>
          <w:tcPr>
            <w:tcW w:w="1360" w:type="dxa"/>
            <w:vAlign w:val="bottom"/>
          </w:tcPr>
          <w:p>
            <w:pPr>
              <w:jc w:val="right"/>
              <w:ind w:right="19"/>
              <w:spacing w:after="0"/>
              <w:rPr>
                <w:sz w:val="20"/>
                <w:szCs w:val="20"/>
                <w:color w:val="auto"/>
              </w:rPr>
            </w:pPr>
            <w:r>
              <w:rPr>
                <w:rFonts w:ascii="Arial" w:cs="Arial" w:eastAsia="Arial" w:hAnsi="Arial"/>
                <w:sz w:val="12"/>
                <w:szCs w:val="12"/>
                <w:b w:val="1"/>
                <w:bCs w:val="1"/>
                <w:color w:val="auto"/>
              </w:rPr>
              <w:t>(5,157)</w:t>
            </w:r>
          </w:p>
        </w:tc>
        <w:tc>
          <w:tcPr>
            <w:tcW w:w="10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289</w:t>
            </w:r>
          </w:p>
        </w:tc>
      </w:tr>
      <w:tr>
        <w:trPr>
          <w:trHeight w:val="182"/>
        </w:trPr>
        <w:tc>
          <w:tcPr>
            <w:tcW w:w="98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10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66</w:t>
            </w:r>
          </w:p>
        </w:tc>
      </w:tr>
      <w:tr>
        <w:trPr>
          <w:trHeight w:val="172"/>
        </w:trPr>
        <w:tc>
          <w:tcPr>
            <w:tcW w:w="980" w:type="dxa"/>
            <w:vAlign w:val="bottom"/>
          </w:tcPr>
          <w:p>
            <w:pPr>
              <w:spacing w:after="0"/>
              <w:rPr>
                <w:sz w:val="14"/>
                <w:szCs w:val="14"/>
                <w:color w:val="auto"/>
              </w:rPr>
            </w:pPr>
          </w:p>
        </w:tc>
        <w:tc>
          <w:tcPr>
            <w:tcW w:w="1360" w:type="dxa"/>
            <w:vAlign w:val="bottom"/>
          </w:tcPr>
          <w:p>
            <w:pPr>
              <w:jc w:val="right"/>
              <w:ind w:right="39"/>
              <w:spacing w:after="0"/>
              <w:rPr>
                <w:sz w:val="20"/>
                <w:szCs w:val="20"/>
                <w:color w:val="auto"/>
              </w:rPr>
            </w:pPr>
            <w:r>
              <w:rPr>
                <w:rFonts w:ascii="Arial" w:cs="Arial" w:eastAsia="Arial" w:hAnsi="Arial"/>
                <w:sz w:val="12"/>
                <w:szCs w:val="12"/>
                <w:b w:val="1"/>
                <w:bCs w:val="1"/>
                <w:color w:val="auto"/>
              </w:rPr>
              <w:t>691</w:t>
            </w:r>
          </w:p>
        </w:tc>
        <w:tc>
          <w:tcPr>
            <w:tcW w:w="10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75"/>
        </w:trPr>
        <w:tc>
          <w:tcPr>
            <w:tcW w:w="9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(1,262)</w:t>
            </w:r>
          </w:p>
        </w:tc>
        <w:tc>
          <w:tcPr>
            <w:tcW w:w="10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(64)</w:t>
            </w:r>
          </w:p>
        </w:tc>
      </w:tr>
      <w:tr>
        <w:trPr>
          <w:trHeight w:val="163"/>
        </w:trPr>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2"/>
                <w:szCs w:val="12"/>
                <w:b w:val="1"/>
                <w:bCs w:val="1"/>
                <w:color w:val="auto"/>
                <w:w w:val="89"/>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2,915</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2"/>
                <w:szCs w:val="12"/>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31,136</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2040" w:type="dxa"/>
            <w:vAlign w:val="bottom"/>
            <w:vMerge w:val="restart"/>
          </w:tcPr>
          <w:p>
            <w:pPr>
              <w:spacing w:after="0"/>
              <w:rPr>
                <w:sz w:val="20"/>
                <w:szCs w:val="20"/>
                <w:color w:val="auto"/>
              </w:rPr>
            </w:pPr>
            <w:r>
              <w:rPr>
                <w:rFonts w:ascii="Arial" w:cs="Arial" w:eastAsia="Arial" w:hAnsi="Arial"/>
                <w:sz w:val="11"/>
                <w:szCs w:val="11"/>
                <w:b w:val="1"/>
                <w:bCs w:val="1"/>
                <w:color w:val="auto"/>
              </w:rPr>
              <w:t>Contingent consideration liabilities</w:t>
            </w:r>
          </w:p>
        </w:tc>
        <w:tc>
          <w:tcPr>
            <w:tcW w:w="2260" w:type="dxa"/>
            <w:vAlign w:val="bottom"/>
          </w:tcPr>
          <w:p>
            <w:pPr>
              <w:jc w:val="center"/>
              <w:ind w:left="206"/>
              <w:spacing w:after="0"/>
              <w:rPr>
                <w:sz w:val="20"/>
                <w:szCs w:val="20"/>
                <w:color w:val="auto"/>
              </w:rPr>
            </w:pPr>
            <w:r>
              <w:rPr>
                <w:rFonts w:ascii="Arial" w:cs="Arial" w:eastAsia="Arial" w:hAnsi="Arial"/>
                <w:sz w:val="11"/>
                <w:szCs w:val="11"/>
                <w:b w:val="1"/>
                <w:bCs w:val="1"/>
                <w:color w:val="auto"/>
                <w:w w:val="97"/>
              </w:rPr>
              <w:t>Mandatorily redeemable noncontrolling</w:t>
            </w:r>
          </w:p>
        </w:tc>
        <w:tc>
          <w:tcPr>
            <w:tcW w:w="0" w:type="dxa"/>
            <w:vAlign w:val="bottom"/>
          </w:tcPr>
          <w:p>
            <w:pPr>
              <w:spacing w:after="0"/>
              <w:rPr>
                <w:sz w:val="1"/>
                <w:szCs w:val="1"/>
                <w:color w:val="auto"/>
              </w:rPr>
            </w:pPr>
          </w:p>
        </w:tc>
      </w:tr>
      <w:tr>
        <w:trPr>
          <w:trHeight w:val="89"/>
        </w:trPr>
        <w:tc>
          <w:tcPr>
            <w:tcW w:w="2040" w:type="dxa"/>
            <w:vAlign w:val="bottom"/>
            <w:vMerge w:val="continue"/>
          </w:tcPr>
          <w:p>
            <w:pPr>
              <w:spacing w:after="0"/>
              <w:rPr>
                <w:sz w:val="7"/>
                <w:szCs w:val="7"/>
                <w:color w:val="auto"/>
              </w:rPr>
            </w:pPr>
          </w:p>
        </w:tc>
        <w:tc>
          <w:tcPr>
            <w:tcW w:w="2260" w:type="dxa"/>
            <w:vAlign w:val="bottom"/>
            <w:vMerge w:val="restart"/>
          </w:tcPr>
          <w:p>
            <w:pPr>
              <w:jc w:val="center"/>
              <w:ind w:left="206"/>
              <w:spacing w:after="0"/>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716661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5880" w:space="720"/>
            <w:col w:w="4680"/>
          </w:cols>
          <w:pgMar w:left="300" w:top="695" w:right="31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As of December 31, 2021</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Acquisition of business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Changes in fair value </w:t>
      </w:r>
      <w:r>
        <w:rPr>
          <w:rFonts w:ascii="Arial" w:cs="Arial" w:eastAsia="Arial" w:hAnsi="Arial"/>
          <w:sz w:val="15"/>
          <w:szCs w:val="15"/>
          <w:color w:val="auto"/>
          <w:vertAlign w:val="superscript"/>
        </w:rPr>
        <w:t>(1)</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Capital contributions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Accretion of value included in net income </w:t>
      </w:r>
      <w:r>
        <w:rPr>
          <w:rFonts w:ascii="Arial" w:cs="Arial" w:eastAsia="Arial" w:hAnsi="Arial"/>
          <w:sz w:val="14"/>
          <w:szCs w:val="14"/>
          <w:color w:val="auto"/>
          <w:vertAlign w:val="superscript"/>
        </w:rPr>
        <w:t>(1)</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Settlements or distributions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 of June 30, 2022</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980" w:type="dxa"/>
            <w:vAlign w:val="bottom"/>
          </w:tcPr>
          <w:p>
            <w:pPr>
              <w:jc w:val="right"/>
              <w:ind w:right="839"/>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14,881</w:t>
            </w:r>
          </w:p>
        </w:tc>
        <w:tc>
          <w:tcPr>
            <w:tcW w:w="1020" w:type="dxa"/>
            <w:vAlign w:val="bottom"/>
          </w:tcPr>
          <w:p>
            <w:pPr>
              <w:jc w:val="right"/>
              <w:ind w:right="819"/>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13,661</w:t>
            </w:r>
          </w:p>
        </w:tc>
      </w:tr>
      <w:tr>
        <w:trPr>
          <w:trHeight w:val="172"/>
        </w:trPr>
        <w:tc>
          <w:tcPr>
            <w:tcW w:w="980" w:type="dxa"/>
            <w:vAlign w:val="bottom"/>
          </w:tcPr>
          <w:p>
            <w:pPr>
              <w:spacing w:after="0"/>
              <w:rPr>
                <w:sz w:val="14"/>
                <w:szCs w:val="14"/>
                <w:color w:val="auto"/>
              </w:rPr>
            </w:pP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397</w:t>
            </w:r>
          </w:p>
        </w:tc>
        <w:tc>
          <w:tcPr>
            <w:tcW w:w="10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2"/>
        </w:trPr>
        <w:tc>
          <w:tcPr>
            <w:tcW w:w="980" w:type="dxa"/>
            <w:vAlign w:val="bottom"/>
          </w:tcPr>
          <w:p>
            <w:pPr>
              <w:spacing w:after="0"/>
              <w:rPr>
                <w:sz w:val="14"/>
                <w:szCs w:val="14"/>
                <w:color w:val="auto"/>
              </w:rPr>
            </w:pPr>
          </w:p>
        </w:tc>
        <w:tc>
          <w:tcPr>
            <w:tcW w:w="1360" w:type="dxa"/>
            <w:vAlign w:val="bottom"/>
          </w:tcPr>
          <w:p>
            <w:pPr>
              <w:jc w:val="right"/>
              <w:ind w:right="19"/>
              <w:spacing w:after="0"/>
              <w:rPr>
                <w:sz w:val="20"/>
                <w:szCs w:val="20"/>
                <w:color w:val="auto"/>
              </w:rPr>
            </w:pPr>
            <w:r>
              <w:rPr>
                <w:rFonts w:ascii="Arial" w:cs="Arial" w:eastAsia="Arial" w:hAnsi="Arial"/>
                <w:sz w:val="12"/>
                <w:szCs w:val="12"/>
                <w:color w:val="auto"/>
              </w:rPr>
              <w:t>(3,317)</w:t>
            </w:r>
          </w:p>
        </w:tc>
        <w:tc>
          <w:tcPr>
            <w:tcW w:w="10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11,430</w:t>
            </w:r>
          </w:p>
        </w:tc>
      </w:tr>
      <w:tr>
        <w:trPr>
          <w:trHeight w:val="182"/>
        </w:trPr>
        <w:tc>
          <w:tcPr>
            <w:tcW w:w="980" w:type="dxa"/>
            <w:vAlign w:val="bottom"/>
          </w:tcPr>
          <w:p>
            <w:pPr>
              <w:spacing w:after="0"/>
              <w:rPr>
                <w:sz w:val="15"/>
                <w:szCs w:val="15"/>
                <w:color w:val="auto"/>
              </w:rPr>
            </w:pP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0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242</w:t>
            </w:r>
          </w:p>
        </w:tc>
      </w:tr>
      <w:tr>
        <w:trPr>
          <w:trHeight w:val="172"/>
        </w:trPr>
        <w:tc>
          <w:tcPr>
            <w:tcW w:w="980" w:type="dxa"/>
            <w:vAlign w:val="bottom"/>
          </w:tcPr>
          <w:p>
            <w:pPr>
              <w:spacing w:after="0"/>
              <w:rPr>
                <w:sz w:val="14"/>
                <w:szCs w:val="14"/>
                <w:color w:val="auto"/>
              </w:rPr>
            </w:pPr>
          </w:p>
        </w:tc>
        <w:tc>
          <w:tcPr>
            <w:tcW w:w="1360" w:type="dxa"/>
            <w:vAlign w:val="bottom"/>
          </w:tcPr>
          <w:p>
            <w:pPr>
              <w:jc w:val="right"/>
              <w:ind w:right="39"/>
              <w:spacing w:after="0"/>
              <w:rPr>
                <w:sz w:val="20"/>
                <w:szCs w:val="20"/>
                <w:color w:val="auto"/>
              </w:rPr>
            </w:pPr>
            <w:r>
              <w:rPr>
                <w:rFonts w:ascii="Arial" w:cs="Arial" w:eastAsia="Arial" w:hAnsi="Arial"/>
                <w:sz w:val="12"/>
                <w:szCs w:val="12"/>
                <w:color w:val="auto"/>
              </w:rPr>
              <w:t>662</w:t>
            </w:r>
          </w:p>
        </w:tc>
        <w:tc>
          <w:tcPr>
            <w:tcW w:w="10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9"/>
        </w:trPr>
        <w:tc>
          <w:tcPr>
            <w:tcW w:w="9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(1,750)</w:t>
            </w:r>
          </w:p>
        </w:tc>
        <w:tc>
          <w:tcPr>
            <w:tcW w:w="10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w:t>
            </w:r>
          </w:p>
        </w:tc>
      </w:tr>
      <w:tr>
        <w:trPr>
          <w:trHeight w:val="162"/>
        </w:trPr>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10,873</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25,149</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ectPr>
          <w:pgSz w:w="11900" w:h="16838" w:orient="portrait"/>
          <w:cols w:equalWidth="0" w:num="2">
            <w:col w:w="5880" w:space="720"/>
            <w:col w:w="4680"/>
          </w:cols>
          <w:pgMar w:left="300" w:top="695" w:right="319" w:bottom="1440" w:gutter="0" w:footer="0" w:header="0"/>
          <w:type w:val="continuous"/>
        </w:sectPr>
      </w:pPr>
    </w:p>
    <w:p>
      <w:pPr>
        <w:ind w:left="380" w:right="260" w:hanging="366"/>
        <w:spacing w:after="0" w:line="250"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1"/>
          <w:szCs w:val="11"/>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54"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During the six months ended June 30, 2023, the Company recorded long-lived asset impairment charges of $0.7 million. The remeasurement of the long-lived assets is classified as a Level 3 fair value assessment due to the significance of unobservable inputs developed in the determination of the fair value. The Company used a discounted cash flow model to determine the estimated fair value of the long-lived assets and made estimates and assumptions regarding future cash flows and discount rates.</w:t>
      </w:r>
    </w:p>
    <w:p>
      <w:pPr>
        <w:spacing w:after="0" w:line="78" w:lineRule="exact"/>
        <w:rPr>
          <w:sz w:val="20"/>
          <w:szCs w:val="20"/>
          <w:color w:val="auto"/>
        </w:rPr>
      </w:pPr>
    </w:p>
    <w:p>
      <w:pPr>
        <w:ind w:right="140"/>
        <w:spacing w:after="0" w:line="263" w:lineRule="auto"/>
        <w:rPr>
          <w:sz w:val="20"/>
          <w:szCs w:val="20"/>
          <w:color w:val="auto"/>
        </w:rPr>
      </w:pPr>
      <w:r>
        <w:rPr>
          <w:rFonts w:ascii="Arial" w:cs="Arial" w:eastAsia="Arial" w:hAnsi="Arial"/>
          <w:sz w:val="13"/>
          <w:szCs w:val="13"/>
          <w:color w:val="auto"/>
        </w:rPr>
        <w:t>During the three and six months ended June 30, 2023, the Company recorded gains of $1.3 million and $3.1 million, respectively, to equity securities that are accounted for as cost method investments based on observable transactions for identical or similar investments of the same issuer.</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REVENUE FROM CONTRACTS WITH CUSTOMERS</w:t>
      </w:r>
    </w:p>
    <w:p>
      <w:pPr>
        <w:spacing w:after="0" w:line="129"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The Company generated 79% of its revenue from U.S. domestic sales for the three and six months ended June 30, 2023 and 2022. The remaining 21% of revenue was generated from non-U.S. sales for the three and six months ended June 30, 2023 and 2022.</w:t>
      </w:r>
    </w:p>
    <w:p>
      <w:pPr>
        <w:spacing w:after="0" w:line="67" w:lineRule="exact"/>
        <w:rPr>
          <w:sz w:val="20"/>
          <w:szCs w:val="20"/>
          <w:color w:val="auto"/>
        </w:rPr>
      </w:pPr>
    </w:p>
    <w:p>
      <w:pPr>
        <w:ind w:right="480"/>
        <w:spacing w:after="0" w:line="261" w:lineRule="auto"/>
        <w:rPr>
          <w:sz w:val="20"/>
          <w:szCs w:val="20"/>
          <w:color w:val="auto"/>
        </w:rPr>
      </w:pPr>
      <w:r>
        <w:rPr>
          <w:rFonts w:ascii="Arial" w:cs="Arial" w:eastAsia="Arial" w:hAnsi="Arial"/>
          <w:sz w:val="13"/>
          <w:szCs w:val="13"/>
          <w:color w:val="auto"/>
        </w:rPr>
        <w:t>For the three and six months ended June 30, 2023, the Company recognized 56% of its revenue over time as control of the services and goods transferred to the customer, and the remaining 44% at a point in time, when the customer obtained control of the promised goods. For the three and six months ended June 30, 2022, the Company recognized 60% of its revenue over time, and the remaining 40% at a point in time.</w:t>
      </w:r>
    </w:p>
    <w:p>
      <w:pPr>
        <w:spacing w:after="0" w:line="72" w:lineRule="exact"/>
        <w:rPr>
          <w:sz w:val="20"/>
          <w:szCs w:val="20"/>
          <w:color w:val="auto"/>
        </w:rPr>
      </w:pPr>
    </w:p>
    <w:p>
      <w:pPr>
        <w:ind w:right="80"/>
        <w:spacing w:after="0" w:line="274" w:lineRule="auto"/>
        <w:rPr>
          <w:sz w:val="20"/>
          <w:szCs w:val="20"/>
          <w:color w:val="auto"/>
        </w:rPr>
      </w:pPr>
      <w:r>
        <w:rPr>
          <w:rFonts w:ascii="Arial" w:cs="Arial" w:eastAsia="Arial" w:hAnsi="Arial"/>
          <w:sz w:val="13"/>
          <w:szCs w:val="13"/>
          <w:b w:val="1"/>
          <w:bCs w:val="1"/>
          <w:color w:val="auto"/>
        </w:rPr>
        <w:t xml:space="preserve">Contract Assets. </w:t>
      </w:r>
      <w:r>
        <w:rPr>
          <w:rFonts w:ascii="Arial" w:cs="Arial" w:eastAsia="Arial" w:hAnsi="Arial"/>
          <w:sz w:val="13"/>
          <w:szCs w:val="13"/>
          <w:color w:val="auto"/>
        </w:rPr>
        <w:t>As of June 30, 2023, the Company recognized a contract asset of $36.0 million related to a contract at a Kaplan International business, which is included in Deferred</w:t>
      </w:r>
      <w:r>
        <w:rPr>
          <w:rFonts w:ascii="Arial" w:cs="Arial" w:eastAsia="Arial" w:hAnsi="Arial"/>
          <w:sz w:val="13"/>
          <w:szCs w:val="13"/>
          <w:b w:val="1"/>
          <w:bCs w:val="1"/>
          <w:color w:val="auto"/>
        </w:rPr>
        <w:t xml:space="preserve"> </w:t>
      </w:r>
      <w:r>
        <w:rPr>
          <w:rFonts w:ascii="Arial" w:cs="Arial" w:eastAsia="Arial" w:hAnsi="Arial"/>
          <w:sz w:val="13"/>
          <w:szCs w:val="13"/>
          <w:color w:val="auto"/>
        </w:rPr>
        <w:t>Charges and Other Assets. The Company expects to recognize an additional $322.5 million related to this contract over the next six years. As of December 31, 2022, the contract asset was $26.3 million.</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Deferred Revenue. </w:t>
      </w:r>
      <w:r>
        <w:rPr>
          <w:rFonts w:ascii="Arial" w:cs="Arial" w:eastAsia="Arial" w:hAnsi="Arial"/>
          <w:sz w:val="13"/>
          <w:szCs w:val="13"/>
          <w:color w:val="auto"/>
        </w:rPr>
        <w:t>The Company records deferred revenue when cash payments are received or due in advance of the Company’s performance, including amounts which are refundable.</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change in the Company’s deferred revenue balance: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1"/>
                <w:szCs w:val="11"/>
                <w:b w:val="1"/>
                <w:bCs w:val="1"/>
                <w:color w:val="auto"/>
              </w:rPr>
              <w:t>As of</w:t>
            </w:r>
          </w:p>
        </w:tc>
        <w:tc>
          <w:tcPr>
            <w:tcW w:w="1120" w:type="dxa"/>
            <w:vAlign w:val="bottom"/>
            <w:tcBorders>
              <w:bottom w:val="single" w:sz="8" w:color="auto"/>
            </w:tcBorders>
          </w:tcPr>
          <w:p>
            <w:pPr>
              <w:spacing w:after="0"/>
              <w:rPr>
                <w:sz w:val="13"/>
                <w:szCs w:val="13"/>
                <w:color w:val="auto"/>
              </w:rPr>
            </w:pPr>
          </w:p>
        </w:tc>
        <w:tc>
          <w:tcPr>
            <w:tcW w:w="1340" w:type="dxa"/>
            <w:vAlign w:val="bottom"/>
          </w:tcPr>
          <w:p>
            <w:pPr>
              <w:spacing w:after="0"/>
              <w:rPr>
                <w:sz w:val="13"/>
                <w:szCs w:val="13"/>
                <w:color w:val="auto"/>
              </w:rPr>
            </w:pPr>
          </w:p>
        </w:tc>
      </w:tr>
      <w:tr>
        <w:trPr>
          <w:trHeight w:val="153"/>
        </w:trPr>
        <w:tc>
          <w:tcPr>
            <w:tcW w:w="7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244"/>
              <w:spacing w:after="0"/>
              <w:rPr>
                <w:sz w:val="20"/>
                <w:szCs w:val="20"/>
                <w:color w:val="auto"/>
              </w:rPr>
            </w:pPr>
            <w:r>
              <w:rPr>
                <w:rFonts w:ascii="Arial" w:cs="Arial" w:eastAsia="Arial" w:hAnsi="Arial"/>
                <w:sz w:val="11"/>
                <w:szCs w:val="11"/>
                <w:b w:val="1"/>
                <w:bCs w:val="1"/>
                <w:color w:val="auto"/>
                <w:w w:val="99"/>
              </w:rPr>
              <w:t>June 30,</w:t>
            </w:r>
          </w:p>
        </w:tc>
        <w:tc>
          <w:tcPr>
            <w:tcW w:w="280" w:type="dxa"/>
            <w:vAlign w:val="bottom"/>
          </w:tcPr>
          <w:p>
            <w:pPr>
              <w:spacing w:after="0"/>
              <w:rPr>
                <w:sz w:val="13"/>
                <w:szCs w:val="13"/>
                <w:color w:val="auto"/>
              </w:rPr>
            </w:pPr>
          </w:p>
        </w:tc>
        <w:tc>
          <w:tcPr>
            <w:tcW w:w="1120" w:type="dxa"/>
            <w:vAlign w:val="bottom"/>
          </w:tcPr>
          <w:p>
            <w:pPr>
              <w:jc w:val="center"/>
              <w:ind w:right="144"/>
              <w:spacing w:after="0"/>
              <w:rPr>
                <w:sz w:val="20"/>
                <w:szCs w:val="20"/>
                <w:color w:val="auto"/>
              </w:rPr>
            </w:pPr>
            <w:r>
              <w:rPr>
                <w:rFonts w:ascii="Arial" w:cs="Arial" w:eastAsia="Arial" w:hAnsi="Arial"/>
                <w:sz w:val="11"/>
                <w:szCs w:val="11"/>
                <w:color w:val="auto"/>
                <w:w w:val="98"/>
              </w:rPr>
              <w:t>December 31,</w:t>
            </w:r>
          </w:p>
        </w:tc>
        <w:tc>
          <w:tcPr>
            <w:tcW w:w="1340" w:type="dxa"/>
            <w:vAlign w:val="bottom"/>
          </w:tcPr>
          <w:p>
            <w:pPr>
              <w:jc w:val="right"/>
              <w:ind w:right="564"/>
              <w:spacing w:after="0"/>
              <w:rPr>
                <w:sz w:val="20"/>
                <w:szCs w:val="20"/>
                <w:color w:val="auto"/>
              </w:rPr>
            </w:pPr>
            <w:r>
              <w:rPr>
                <w:rFonts w:ascii="Arial" w:cs="Arial" w:eastAsia="Arial" w:hAnsi="Arial"/>
                <w:sz w:val="11"/>
                <w:szCs w:val="11"/>
                <w:color w:val="auto"/>
              </w:rPr>
              <w:t>%</w:t>
            </w:r>
          </w:p>
        </w:tc>
      </w:tr>
      <w:tr>
        <w:trPr>
          <w:trHeight w:val="15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b w:val="1"/>
                <w:bCs w:val="1"/>
                <w:color w:val="auto"/>
              </w:rPr>
              <w:t>2023</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1"/>
                <w:szCs w:val="11"/>
                <w:color w:val="auto"/>
              </w:rPr>
              <w:t>2022</w:t>
            </w:r>
          </w:p>
        </w:tc>
        <w:tc>
          <w:tcPr>
            <w:tcW w:w="1340" w:type="dxa"/>
            <w:vAlign w:val="bottom"/>
            <w:tcBorders>
              <w:bottom w:val="single" w:sz="8" w:color="auto"/>
            </w:tcBorders>
          </w:tcPr>
          <w:p>
            <w:pPr>
              <w:ind w:left="480"/>
              <w:spacing w:after="0"/>
              <w:rPr>
                <w:sz w:val="20"/>
                <w:szCs w:val="20"/>
                <w:color w:val="auto"/>
              </w:rPr>
            </w:pPr>
            <w:r>
              <w:rPr>
                <w:rFonts w:ascii="Arial" w:cs="Arial" w:eastAsia="Arial" w:hAnsi="Arial"/>
                <w:sz w:val="11"/>
                <w:szCs w:val="11"/>
                <w:color w:val="auto"/>
              </w:rPr>
              <w:t>Change</w:t>
            </w:r>
          </w:p>
        </w:tc>
      </w:tr>
      <w:tr>
        <w:trPr>
          <w:trHeight w:val="163"/>
        </w:trPr>
        <w:tc>
          <w:tcPr>
            <w:tcW w:w="7140" w:type="dxa"/>
            <w:vAlign w:val="bottom"/>
          </w:tcPr>
          <w:p>
            <w:pPr>
              <w:ind w:left="20"/>
              <w:spacing w:after="0"/>
              <w:rPr>
                <w:sz w:val="20"/>
                <w:szCs w:val="20"/>
                <w:color w:val="auto"/>
              </w:rPr>
            </w:pPr>
            <w:r>
              <w:rPr>
                <w:rFonts w:ascii="Arial" w:cs="Arial" w:eastAsia="Arial" w:hAnsi="Arial"/>
                <w:sz w:val="12"/>
                <w:szCs w:val="12"/>
                <w:color w:val="auto"/>
              </w:rPr>
              <w:t>Deferred revenue</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Pr>
          <w:p>
            <w:pPr>
              <w:jc w:val="right"/>
              <w:ind w:right="24"/>
              <w:spacing w:after="0"/>
              <w:rPr>
                <w:sz w:val="20"/>
                <w:szCs w:val="20"/>
                <w:color w:val="auto"/>
              </w:rPr>
            </w:pPr>
            <w:r>
              <w:rPr>
                <w:rFonts w:ascii="Arial" w:cs="Arial" w:eastAsia="Arial" w:hAnsi="Arial"/>
                <w:sz w:val="12"/>
                <w:szCs w:val="12"/>
                <w:b w:val="1"/>
                <w:bCs w:val="1"/>
                <w:color w:val="auto"/>
              </w:rPr>
              <w:t>323,330</w:t>
            </w:r>
          </w:p>
        </w:tc>
        <w:tc>
          <w:tcPr>
            <w:tcW w:w="2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385,507</w:t>
            </w:r>
          </w:p>
        </w:tc>
        <w:tc>
          <w:tcPr>
            <w:tcW w:w="1340" w:type="dxa"/>
            <w:vAlign w:val="bottom"/>
          </w:tcPr>
          <w:p>
            <w:pPr>
              <w:jc w:val="right"/>
              <w:ind w:right="504"/>
              <w:spacing w:after="0"/>
              <w:rPr>
                <w:sz w:val="20"/>
                <w:szCs w:val="20"/>
                <w:color w:val="auto"/>
              </w:rPr>
            </w:pPr>
            <w:r>
              <w:rPr>
                <w:rFonts w:ascii="Arial" w:cs="Arial" w:eastAsia="Arial" w:hAnsi="Arial"/>
                <w:sz w:val="12"/>
                <w:szCs w:val="12"/>
                <w:color w:val="auto"/>
              </w:rPr>
              <w:t>(16)</w:t>
            </w:r>
          </w:p>
        </w:tc>
      </w:tr>
    </w:tbl>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3"/>
          <w:szCs w:val="13"/>
          <w:color w:val="auto"/>
        </w:rPr>
        <w:t>In April 2020, GHG received $31.5 million under the expanded Medicare Accelerated and Advanced Payment Program modified by the Coronavirus Aid, Relief, and Economic Security Act (CARES Act) as a result of COVID-19.</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color w:val="auto"/>
        </w:rPr>
        <w:t>The Department of Health and Human Services started to recoup this advance 365 days after the payment was issued. The advance has been recouped in full as of September 30, 2022.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For the three and six months ended June 30, 2022, GHG recognized $5.6 million and $12.0 million of the balance in revenue for claims submitted for eligible services.</w:t>
      </w:r>
    </w:p>
    <w:p>
      <w:pPr>
        <w:spacing w:after="0" w:line="103" w:lineRule="exact"/>
        <w:rPr>
          <w:sz w:val="20"/>
          <w:szCs w:val="20"/>
          <w:color w:val="auto"/>
        </w:rPr>
      </w:pPr>
    </w:p>
    <w:p>
      <w:pPr>
        <w:ind w:right="160"/>
        <w:spacing w:after="0" w:line="279" w:lineRule="auto"/>
        <w:rPr>
          <w:sz w:val="20"/>
          <w:szCs w:val="20"/>
          <w:color w:val="auto"/>
        </w:rPr>
      </w:pPr>
      <w:r>
        <w:rPr>
          <w:rFonts w:ascii="Arial" w:cs="Arial" w:eastAsia="Arial" w:hAnsi="Arial"/>
          <w:sz w:val="13"/>
          <w:szCs w:val="13"/>
          <w:color w:val="auto"/>
        </w:rPr>
        <w:t>The majority of the change in the deferred revenue balance is related to the cyclical nature of services in the Kaplan international division. During the six months ended June 30, 2023, the Company recognized $280.4 million related to the Company’s deferred revenue balance as of December 31, 2022.</w:t>
      </w:r>
    </w:p>
    <w:p>
      <w:pPr>
        <w:spacing w:after="0" w:line="77"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Revenue allocated to remaining performance obligations represents deferred revenue amounts that will be recognized as revenue in future periods. As of June 30, 2023, the deferred revenue balance related to certain medical and nursing qualifications with an original contract length greater than twelve months at Kaplan Supplemental Education was $7.0 million. Kaplan</w:t>
      </w:r>
    </w:p>
    <w:p>
      <w:pPr>
        <w:spacing w:after="0"/>
        <w:rPr>
          <w:sz w:val="20"/>
          <w:szCs w:val="20"/>
          <w:color w:val="auto"/>
        </w:rPr>
      </w:pPr>
      <w:r>
        <w:rPr>
          <w:rFonts w:ascii="Arial" w:cs="Arial" w:eastAsia="Arial" w:hAnsi="Arial"/>
          <w:sz w:val="13"/>
          <w:szCs w:val="13"/>
          <w:color w:val="auto"/>
        </w:rPr>
        <w:t>Supplemental Education expects to recognize 68% of this revenue over the next twelve months and the remainder thereafter.</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Costs to Obtain a Contract. </w:t>
      </w:r>
      <w:r>
        <w:rPr>
          <w:rFonts w:ascii="Arial" w:cs="Arial" w:eastAsia="Arial" w:hAnsi="Arial"/>
          <w:sz w:val="13"/>
          <w:szCs w:val="13"/>
          <w:color w:val="auto"/>
        </w:rPr>
        <w:t>The following table presents changes in the Company’s costs to obtain a contract asset: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ind w:right="145"/>
              <w:spacing w:after="0"/>
              <w:rPr>
                <w:sz w:val="20"/>
                <w:szCs w:val="20"/>
                <w:color w:val="auto"/>
              </w:rPr>
            </w:pPr>
            <w:r>
              <w:rPr>
                <w:rFonts w:ascii="Arial" w:cs="Arial" w:eastAsia="Arial" w:hAnsi="Arial"/>
                <w:sz w:val="11"/>
                <w:szCs w:val="11"/>
                <w:b w:val="1"/>
                <w:bCs w:val="1"/>
                <w:color w:val="auto"/>
                <w:w w:val="94"/>
              </w:rPr>
              <w:t>Balance</w:t>
            </w:r>
          </w:p>
        </w:tc>
        <w:tc>
          <w:tcPr>
            <w:tcW w:w="0" w:type="dxa"/>
            <w:vAlign w:val="bottom"/>
          </w:tcPr>
          <w:p>
            <w:pPr>
              <w:spacing w:after="0"/>
              <w:rPr>
                <w:sz w:val="1"/>
                <w:szCs w:val="1"/>
                <w:color w:val="auto"/>
              </w:rPr>
            </w:pPr>
          </w:p>
        </w:tc>
      </w:tr>
      <w:tr>
        <w:trPr>
          <w:trHeight w:val="121"/>
        </w:trPr>
        <w:tc>
          <w:tcPr>
            <w:tcW w:w="30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20" w:type="dxa"/>
            <w:vAlign w:val="bottom"/>
          </w:tcPr>
          <w:p>
            <w:pPr>
              <w:jc w:val="center"/>
              <w:ind w:right="124"/>
              <w:spacing w:after="0" w:line="122" w:lineRule="exact"/>
              <w:rPr>
                <w:sz w:val="20"/>
                <w:szCs w:val="20"/>
                <w:color w:val="auto"/>
              </w:rPr>
            </w:pPr>
            <w:r>
              <w:rPr>
                <w:rFonts w:ascii="Arial" w:cs="Arial" w:eastAsia="Arial" w:hAnsi="Arial"/>
                <w:sz w:val="11"/>
                <w:szCs w:val="11"/>
                <w:b w:val="1"/>
                <w:bCs w:val="1"/>
                <w:color w:val="auto"/>
                <w:w w:val="98"/>
              </w:rPr>
              <w:t>Balance at</w:t>
            </w: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ind w:right="145"/>
              <w:spacing w:after="0" w:line="122" w:lineRule="exact"/>
              <w:rPr>
                <w:sz w:val="20"/>
                <w:szCs w:val="20"/>
                <w:color w:val="auto"/>
              </w:rPr>
            </w:pPr>
            <w:r>
              <w:rPr>
                <w:rFonts w:ascii="Arial" w:cs="Arial" w:eastAsia="Arial" w:hAnsi="Arial"/>
                <w:sz w:val="11"/>
                <w:szCs w:val="11"/>
                <w:b w:val="1"/>
                <w:bCs w:val="1"/>
                <w:color w:val="auto"/>
                <w:w w:val="81"/>
              </w:rPr>
              <w:t>at</w:t>
            </w:r>
          </w:p>
        </w:tc>
        <w:tc>
          <w:tcPr>
            <w:tcW w:w="0" w:type="dxa"/>
            <w:vAlign w:val="bottom"/>
          </w:tcPr>
          <w:p>
            <w:pPr>
              <w:spacing w:after="0"/>
              <w:rPr>
                <w:sz w:val="1"/>
                <w:szCs w:val="1"/>
                <w:color w:val="auto"/>
              </w:rPr>
            </w:pPr>
          </w:p>
        </w:tc>
      </w:tr>
      <w:tr>
        <w:trPr>
          <w:trHeight w:val="111"/>
        </w:trPr>
        <w:tc>
          <w:tcPr>
            <w:tcW w:w="30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920" w:type="dxa"/>
            <w:vAlign w:val="bottom"/>
          </w:tcPr>
          <w:p>
            <w:pPr>
              <w:jc w:val="center"/>
              <w:ind w:right="144"/>
              <w:spacing w:after="0" w:line="111" w:lineRule="exact"/>
              <w:rPr>
                <w:sz w:val="20"/>
                <w:szCs w:val="20"/>
                <w:color w:val="auto"/>
              </w:rPr>
            </w:pPr>
            <w:r>
              <w:rPr>
                <w:rFonts w:ascii="Arial" w:cs="Arial" w:eastAsia="Arial" w:hAnsi="Arial"/>
                <w:sz w:val="11"/>
                <w:szCs w:val="11"/>
                <w:b w:val="1"/>
                <w:bCs w:val="1"/>
                <w:color w:val="auto"/>
                <w:w w:val="96"/>
              </w:rPr>
              <w:t>Beginning</w:t>
            </w:r>
          </w:p>
        </w:tc>
        <w:tc>
          <w:tcPr>
            <w:tcW w:w="180" w:type="dxa"/>
            <w:vAlign w:val="bottom"/>
          </w:tcPr>
          <w:p>
            <w:pPr>
              <w:spacing w:after="0"/>
              <w:rPr>
                <w:sz w:val="9"/>
                <w:szCs w:val="9"/>
                <w:color w:val="auto"/>
              </w:rPr>
            </w:pPr>
          </w:p>
        </w:tc>
        <w:tc>
          <w:tcPr>
            <w:tcW w:w="1060" w:type="dxa"/>
            <w:vAlign w:val="bottom"/>
          </w:tcPr>
          <w:p>
            <w:pPr>
              <w:jc w:val="center"/>
              <w:ind w:right="83"/>
              <w:spacing w:after="0" w:line="111" w:lineRule="exact"/>
              <w:rPr>
                <w:sz w:val="20"/>
                <w:szCs w:val="20"/>
                <w:color w:val="auto"/>
              </w:rPr>
            </w:pPr>
            <w:r>
              <w:rPr>
                <w:rFonts w:ascii="Arial" w:cs="Arial" w:eastAsia="Arial" w:hAnsi="Arial"/>
                <w:sz w:val="11"/>
                <w:szCs w:val="11"/>
                <w:b w:val="1"/>
                <w:bCs w:val="1"/>
                <w:color w:val="auto"/>
                <w:w w:val="97"/>
              </w:rPr>
              <w:t>Costs associated</w:t>
            </w:r>
          </w:p>
        </w:tc>
        <w:tc>
          <w:tcPr>
            <w:tcW w:w="136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97"/>
              </w:rPr>
              <w:t>Less: Costs amortized</w:t>
            </w:r>
          </w:p>
        </w:tc>
        <w:tc>
          <w:tcPr>
            <w:tcW w:w="260" w:type="dxa"/>
            <w:vAlign w:val="bottom"/>
          </w:tcPr>
          <w:p>
            <w:pPr>
              <w:spacing w:after="0"/>
              <w:rPr>
                <w:sz w:val="9"/>
                <w:szCs w:val="9"/>
                <w:color w:val="auto"/>
              </w:rPr>
            </w:pPr>
          </w:p>
        </w:tc>
        <w:tc>
          <w:tcPr>
            <w:tcW w:w="800" w:type="dxa"/>
            <w:vAlign w:val="bottom"/>
            <w:vMerge w:val="restart"/>
          </w:tcPr>
          <w:p>
            <w:pPr>
              <w:jc w:val="right"/>
              <w:ind w:right="323"/>
              <w:spacing w:after="0"/>
              <w:rPr>
                <w:sz w:val="20"/>
                <w:szCs w:val="20"/>
                <w:color w:val="auto"/>
              </w:rPr>
            </w:pPr>
            <w:r>
              <w:rPr>
                <w:rFonts w:ascii="Arial" w:cs="Arial" w:eastAsia="Arial" w:hAnsi="Arial"/>
                <w:sz w:val="11"/>
                <w:szCs w:val="11"/>
                <w:b w:val="1"/>
                <w:bCs w:val="1"/>
                <w:color w:val="auto"/>
              </w:rPr>
              <w:t>Other</w:t>
            </w:r>
          </w:p>
        </w:tc>
        <w:tc>
          <w:tcPr>
            <w:tcW w:w="260" w:type="dxa"/>
            <w:vAlign w:val="bottom"/>
          </w:tcPr>
          <w:p>
            <w:pPr>
              <w:spacing w:after="0"/>
              <w:rPr>
                <w:sz w:val="9"/>
                <w:szCs w:val="9"/>
                <w:color w:val="auto"/>
              </w:rPr>
            </w:pPr>
          </w:p>
        </w:tc>
        <w:tc>
          <w:tcPr>
            <w:tcW w:w="880" w:type="dxa"/>
            <w:vAlign w:val="bottom"/>
          </w:tcPr>
          <w:p>
            <w:pPr>
              <w:jc w:val="center"/>
              <w:ind w:right="145"/>
              <w:spacing w:after="0" w:line="111" w:lineRule="exact"/>
              <w:rPr>
                <w:sz w:val="20"/>
                <w:szCs w:val="20"/>
                <w:color w:val="auto"/>
              </w:rPr>
            </w:pPr>
            <w:r>
              <w:rPr>
                <w:rFonts w:ascii="Arial" w:cs="Arial" w:eastAsia="Arial" w:hAnsi="Arial"/>
                <w:sz w:val="11"/>
                <w:szCs w:val="11"/>
                <w:b w:val="1"/>
                <w:bCs w:val="1"/>
                <w:color w:val="auto"/>
                <w:w w:val="93"/>
              </w:rPr>
              <w:t>End of</w:t>
            </w:r>
          </w:p>
        </w:tc>
        <w:tc>
          <w:tcPr>
            <w:tcW w:w="0" w:type="dxa"/>
            <w:vAlign w:val="bottom"/>
          </w:tcPr>
          <w:p>
            <w:pPr>
              <w:spacing w:after="0"/>
              <w:rPr>
                <w:sz w:val="1"/>
                <w:szCs w:val="1"/>
                <w:color w:val="auto"/>
              </w:rPr>
            </w:pPr>
          </w:p>
        </w:tc>
      </w:tr>
      <w:tr>
        <w:trPr>
          <w:trHeight w:val="15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rPr>
              <w:t>of Period</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with new contracts</w:t>
            </w: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w w:val="97"/>
              </w:rPr>
              <w:t>during the period</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93"/>
              </w:rPr>
              <w:t>Period</w:t>
            </w:r>
          </w:p>
        </w:tc>
        <w:tc>
          <w:tcPr>
            <w:tcW w:w="0" w:type="dxa"/>
            <w:vAlign w:val="bottom"/>
          </w:tcPr>
          <w:p>
            <w:pPr>
              <w:spacing w:after="0"/>
              <w:rPr>
                <w:sz w:val="1"/>
                <w:szCs w:val="1"/>
                <w:color w:val="auto"/>
              </w:rPr>
            </w:pPr>
          </w:p>
        </w:tc>
      </w:tr>
      <w:tr>
        <w:trPr>
          <w:trHeight w:val="163"/>
        </w:trPr>
        <w:tc>
          <w:tcPr>
            <w:tcW w:w="3020" w:type="dxa"/>
            <w:vAlign w:val="bottom"/>
          </w:tcPr>
          <w:p>
            <w:pPr>
              <w:ind w:left="20"/>
              <w:spacing w:after="0"/>
              <w:rPr>
                <w:sz w:val="20"/>
                <w:szCs w:val="20"/>
                <w:color w:val="auto"/>
              </w:rPr>
            </w:pPr>
            <w:r>
              <w:rPr>
                <w:rFonts w:ascii="Arial" w:cs="Arial" w:eastAsia="Arial" w:hAnsi="Arial"/>
                <w:sz w:val="12"/>
                <w:szCs w:val="12"/>
                <w:b w:val="1"/>
                <w:bCs w:val="1"/>
                <w:color w:val="auto"/>
              </w:rPr>
              <w:t>2023</w:t>
            </w:r>
          </w:p>
        </w:tc>
        <w:tc>
          <w:tcPr>
            <w:tcW w:w="250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2"/>
                <w:szCs w:val="12"/>
                <w:b w:val="1"/>
                <w:bCs w:val="1"/>
                <w:color w:val="auto"/>
              </w:rPr>
              <w:t>31,647</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2"/>
                <w:szCs w:val="12"/>
                <w:b w:val="1"/>
                <w:bCs w:val="1"/>
                <w:color w:val="auto"/>
              </w:rPr>
              <w:t>28,477</w:t>
            </w:r>
          </w:p>
        </w:tc>
        <w:tc>
          <w:tcPr>
            <w:tcW w:w="200" w:type="dxa"/>
            <w:vAlign w:val="bottom"/>
          </w:tcPr>
          <w:p>
            <w:pPr>
              <w:jc w:val="right"/>
              <w:ind w:right="3"/>
              <w:spacing w:after="0"/>
              <w:rPr>
                <w:sz w:val="20"/>
                <w:szCs w:val="20"/>
                <w:color w:val="auto"/>
              </w:rPr>
            </w:pPr>
            <w:r>
              <w:rPr>
                <w:rFonts w:ascii="Arial" w:cs="Arial" w:eastAsia="Arial" w:hAnsi="Arial"/>
                <w:sz w:val="12"/>
                <w:szCs w:val="12"/>
                <w:b w:val="1"/>
                <w:bCs w:val="1"/>
                <w:color w:val="auto"/>
              </w:rPr>
              <w:t>$</w:t>
            </w:r>
          </w:p>
        </w:tc>
        <w:tc>
          <w:tcPr>
            <w:tcW w:w="1160" w:type="dxa"/>
            <w:vAlign w:val="bottom"/>
          </w:tcPr>
          <w:p>
            <w:pPr>
              <w:jc w:val="right"/>
              <w:ind w:right="3"/>
              <w:spacing w:after="0"/>
              <w:rPr>
                <w:sz w:val="20"/>
                <w:szCs w:val="20"/>
                <w:color w:val="auto"/>
              </w:rPr>
            </w:pPr>
            <w:r>
              <w:rPr>
                <w:rFonts w:ascii="Arial" w:cs="Arial" w:eastAsia="Arial" w:hAnsi="Arial"/>
                <w:sz w:val="12"/>
                <w:szCs w:val="12"/>
                <w:b w:val="1"/>
                <w:bCs w:val="1"/>
                <w:color w:val="auto"/>
              </w:rPr>
              <w:t>(39,583)</w:t>
            </w:r>
          </w:p>
        </w:tc>
        <w:tc>
          <w:tcPr>
            <w:tcW w:w="260" w:type="dxa"/>
            <w:vAlign w:val="bottom"/>
          </w:tcPr>
          <w:p>
            <w:pPr>
              <w:jc w:val="right"/>
              <w:ind w:right="59"/>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ind w:right="23"/>
              <w:spacing w:after="0"/>
              <w:rPr>
                <w:sz w:val="20"/>
                <w:szCs w:val="20"/>
                <w:color w:val="auto"/>
              </w:rPr>
            </w:pPr>
            <w:r>
              <w:rPr>
                <w:rFonts w:ascii="Arial" w:cs="Arial" w:eastAsia="Arial" w:hAnsi="Arial"/>
                <w:sz w:val="12"/>
                <w:szCs w:val="12"/>
                <w:b w:val="1"/>
                <w:bCs w:val="1"/>
                <w:color w:val="auto"/>
              </w:rPr>
              <w:t>801</w:t>
            </w:r>
          </w:p>
        </w:tc>
        <w:tc>
          <w:tcPr>
            <w:tcW w:w="260" w:type="dxa"/>
            <w:vAlign w:val="bottom"/>
          </w:tcPr>
          <w:p>
            <w:pPr>
              <w:jc w:val="right"/>
              <w:ind w:right="59"/>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ind w:right="5"/>
              <w:spacing w:after="0"/>
              <w:rPr>
                <w:sz w:val="20"/>
                <w:szCs w:val="20"/>
                <w:color w:val="auto"/>
              </w:rPr>
            </w:pPr>
            <w:r>
              <w:rPr>
                <w:rFonts w:ascii="Arial" w:cs="Arial" w:eastAsia="Arial" w:hAnsi="Arial"/>
                <w:sz w:val="12"/>
                <w:szCs w:val="12"/>
                <w:b w:val="1"/>
                <w:bCs w:val="1"/>
                <w:color w:val="auto"/>
              </w:rPr>
              <w:t>21,342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majority of other activity was related to currency translation adjustments for the six months ended June 30, 2023.</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695" w:right="35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10. EARNINGS (LOSS) PER SHARE</w:t>
      </w:r>
    </w:p>
    <w:p>
      <w:pPr>
        <w:spacing w:after="0" w:line="129" w:lineRule="exact"/>
        <w:rPr>
          <w:sz w:val="20"/>
          <w:szCs w:val="20"/>
          <w:color w:val="auto"/>
        </w:rPr>
      </w:pPr>
    </w:p>
    <w:p>
      <w:pPr>
        <w:ind w:right="300"/>
        <w:spacing w:after="0" w:line="243" w:lineRule="auto"/>
        <w:rPr>
          <w:sz w:val="20"/>
          <w:szCs w:val="20"/>
          <w:color w:val="auto"/>
        </w:rPr>
      </w:pPr>
      <w:r>
        <w:rPr>
          <w:rFonts w:ascii="Arial" w:cs="Arial" w:eastAsia="Arial" w:hAnsi="Arial"/>
          <w:sz w:val="13"/>
          <w:szCs w:val="13"/>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w:t>
      </w:r>
    </w:p>
    <w:p>
      <w:pPr>
        <w:ind w:right="220"/>
        <w:spacing w:after="0" w:line="263" w:lineRule="auto"/>
        <w:rPr>
          <w:sz w:val="20"/>
          <w:szCs w:val="20"/>
          <w:color w:val="auto"/>
        </w:rPr>
      </w:pPr>
      <w:r>
        <w:rPr>
          <w:rFonts w:ascii="Arial" w:cs="Arial" w:eastAsia="Arial" w:hAnsi="Arial"/>
          <w:sz w:val="13"/>
          <w:szCs w:val="13"/>
          <w:color w:val="auto"/>
        </w:rPr>
        <w:t>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reflects the Company’s net income (loss) and share data used in the basic and diluted earnings (loss) per share computations using the two-class method: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 except per share amounts)</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color w:val="auto"/>
                <w:w w:val="97"/>
              </w:rPr>
              <w:t>2022</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53"/>
        </w:trPr>
        <w:tc>
          <w:tcPr>
            <w:tcW w:w="5880" w:type="dxa"/>
            <w:vAlign w:val="bottom"/>
          </w:tcPr>
          <w:p>
            <w:pPr>
              <w:ind w:left="20"/>
              <w:spacing w:after="0"/>
              <w:rPr>
                <w:sz w:val="20"/>
                <w:szCs w:val="20"/>
                <w:color w:val="auto"/>
              </w:rPr>
            </w:pPr>
            <w:r>
              <w:rPr>
                <w:rFonts w:ascii="Arial" w:cs="Arial" w:eastAsia="Arial" w:hAnsi="Arial"/>
                <w:sz w:val="12"/>
                <w:szCs w:val="12"/>
                <w:color w:val="auto"/>
              </w:rPr>
              <w:t>Numerator:</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880" w:type="dxa"/>
            <w:vAlign w:val="bottom"/>
          </w:tcPr>
          <w:p>
            <w:pPr>
              <w:ind w:left="100"/>
              <w:spacing w:after="0"/>
              <w:rPr>
                <w:sz w:val="20"/>
                <w:szCs w:val="20"/>
                <w:color w:val="auto"/>
              </w:rPr>
            </w:pPr>
            <w:r>
              <w:rPr>
                <w:rFonts w:ascii="Arial" w:cs="Arial" w:eastAsia="Arial" w:hAnsi="Arial"/>
                <w:sz w:val="12"/>
                <w:szCs w:val="12"/>
                <w:color w:val="auto"/>
              </w:rPr>
              <w:t>Numerator for basic earnings (loss) per share: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160"/>
              <w:spacing w:after="0"/>
              <w:rPr>
                <w:sz w:val="20"/>
                <w:szCs w:val="20"/>
                <w:color w:val="auto"/>
              </w:rPr>
            </w:pPr>
            <w:r>
              <w:rPr>
                <w:rFonts w:ascii="Arial" w:cs="Arial" w:eastAsia="Arial" w:hAnsi="Arial"/>
                <w:sz w:val="12"/>
                <w:szCs w:val="12"/>
                <w:color w:val="auto"/>
              </w:rPr>
              <w:t>Net income (loss) attributable to Graham Holdings Company common stockholders</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Pr>
          <w:p>
            <w:pPr>
              <w:jc w:val="right"/>
              <w:ind w:right="141"/>
              <w:spacing w:after="0"/>
              <w:rPr>
                <w:sz w:val="20"/>
                <w:szCs w:val="20"/>
                <w:color w:val="auto"/>
              </w:rPr>
            </w:pPr>
            <w:r>
              <w:rPr>
                <w:rFonts w:ascii="Arial" w:cs="Arial" w:eastAsia="Arial" w:hAnsi="Arial"/>
                <w:sz w:val="12"/>
                <w:szCs w:val="12"/>
                <w:b w:val="1"/>
                <w:bCs w:val="1"/>
                <w:color w:val="auto"/>
              </w:rPr>
              <w:t>122,788</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(67,485)</w:t>
            </w:r>
          </w:p>
        </w:tc>
        <w:tc>
          <w:tcPr>
            <w:tcW w:w="360" w:type="dxa"/>
            <w:vAlign w:val="bottom"/>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141"/>
              <w:spacing w:after="0"/>
              <w:rPr>
                <w:sz w:val="20"/>
                <w:szCs w:val="20"/>
                <w:color w:val="auto"/>
              </w:rPr>
            </w:pPr>
            <w:r>
              <w:rPr>
                <w:rFonts w:ascii="Arial" w:cs="Arial" w:eastAsia="Arial" w:hAnsi="Arial"/>
                <w:sz w:val="12"/>
                <w:szCs w:val="12"/>
                <w:b w:val="1"/>
                <w:bCs w:val="1"/>
                <w:color w:val="auto"/>
              </w:rPr>
              <w:t>175,060</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28,139</w:t>
            </w:r>
          </w:p>
        </w:tc>
        <w:tc>
          <w:tcPr>
            <w:tcW w:w="0" w:type="dxa"/>
            <w:vAlign w:val="bottom"/>
          </w:tcPr>
          <w:p>
            <w:pPr>
              <w:spacing w:after="0"/>
              <w:rPr>
                <w:sz w:val="1"/>
                <w:szCs w:val="1"/>
                <w:color w:val="auto"/>
              </w:rPr>
            </w:pPr>
          </w:p>
        </w:tc>
      </w:tr>
      <w:tr>
        <w:trPr>
          <w:trHeight w:val="182"/>
        </w:trPr>
        <w:tc>
          <w:tcPr>
            <w:tcW w:w="5880" w:type="dxa"/>
            <w:vAlign w:val="bottom"/>
          </w:tcPr>
          <w:p>
            <w:pPr>
              <w:ind w:left="160"/>
              <w:spacing w:after="0"/>
              <w:rPr>
                <w:sz w:val="20"/>
                <w:szCs w:val="20"/>
                <w:color w:val="auto"/>
              </w:rPr>
            </w:pPr>
            <w:r>
              <w:rPr>
                <w:rFonts w:ascii="Arial" w:cs="Arial" w:eastAsia="Arial" w:hAnsi="Arial"/>
                <w:sz w:val="12"/>
                <w:szCs w:val="12"/>
                <w:color w:val="auto"/>
              </w:rPr>
              <w:t>Less: Dividends paid-common stock outstanding and unvested restricted shares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(7,722)</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(7,656)</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(23,534)</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(23,153)</w:t>
            </w:r>
          </w:p>
        </w:tc>
        <w:tc>
          <w:tcPr>
            <w:tcW w:w="0" w:type="dxa"/>
            <w:vAlign w:val="bottom"/>
          </w:tcPr>
          <w:p>
            <w:pPr>
              <w:spacing w:after="0"/>
              <w:rPr>
                <w:sz w:val="1"/>
                <w:szCs w:val="1"/>
                <w:color w:val="auto"/>
              </w:rPr>
            </w:pPr>
          </w:p>
        </w:tc>
      </w:tr>
      <w:tr>
        <w:trPr>
          <w:trHeight w:val="164"/>
        </w:trPr>
        <w:tc>
          <w:tcPr>
            <w:tcW w:w="5880" w:type="dxa"/>
            <w:vAlign w:val="bottom"/>
          </w:tcPr>
          <w:p>
            <w:pPr>
              <w:ind w:left="160"/>
              <w:spacing w:after="0"/>
              <w:rPr>
                <w:sz w:val="20"/>
                <w:szCs w:val="20"/>
                <w:color w:val="auto"/>
              </w:rPr>
            </w:pPr>
            <w:r>
              <w:rPr>
                <w:rFonts w:ascii="Arial" w:cs="Arial" w:eastAsia="Arial" w:hAnsi="Arial"/>
                <w:sz w:val="12"/>
                <w:szCs w:val="12"/>
                <w:color w:val="auto"/>
              </w:rPr>
              <w:t>Undistributed earnings (loss)</w:t>
            </w:r>
          </w:p>
        </w:tc>
        <w:tc>
          <w:tcPr>
            <w:tcW w:w="280" w:type="dxa"/>
            <w:vAlign w:val="bottom"/>
          </w:tcPr>
          <w:p>
            <w:pPr>
              <w:spacing w:after="0"/>
              <w:rPr>
                <w:sz w:val="14"/>
                <w:szCs w:val="14"/>
                <w:color w:val="auto"/>
              </w:rPr>
            </w:pPr>
          </w:p>
        </w:tc>
        <w:tc>
          <w:tcPr>
            <w:tcW w:w="1000" w:type="dxa"/>
            <w:vAlign w:val="bottom"/>
          </w:tcPr>
          <w:p>
            <w:pPr>
              <w:jc w:val="right"/>
              <w:ind w:right="141"/>
              <w:spacing w:after="0"/>
              <w:rPr>
                <w:sz w:val="20"/>
                <w:szCs w:val="20"/>
                <w:color w:val="auto"/>
              </w:rPr>
            </w:pPr>
            <w:r>
              <w:rPr>
                <w:rFonts w:ascii="Arial" w:cs="Arial" w:eastAsia="Arial" w:hAnsi="Arial"/>
                <w:sz w:val="12"/>
                <w:szCs w:val="12"/>
                <w:b w:val="1"/>
                <w:bCs w:val="1"/>
                <w:color w:val="auto"/>
              </w:rPr>
              <w:t>115,066</w:t>
            </w:r>
          </w:p>
        </w:tc>
        <w:tc>
          <w:tcPr>
            <w:tcW w:w="520" w:type="dxa"/>
            <w:vAlign w:val="bottom"/>
          </w:tcPr>
          <w:p>
            <w:pPr>
              <w:spacing w:after="0"/>
              <w:rPr>
                <w:sz w:val="14"/>
                <w:szCs w:val="14"/>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(75,141)</w:t>
            </w:r>
          </w:p>
        </w:tc>
        <w:tc>
          <w:tcPr>
            <w:tcW w:w="360" w:type="dxa"/>
            <w:vAlign w:val="bottom"/>
          </w:tcPr>
          <w:p>
            <w:pPr>
              <w:spacing w:after="0"/>
              <w:rPr>
                <w:sz w:val="14"/>
                <w:szCs w:val="14"/>
                <w:color w:val="auto"/>
              </w:rPr>
            </w:pPr>
          </w:p>
        </w:tc>
        <w:tc>
          <w:tcPr>
            <w:tcW w:w="1060" w:type="dxa"/>
            <w:vAlign w:val="bottom"/>
          </w:tcPr>
          <w:p>
            <w:pPr>
              <w:jc w:val="right"/>
              <w:ind w:right="141"/>
              <w:spacing w:after="0"/>
              <w:rPr>
                <w:sz w:val="20"/>
                <w:szCs w:val="20"/>
                <w:color w:val="auto"/>
              </w:rPr>
            </w:pPr>
            <w:r>
              <w:rPr>
                <w:rFonts w:ascii="Arial" w:cs="Arial" w:eastAsia="Arial" w:hAnsi="Arial"/>
                <w:sz w:val="12"/>
                <w:szCs w:val="12"/>
                <w:b w:val="1"/>
                <w:bCs w:val="1"/>
                <w:color w:val="auto"/>
              </w:rPr>
              <w:t>151,526</w:t>
            </w:r>
          </w:p>
        </w:tc>
        <w:tc>
          <w:tcPr>
            <w:tcW w:w="520" w:type="dxa"/>
            <w:vAlign w:val="bottom"/>
          </w:tcPr>
          <w:p>
            <w:pPr>
              <w:spacing w:after="0"/>
              <w:rPr>
                <w:sz w:val="14"/>
                <w:szCs w:val="14"/>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4,986</w:t>
            </w:r>
          </w:p>
        </w:tc>
        <w:tc>
          <w:tcPr>
            <w:tcW w:w="0" w:type="dxa"/>
            <w:vAlign w:val="bottom"/>
          </w:tcPr>
          <w:p>
            <w:pPr>
              <w:spacing w:after="0"/>
              <w:rPr>
                <w:sz w:val="1"/>
                <w:szCs w:val="1"/>
                <w:color w:val="auto"/>
              </w:rPr>
            </w:pPr>
          </w:p>
        </w:tc>
      </w:tr>
      <w:tr>
        <w:trPr>
          <w:trHeight w:val="176"/>
        </w:trPr>
        <w:tc>
          <w:tcPr>
            <w:tcW w:w="5880" w:type="dxa"/>
            <w:vAlign w:val="bottom"/>
          </w:tcPr>
          <w:p>
            <w:pPr>
              <w:ind w:left="160"/>
              <w:spacing w:after="0"/>
              <w:rPr>
                <w:sz w:val="20"/>
                <w:szCs w:val="20"/>
                <w:color w:val="auto"/>
              </w:rPr>
            </w:pPr>
            <w:r>
              <w:rPr>
                <w:rFonts w:ascii="Arial" w:cs="Arial" w:eastAsia="Arial" w:hAnsi="Arial"/>
                <w:sz w:val="12"/>
                <w:szCs w:val="12"/>
                <w:color w:val="auto"/>
              </w:rPr>
              <w:t xml:space="preserve">Percent allocated to common stockholders </w:t>
            </w:r>
            <w:r>
              <w:rPr>
                <w:rFonts w:ascii="Arial" w:cs="Arial" w:eastAsia="Arial" w:hAnsi="Arial"/>
                <w:sz w:val="15"/>
                <w:szCs w:val="15"/>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99.37 %</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100.00 %</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99.37 %</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99.40 %</w:t>
            </w:r>
          </w:p>
        </w:tc>
        <w:tc>
          <w:tcPr>
            <w:tcW w:w="0" w:type="dxa"/>
            <w:vAlign w:val="bottom"/>
          </w:tcPr>
          <w:p>
            <w:pPr>
              <w:spacing w:after="0"/>
              <w:rPr>
                <w:sz w:val="1"/>
                <w:szCs w:val="1"/>
                <w:color w:val="auto"/>
              </w:rPr>
            </w:pPr>
          </w:p>
        </w:tc>
      </w:tr>
      <w:tr>
        <w:trPr>
          <w:trHeight w:val="158"/>
        </w:trPr>
        <w:tc>
          <w:tcPr>
            <w:tcW w:w="5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141"/>
              <w:spacing w:after="0"/>
              <w:rPr>
                <w:sz w:val="20"/>
                <w:szCs w:val="20"/>
                <w:color w:val="auto"/>
              </w:rPr>
            </w:pPr>
            <w:r>
              <w:rPr>
                <w:rFonts w:ascii="Arial" w:cs="Arial" w:eastAsia="Arial" w:hAnsi="Arial"/>
                <w:sz w:val="12"/>
                <w:szCs w:val="12"/>
                <w:b w:val="1"/>
                <w:bCs w:val="1"/>
                <w:color w:val="auto"/>
              </w:rPr>
              <w:t>114,337</w:t>
            </w:r>
          </w:p>
        </w:tc>
        <w:tc>
          <w:tcPr>
            <w:tcW w:w="52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(75,141)</w:t>
            </w:r>
          </w:p>
        </w:tc>
        <w:tc>
          <w:tcPr>
            <w:tcW w:w="360" w:type="dxa"/>
            <w:vAlign w:val="bottom"/>
          </w:tcPr>
          <w:p>
            <w:pPr>
              <w:spacing w:after="0"/>
              <w:rPr>
                <w:sz w:val="13"/>
                <w:szCs w:val="13"/>
                <w:color w:val="auto"/>
              </w:rPr>
            </w:pPr>
          </w:p>
        </w:tc>
        <w:tc>
          <w:tcPr>
            <w:tcW w:w="1060" w:type="dxa"/>
            <w:vAlign w:val="bottom"/>
          </w:tcPr>
          <w:p>
            <w:pPr>
              <w:jc w:val="right"/>
              <w:ind w:right="141"/>
              <w:spacing w:after="0"/>
              <w:rPr>
                <w:sz w:val="20"/>
                <w:szCs w:val="20"/>
                <w:color w:val="auto"/>
              </w:rPr>
            </w:pPr>
            <w:r>
              <w:rPr>
                <w:rFonts w:ascii="Arial" w:cs="Arial" w:eastAsia="Arial" w:hAnsi="Arial"/>
                <w:sz w:val="12"/>
                <w:szCs w:val="12"/>
                <w:b w:val="1"/>
                <w:bCs w:val="1"/>
                <w:color w:val="auto"/>
              </w:rPr>
              <w:t>150,566</w:t>
            </w:r>
          </w:p>
        </w:tc>
        <w:tc>
          <w:tcPr>
            <w:tcW w:w="52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4,956</w:t>
            </w:r>
          </w:p>
        </w:tc>
        <w:tc>
          <w:tcPr>
            <w:tcW w:w="0" w:type="dxa"/>
            <w:vAlign w:val="bottom"/>
          </w:tcPr>
          <w:p>
            <w:pPr>
              <w:spacing w:after="0"/>
              <w:rPr>
                <w:sz w:val="1"/>
                <w:szCs w:val="1"/>
                <w:color w:val="auto"/>
              </w:rPr>
            </w:pPr>
          </w:p>
        </w:tc>
      </w:tr>
      <w:tr>
        <w:trPr>
          <w:trHeight w:val="179"/>
        </w:trPr>
        <w:tc>
          <w:tcPr>
            <w:tcW w:w="5880" w:type="dxa"/>
            <w:vAlign w:val="bottom"/>
          </w:tcPr>
          <w:p>
            <w:pPr>
              <w:ind w:left="160"/>
              <w:spacing w:after="0"/>
              <w:rPr>
                <w:sz w:val="20"/>
                <w:szCs w:val="20"/>
                <w:color w:val="auto"/>
              </w:rPr>
            </w:pPr>
            <w:r>
              <w:rPr>
                <w:rFonts w:ascii="Arial" w:cs="Arial" w:eastAsia="Arial" w:hAnsi="Arial"/>
                <w:sz w:val="12"/>
                <w:szCs w:val="12"/>
                <w:color w:val="auto"/>
              </w:rPr>
              <w:t>Add: Dividends paid-common stock outstanding</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7,673</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7,610</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23,388</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23,016</w:t>
            </w:r>
          </w:p>
        </w:tc>
        <w:tc>
          <w:tcPr>
            <w:tcW w:w="0" w:type="dxa"/>
            <w:vAlign w:val="bottom"/>
          </w:tcPr>
          <w:p>
            <w:pPr>
              <w:spacing w:after="0"/>
              <w:rPr>
                <w:sz w:val="1"/>
                <w:szCs w:val="1"/>
                <w:color w:val="auto"/>
              </w:rPr>
            </w:pPr>
          </w:p>
        </w:tc>
      </w:tr>
      <w:tr>
        <w:trPr>
          <w:trHeight w:val="169"/>
        </w:trPr>
        <w:tc>
          <w:tcPr>
            <w:tcW w:w="5880" w:type="dxa"/>
            <w:vAlign w:val="bottom"/>
          </w:tcPr>
          <w:p>
            <w:pPr>
              <w:ind w:left="160"/>
              <w:spacing w:after="0"/>
              <w:rPr>
                <w:sz w:val="20"/>
                <w:szCs w:val="20"/>
                <w:color w:val="auto"/>
              </w:rPr>
            </w:pPr>
            <w:r>
              <w:rPr>
                <w:rFonts w:ascii="Arial" w:cs="Arial" w:eastAsia="Arial" w:hAnsi="Arial"/>
                <w:sz w:val="12"/>
                <w:szCs w:val="12"/>
                <w:color w:val="auto"/>
              </w:rPr>
              <w:t>Numerator for basic earnings (loss) per share</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122,010</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(67,531)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173,954</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27,972</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160"/>
              <w:spacing w:after="0"/>
              <w:rPr>
                <w:sz w:val="20"/>
                <w:szCs w:val="20"/>
                <w:color w:val="auto"/>
              </w:rPr>
            </w:pPr>
            <w:r>
              <w:rPr>
                <w:rFonts w:ascii="Arial" w:cs="Arial" w:eastAsia="Arial" w:hAnsi="Arial"/>
                <w:sz w:val="12"/>
                <w:szCs w:val="12"/>
                <w:color w:val="auto"/>
              </w:rPr>
              <w:t>Add: Additional undistributed earnings due to dilutive stock options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880" w:type="dxa"/>
            <w:vAlign w:val="bottom"/>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2</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3</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5880" w:type="dxa"/>
            <w:vAlign w:val="bottom"/>
          </w:tcPr>
          <w:p>
            <w:pPr>
              <w:ind w:left="100"/>
              <w:spacing w:after="0"/>
              <w:rPr>
                <w:sz w:val="20"/>
                <w:szCs w:val="20"/>
                <w:color w:val="auto"/>
              </w:rPr>
            </w:pPr>
            <w:r>
              <w:rPr>
                <w:rFonts w:ascii="Arial" w:cs="Arial" w:eastAsia="Arial" w:hAnsi="Arial"/>
                <w:sz w:val="12"/>
                <w:szCs w:val="12"/>
                <w:color w:val="auto"/>
              </w:rPr>
              <w:t>Numerator for diluted earnings (loss) per share</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122,012</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(67,531)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173,957</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27,972</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Arial" w:cs="Arial" w:eastAsia="Arial" w:hAnsi="Arial"/>
                <w:sz w:val="12"/>
                <w:szCs w:val="12"/>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8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880" w:type="dxa"/>
            <w:vAlign w:val="bottom"/>
          </w:tcPr>
          <w:p>
            <w:pPr>
              <w:ind w:left="100"/>
              <w:spacing w:after="0"/>
              <w:rPr>
                <w:sz w:val="20"/>
                <w:szCs w:val="20"/>
                <w:color w:val="auto"/>
              </w:rPr>
            </w:pPr>
            <w:r>
              <w:rPr>
                <w:rFonts w:ascii="Arial" w:cs="Arial" w:eastAsia="Arial" w:hAnsi="Arial"/>
                <w:sz w:val="12"/>
                <w:szCs w:val="12"/>
                <w:color w:val="auto"/>
              </w:rPr>
              <w:t>Denominator for basic earnings (loss) per share: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80" w:type="dxa"/>
            <w:vAlign w:val="bottom"/>
          </w:tcPr>
          <w:p>
            <w:pPr>
              <w:ind w:left="160"/>
              <w:spacing w:after="0"/>
              <w:rPr>
                <w:sz w:val="20"/>
                <w:szCs w:val="20"/>
                <w:color w:val="auto"/>
              </w:rPr>
            </w:pPr>
            <w:r>
              <w:rPr>
                <w:rFonts w:ascii="Arial" w:cs="Arial" w:eastAsia="Arial" w:hAnsi="Arial"/>
                <w:sz w:val="12"/>
                <w:szCs w:val="12"/>
                <w:color w:val="auto"/>
              </w:rPr>
              <w:t>Weighted average shares outstanding</w:t>
            </w:r>
          </w:p>
        </w:tc>
        <w:tc>
          <w:tcPr>
            <w:tcW w:w="280" w:type="dxa"/>
            <w:vAlign w:val="bottom"/>
          </w:tcPr>
          <w:p>
            <w:pPr>
              <w:spacing w:after="0"/>
              <w:rPr>
                <w:sz w:val="16"/>
                <w:szCs w:val="16"/>
                <w:color w:val="auto"/>
              </w:rPr>
            </w:pPr>
          </w:p>
        </w:tc>
        <w:tc>
          <w:tcPr>
            <w:tcW w:w="1000" w:type="dxa"/>
            <w:vAlign w:val="bottom"/>
          </w:tcPr>
          <w:p>
            <w:pPr>
              <w:jc w:val="right"/>
              <w:ind w:right="141"/>
              <w:spacing w:after="0"/>
              <w:rPr>
                <w:sz w:val="20"/>
                <w:szCs w:val="20"/>
                <w:color w:val="auto"/>
              </w:rPr>
            </w:pPr>
            <w:r>
              <w:rPr>
                <w:rFonts w:ascii="Arial" w:cs="Arial" w:eastAsia="Arial" w:hAnsi="Arial"/>
                <w:sz w:val="12"/>
                <w:szCs w:val="12"/>
                <w:b w:val="1"/>
                <w:bCs w:val="1"/>
                <w:color w:val="auto"/>
              </w:rPr>
              <w:t>4,700</w:t>
            </w:r>
          </w:p>
        </w:tc>
        <w:tc>
          <w:tcPr>
            <w:tcW w:w="520" w:type="dxa"/>
            <w:vAlign w:val="bottom"/>
          </w:tcPr>
          <w:p>
            <w:pPr>
              <w:spacing w:after="0"/>
              <w:rPr>
                <w:sz w:val="16"/>
                <w:szCs w:val="16"/>
                <w:color w:val="auto"/>
              </w:rPr>
            </w:pP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4,842</w:t>
            </w:r>
          </w:p>
        </w:tc>
        <w:tc>
          <w:tcPr>
            <w:tcW w:w="360" w:type="dxa"/>
            <w:vAlign w:val="bottom"/>
          </w:tcPr>
          <w:p>
            <w:pPr>
              <w:spacing w:after="0"/>
              <w:rPr>
                <w:sz w:val="16"/>
                <w:szCs w:val="16"/>
                <w:color w:val="auto"/>
              </w:rPr>
            </w:pPr>
          </w:p>
        </w:tc>
        <w:tc>
          <w:tcPr>
            <w:tcW w:w="1060" w:type="dxa"/>
            <w:vAlign w:val="bottom"/>
          </w:tcPr>
          <w:p>
            <w:pPr>
              <w:jc w:val="right"/>
              <w:ind w:right="141"/>
              <w:spacing w:after="0"/>
              <w:rPr>
                <w:sz w:val="20"/>
                <w:szCs w:val="20"/>
                <w:color w:val="auto"/>
              </w:rPr>
            </w:pPr>
            <w:r>
              <w:rPr>
                <w:rFonts w:ascii="Arial" w:cs="Arial" w:eastAsia="Arial" w:hAnsi="Arial"/>
                <w:sz w:val="12"/>
                <w:szCs w:val="12"/>
                <w:b w:val="1"/>
                <w:bCs w:val="1"/>
                <w:color w:val="auto"/>
              </w:rPr>
              <w:t>4,729</w:t>
            </w:r>
          </w:p>
        </w:tc>
        <w:tc>
          <w:tcPr>
            <w:tcW w:w="520" w:type="dxa"/>
            <w:vAlign w:val="bottom"/>
          </w:tcPr>
          <w:p>
            <w:pPr>
              <w:spacing w:after="0"/>
              <w:rPr>
                <w:sz w:val="16"/>
                <w:szCs w:val="16"/>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4,857</w:t>
            </w:r>
          </w:p>
        </w:tc>
        <w:tc>
          <w:tcPr>
            <w:tcW w:w="0" w:type="dxa"/>
            <w:vAlign w:val="bottom"/>
          </w:tcPr>
          <w:p>
            <w:pPr>
              <w:spacing w:after="0"/>
              <w:rPr>
                <w:sz w:val="1"/>
                <w:szCs w:val="1"/>
                <w:color w:val="auto"/>
              </w:rPr>
            </w:pPr>
          </w:p>
        </w:tc>
      </w:tr>
      <w:tr>
        <w:trPr>
          <w:trHeight w:val="175"/>
        </w:trPr>
        <w:tc>
          <w:tcPr>
            <w:tcW w:w="5880" w:type="dxa"/>
            <w:vAlign w:val="bottom"/>
          </w:tcPr>
          <w:p>
            <w:pPr>
              <w:ind w:left="160"/>
              <w:spacing w:after="0"/>
              <w:rPr>
                <w:sz w:val="20"/>
                <w:szCs w:val="20"/>
                <w:color w:val="auto"/>
              </w:rPr>
            </w:pPr>
            <w:r>
              <w:rPr>
                <w:rFonts w:ascii="Arial" w:cs="Arial" w:eastAsia="Arial" w:hAnsi="Arial"/>
                <w:sz w:val="12"/>
                <w:szCs w:val="12"/>
                <w:color w:val="auto"/>
              </w:rPr>
              <w:t>Add: Effect of dilutive stock options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13</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15</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5"/>
        </w:trPr>
        <w:tc>
          <w:tcPr>
            <w:tcW w:w="5880" w:type="dxa"/>
            <w:vAlign w:val="bottom"/>
          </w:tcPr>
          <w:p>
            <w:pPr>
              <w:ind w:left="100"/>
              <w:spacing w:after="0"/>
              <w:rPr>
                <w:sz w:val="20"/>
                <w:szCs w:val="20"/>
                <w:color w:val="auto"/>
              </w:rPr>
            </w:pPr>
            <w:r>
              <w:rPr>
                <w:rFonts w:ascii="Arial" w:cs="Arial" w:eastAsia="Arial" w:hAnsi="Arial"/>
                <w:sz w:val="12"/>
                <w:szCs w:val="12"/>
                <w:color w:val="auto"/>
              </w:rPr>
              <w:t>Denominator for diluted earnings (loss) per share</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4,713</w:t>
            </w: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4,842</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4,744</w:t>
            </w: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4,870</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880" w:type="dxa"/>
            <w:vAlign w:val="bottom"/>
            <w:vMerge w:val="continue"/>
          </w:tcPr>
          <w:p>
            <w:pPr>
              <w:spacing w:after="0"/>
              <w:rPr>
                <w:sz w:val="12"/>
                <w:szCs w:val="12"/>
                <w:color w:val="auto"/>
              </w:rPr>
            </w:pPr>
          </w:p>
        </w:tc>
        <w:tc>
          <w:tcPr>
            <w:tcW w:w="28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00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rPr>
              <w:t>25.96</w:t>
            </w:r>
          </w:p>
        </w:tc>
        <w:tc>
          <w:tcPr>
            <w:tcW w:w="520" w:type="dxa"/>
            <w:vAlign w:val="bottom"/>
            <w:vMerge w:val="restart"/>
          </w:tcPr>
          <w:p>
            <w:pPr>
              <w:jc w:val="right"/>
              <w:ind w:right="319"/>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ind w:right="120"/>
              <w:spacing w:after="0"/>
              <w:rPr>
                <w:sz w:val="20"/>
                <w:szCs w:val="20"/>
                <w:color w:val="auto"/>
              </w:rPr>
            </w:pPr>
            <w:r>
              <w:rPr>
                <w:rFonts w:ascii="Arial" w:cs="Arial" w:eastAsia="Arial" w:hAnsi="Arial"/>
                <w:sz w:val="12"/>
                <w:szCs w:val="12"/>
                <w:color w:val="auto"/>
              </w:rPr>
              <w:t>(13.95)</w:t>
            </w:r>
          </w:p>
        </w:tc>
        <w:tc>
          <w:tcPr>
            <w:tcW w:w="360" w:type="dxa"/>
            <w:vAlign w:val="bottom"/>
            <w:vMerge w:val="restart"/>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rPr>
              <w:t>36.78</w:t>
            </w:r>
          </w:p>
        </w:tc>
        <w:tc>
          <w:tcPr>
            <w:tcW w:w="520" w:type="dxa"/>
            <w:vAlign w:val="bottom"/>
            <w:vMerge w:val="restart"/>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80"/>
              <w:spacing w:after="0"/>
              <w:rPr>
                <w:sz w:val="20"/>
                <w:szCs w:val="20"/>
                <w:color w:val="auto"/>
              </w:rPr>
            </w:pPr>
            <w:r>
              <w:rPr>
                <w:rFonts w:ascii="Arial" w:cs="Arial" w:eastAsia="Arial" w:hAnsi="Arial"/>
                <w:sz w:val="12"/>
                <w:szCs w:val="12"/>
                <w:color w:val="auto"/>
              </w:rPr>
              <w:t>5.76</w:t>
            </w:r>
          </w:p>
        </w:tc>
        <w:tc>
          <w:tcPr>
            <w:tcW w:w="0" w:type="dxa"/>
            <w:vAlign w:val="bottom"/>
          </w:tcPr>
          <w:p>
            <w:pPr>
              <w:spacing w:after="0"/>
              <w:rPr>
                <w:sz w:val="1"/>
                <w:szCs w:val="1"/>
                <w:color w:val="auto"/>
              </w:rPr>
            </w:pPr>
          </w:p>
        </w:tc>
      </w:tr>
      <w:tr>
        <w:trPr>
          <w:trHeight w:val="183"/>
        </w:trPr>
        <w:tc>
          <w:tcPr>
            <w:tcW w:w="5880" w:type="dxa"/>
            <w:vAlign w:val="bottom"/>
          </w:tcPr>
          <w:p>
            <w:pPr>
              <w:ind w:left="100"/>
              <w:spacing w:after="0"/>
              <w:rPr>
                <w:sz w:val="20"/>
                <w:szCs w:val="20"/>
                <w:color w:val="auto"/>
              </w:rPr>
            </w:pPr>
            <w:r>
              <w:rPr>
                <w:rFonts w:ascii="Arial" w:cs="Arial" w:eastAsia="Arial" w:hAnsi="Arial"/>
                <w:sz w:val="12"/>
                <w:szCs w:val="12"/>
                <w:b w:val="1"/>
                <w:bCs w:val="1"/>
                <w:color w:val="auto"/>
              </w:rPr>
              <w:t>Basic earnings (loss) per share</w:t>
            </w:r>
          </w:p>
        </w:tc>
        <w:tc>
          <w:tcPr>
            <w:tcW w:w="28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80" w:type="dxa"/>
            <w:vAlign w:val="bottom"/>
          </w:tcPr>
          <w:p>
            <w:pPr>
              <w:ind w:left="100"/>
              <w:spacing w:after="0"/>
              <w:rPr>
                <w:sz w:val="20"/>
                <w:szCs w:val="20"/>
                <w:color w:val="auto"/>
              </w:rPr>
            </w:pPr>
            <w:r>
              <w:rPr>
                <w:rFonts w:ascii="Arial" w:cs="Arial" w:eastAsia="Arial" w:hAnsi="Arial"/>
                <w:sz w:val="12"/>
                <w:szCs w:val="12"/>
                <w:b w:val="1"/>
                <w:bCs w:val="1"/>
                <w:color w:val="auto"/>
              </w:rPr>
              <w:t>Diluted earnings (loss) per share</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25.89</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(13.95)</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rPr>
              <w:t>36.67</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8"/>
          <w:szCs w:val="8"/>
          <w:color w:val="auto"/>
        </w:rPr>
        <w:t>____________</w:t>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Earnings (loss) per share amounts may not recalculate due to rounding.</w:t>
      </w:r>
    </w:p>
    <w:p>
      <w:pPr>
        <w:spacing w:after="0" w:line="115" w:lineRule="exact"/>
        <w:rPr>
          <w:sz w:val="20"/>
          <w:szCs w:val="20"/>
          <w:color w:val="auto"/>
        </w:rPr>
      </w:pPr>
    </w:p>
    <w:p>
      <w:pPr>
        <w:ind w:left="220" w:hanging="219"/>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9"/>
          <w:szCs w:val="9"/>
          <w:color w:val="auto"/>
        </w:rPr>
        <w:t>Percent of undistributed losses allocated to common stockholders is 100% in the three months ended June 30, 2022 as participating securities are not contractually obligated to share in losses.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Diluted earnings (loss) per share excludes the following weighted average potential common shares, as the effect would be antidilutive, as computed under the treasury stock method: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40" w:type="dxa"/>
            <w:vAlign w:val="bottom"/>
          </w:tcPr>
          <w:p>
            <w:pPr>
              <w:spacing w:after="0"/>
              <w:rPr>
                <w:sz w:val="10"/>
                <w:szCs w:val="10"/>
                <w:color w:val="auto"/>
              </w:rPr>
            </w:pPr>
          </w:p>
        </w:tc>
        <w:tc>
          <w:tcPr>
            <w:tcW w:w="1720" w:type="dxa"/>
            <w:vAlign w:val="bottom"/>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b w:val="1"/>
                <w:bCs w:val="1"/>
                <w:color w:val="auto"/>
              </w:rPr>
              <w:t>Six Months Ended</w:t>
            </w:r>
          </w:p>
        </w:tc>
        <w:tc>
          <w:tcPr>
            <w:tcW w:w="800" w:type="dxa"/>
            <w:vAlign w:val="bottom"/>
          </w:tcPr>
          <w:p>
            <w:pPr>
              <w:spacing w:after="0"/>
              <w:rPr>
                <w:sz w:val="10"/>
                <w:szCs w:val="10"/>
                <w:color w:val="auto"/>
              </w:rPr>
            </w:pPr>
          </w:p>
        </w:tc>
      </w:tr>
      <w:tr>
        <w:trPr>
          <w:trHeight w:val="155"/>
        </w:trPr>
        <w:tc>
          <w:tcPr>
            <w:tcW w:w="6140" w:type="dxa"/>
            <w:vAlign w:val="bottom"/>
          </w:tcPr>
          <w:p>
            <w:pPr>
              <w:spacing w:after="0"/>
              <w:rPr>
                <w:sz w:val="13"/>
                <w:szCs w:val="13"/>
                <w:color w:val="auto"/>
              </w:rPr>
            </w:pPr>
          </w:p>
        </w:tc>
        <w:tc>
          <w:tcPr>
            <w:tcW w:w="17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June 30</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r>
      <w:tr>
        <w:trPr>
          <w:trHeight w:val="152"/>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720" w:type="dxa"/>
            <w:vAlign w:val="bottom"/>
            <w:tcBorders>
              <w:bottom w:val="single" w:sz="8" w:color="auto"/>
            </w:tcBorders>
          </w:tcPr>
          <w:p>
            <w:pPr>
              <w:jc w:val="right"/>
              <w:ind w:right="963"/>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89"/>
              </w:rPr>
              <w:t>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10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42"/>
              <w:spacing w:after="0"/>
              <w:rPr>
                <w:sz w:val="20"/>
                <w:szCs w:val="20"/>
                <w:color w:val="auto"/>
              </w:rPr>
            </w:pPr>
            <w:r>
              <w:rPr>
                <w:rFonts w:ascii="Arial" w:cs="Arial" w:eastAsia="Arial" w:hAnsi="Arial"/>
                <w:sz w:val="11"/>
                <w:szCs w:val="11"/>
                <w:color w:val="auto"/>
              </w:rPr>
              <w:t>2022</w:t>
            </w:r>
          </w:p>
        </w:tc>
      </w:tr>
      <w:tr>
        <w:trPr>
          <w:trHeight w:val="163"/>
        </w:trPr>
        <w:tc>
          <w:tcPr>
            <w:tcW w:w="6140" w:type="dxa"/>
            <w:vAlign w:val="bottom"/>
          </w:tcPr>
          <w:p>
            <w:pPr>
              <w:ind w:left="100"/>
              <w:spacing w:after="0"/>
              <w:rPr>
                <w:sz w:val="20"/>
                <w:szCs w:val="20"/>
                <w:color w:val="auto"/>
              </w:rPr>
            </w:pPr>
            <w:r>
              <w:rPr>
                <w:rFonts w:ascii="Arial" w:cs="Arial" w:eastAsia="Arial" w:hAnsi="Arial"/>
                <w:sz w:val="12"/>
                <w:szCs w:val="12"/>
                <w:color w:val="auto"/>
              </w:rPr>
              <w:t>Weighted average restricted stock</w:t>
            </w:r>
          </w:p>
        </w:tc>
        <w:tc>
          <w:tcPr>
            <w:tcW w:w="1720" w:type="dxa"/>
            <w:vAlign w:val="bottom"/>
          </w:tcPr>
          <w:p>
            <w:pPr>
              <w:jc w:val="right"/>
              <w:ind w:right="543"/>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1220" w:type="dxa"/>
            <w:vAlign w:val="bottom"/>
          </w:tcPr>
          <w:p>
            <w:pPr>
              <w:jc w:val="right"/>
              <w:ind w:right="882"/>
              <w:spacing w:after="0"/>
              <w:rPr>
                <w:sz w:val="20"/>
                <w:szCs w:val="20"/>
                <w:color w:val="auto"/>
              </w:rPr>
            </w:pPr>
            <w:r>
              <w:rPr>
                <w:rFonts w:ascii="Arial" w:cs="Arial" w:eastAsia="Arial" w:hAnsi="Arial"/>
                <w:sz w:val="12"/>
                <w:szCs w:val="12"/>
                <w:color w:val="auto"/>
              </w:rPr>
              <w:t>17</w:t>
            </w:r>
          </w:p>
        </w:tc>
        <w:tc>
          <w:tcPr>
            <w:tcW w:w="1040" w:type="dxa"/>
            <w:vAlign w:val="bottom"/>
          </w:tcPr>
          <w:p>
            <w:pPr>
              <w:jc w:val="right"/>
              <w:ind w:right="563"/>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69"/>
        </w:trPr>
        <w:tc>
          <w:tcPr>
            <w:tcW w:w="6140" w:type="dxa"/>
            <w:vAlign w:val="bottom"/>
          </w:tcPr>
          <w:p>
            <w:pPr>
              <w:ind w:left="100"/>
              <w:spacing w:after="0"/>
              <w:rPr>
                <w:sz w:val="20"/>
                <w:szCs w:val="20"/>
                <w:color w:val="auto"/>
              </w:rPr>
            </w:pPr>
            <w:r>
              <w:rPr>
                <w:rFonts w:ascii="Arial" w:cs="Arial" w:eastAsia="Arial" w:hAnsi="Arial"/>
                <w:sz w:val="12"/>
                <w:szCs w:val="12"/>
                <w:color w:val="auto"/>
              </w:rPr>
              <w:t>Weighted average stock options</w:t>
            </w:r>
          </w:p>
        </w:tc>
        <w:tc>
          <w:tcPr>
            <w:tcW w:w="1720" w:type="dxa"/>
            <w:vAlign w:val="bottom"/>
          </w:tcPr>
          <w:p>
            <w:pPr>
              <w:jc w:val="right"/>
              <w:ind w:right="543"/>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4"/>
                <w:szCs w:val="14"/>
                <w:color w:val="auto"/>
              </w:rPr>
            </w:pPr>
          </w:p>
        </w:tc>
        <w:tc>
          <w:tcPr>
            <w:tcW w:w="1220" w:type="dxa"/>
            <w:vAlign w:val="bottom"/>
          </w:tcPr>
          <w:p>
            <w:pPr>
              <w:jc w:val="right"/>
              <w:ind w:right="882"/>
              <w:spacing w:after="0"/>
              <w:rPr>
                <w:sz w:val="20"/>
                <w:szCs w:val="20"/>
                <w:color w:val="auto"/>
              </w:rPr>
            </w:pPr>
            <w:r>
              <w:rPr>
                <w:rFonts w:ascii="Arial" w:cs="Arial" w:eastAsia="Arial" w:hAnsi="Arial"/>
                <w:sz w:val="12"/>
                <w:szCs w:val="12"/>
                <w:color w:val="auto"/>
              </w:rPr>
              <w:t>13</w:t>
            </w:r>
          </w:p>
        </w:tc>
        <w:tc>
          <w:tcPr>
            <w:tcW w:w="1040" w:type="dxa"/>
            <w:vAlign w:val="bottom"/>
          </w:tcPr>
          <w:p>
            <w:pPr>
              <w:jc w:val="right"/>
              <w:ind w:right="563"/>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3"/>
          <w:szCs w:val="13"/>
          <w:color w:val="auto"/>
        </w:rPr>
        <w:t>The diluted earnings (loss) per share amounts for the three and six months ended June 30, 2023 and June 30, 2022 exclude the effects of 105,000 stock options and contingently issuable shares outstanding as their inclusion would have been antidilutive due to a market condition.</w:t>
      </w:r>
    </w:p>
    <w:p>
      <w:pPr>
        <w:spacing w:after="0" w:line="67" w:lineRule="exact"/>
        <w:rPr>
          <w:sz w:val="20"/>
          <w:szCs w:val="20"/>
          <w:color w:val="auto"/>
        </w:rPr>
      </w:pPr>
    </w:p>
    <w:p>
      <w:pPr>
        <w:ind w:right="320"/>
        <w:spacing w:after="0" w:line="279" w:lineRule="auto"/>
        <w:rPr>
          <w:sz w:val="20"/>
          <w:szCs w:val="20"/>
          <w:color w:val="auto"/>
        </w:rPr>
      </w:pPr>
      <w:r>
        <w:rPr>
          <w:rFonts w:ascii="Arial" w:cs="Arial" w:eastAsia="Arial" w:hAnsi="Arial"/>
          <w:sz w:val="13"/>
          <w:szCs w:val="13"/>
          <w:color w:val="auto"/>
        </w:rPr>
        <w:t>In the three and six months ended June 30, 2023, the Company declared regular dividends totaling $1.65 and $4.95 per common share, respectively. In the three and six months ended June 30, 2022, the Company declared regular dividends totaling $1.58 and $4.74 per common share,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color w:val="auto"/>
        </w:rPr>
        <w:t>11. PENSION AND POSTRETIREMENT PLANS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Defined Benefit Plans. </w:t>
      </w:r>
      <w:r>
        <w:rPr>
          <w:rFonts w:ascii="Arial" w:cs="Arial" w:eastAsia="Arial" w:hAnsi="Arial"/>
          <w:sz w:val="13"/>
          <w:szCs w:val="13"/>
          <w:color w:val="auto"/>
        </w:rPr>
        <w:t>The total benefit arising from the Company’s defined benefit pension plans consists of the following components: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gridSpan w:val="2"/>
          </w:tcPr>
          <w:p>
            <w:pPr>
              <w:jc w:val="right"/>
              <w:ind w:right="19"/>
              <w:spacing w:after="0"/>
              <w:rPr>
                <w:sz w:val="20"/>
                <w:szCs w:val="20"/>
                <w:color w:val="auto"/>
              </w:rPr>
            </w:pPr>
            <w:r>
              <w:rPr>
                <w:rFonts w:ascii="Arial" w:cs="Arial" w:eastAsia="Arial" w:hAnsi="Arial"/>
                <w:sz w:val="11"/>
                <w:szCs w:val="11"/>
                <w:b w:val="1"/>
                <w:bCs w:val="1"/>
                <w:color w:val="auto"/>
              </w:rPr>
              <w:t>Six Months Ended</w:t>
            </w:r>
          </w:p>
        </w:tc>
        <w:tc>
          <w:tcPr>
            <w:tcW w:w="840" w:type="dxa"/>
            <w:vAlign w:val="bottom"/>
          </w:tcPr>
          <w:p>
            <w:pPr>
              <w:spacing w:after="0"/>
              <w:rPr>
                <w:sz w:val="10"/>
                <w:szCs w:val="10"/>
                <w:color w:val="auto"/>
              </w:rPr>
            </w:pPr>
          </w:p>
        </w:tc>
      </w:tr>
      <w:tr>
        <w:trPr>
          <w:trHeight w:val="155"/>
        </w:trPr>
        <w:tc>
          <w:tcPr>
            <w:tcW w:w="57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1"/>
                <w:szCs w:val="11"/>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r>
      <w:tr>
        <w:trPr>
          <w:trHeight w:val="14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color w:val="auto"/>
                <w:w w:val="97"/>
              </w:rPr>
              <w:t>2022</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color w:val="auto"/>
              </w:rPr>
              <w:t>2022</w:t>
            </w:r>
          </w:p>
        </w:tc>
      </w:tr>
      <w:tr>
        <w:trPr>
          <w:trHeight w:val="158"/>
        </w:trPr>
        <w:tc>
          <w:tcPr>
            <w:tcW w:w="5700" w:type="dxa"/>
            <w:vAlign w:val="bottom"/>
          </w:tcPr>
          <w:p>
            <w:pPr>
              <w:ind w:left="20"/>
              <w:spacing w:after="0"/>
              <w:rPr>
                <w:sz w:val="20"/>
                <w:szCs w:val="20"/>
                <w:color w:val="auto"/>
              </w:rPr>
            </w:pPr>
            <w:r>
              <w:rPr>
                <w:rFonts w:ascii="Arial" w:cs="Arial" w:eastAsia="Arial" w:hAnsi="Arial"/>
                <w:sz w:val="12"/>
                <w:szCs w:val="12"/>
                <w:color w:val="auto"/>
              </w:rPr>
              <w:t>Service cost</w:t>
            </w:r>
          </w:p>
        </w:tc>
        <w:tc>
          <w:tcPr>
            <w:tcW w:w="320" w:type="dxa"/>
            <w:vAlign w:val="bottom"/>
          </w:tcPr>
          <w:p>
            <w:pPr>
              <w:jc w:val="right"/>
              <w:ind w:right="159"/>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7,573</w:t>
            </w:r>
          </w:p>
        </w:tc>
        <w:tc>
          <w:tcPr>
            <w:tcW w:w="560" w:type="dxa"/>
            <w:vAlign w:val="bottom"/>
          </w:tcPr>
          <w:p>
            <w:pPr>
              <w:jc w:val="right"/>
              <w:ind w:right="379"/>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4,993</w:t>
            </w:r>
          </w:p>
        </w:tc>
        <w:tc>
          <w:tcPr>
            <w:tcW w:w="360" w:type="dxa"/>
            <w:vAlign w:val="bottom"/>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16,816</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11,024</w:t>
            </w:r>
          </w:p>
        </w:tc>
      </w:tr>
      <w:tr>
        <w:trPr>
          <w:trHeight w:val="179"/>
        </w:trPr>
        <w:tc>
          <w:tcPr>
            <w:tcW w:w="5700" w:type="dxa"/>
            <w:vAlign w:val="bottom"/>
          </w:tcPr>
          <w:p>
            <w:pPr>
              <w:ind w:left="20"/>
              <w:spacing w:after="0"/>
              <w:rPr>
                <w:sz w:val="20"/>
                <w:szCs w:val="20"/>
                <w:color w:val="auto"/>
              </w:rPr>
            </w:pPr>
            <w:r>
              <w:rPr>
                <w:rFonts w:ascii="Arial" w:cs="Arial" w:eastAsia="Arial" w:hAnsi="Arial"/>
                <w:sz w:val="12"/>
                <w:szCs w:val="12"/>
                <w:color w:val="auto"/>
              </w:rPr>
              <w:t>Interest cost</w:t>
            </w:r>
          </w:p>
        </w:tc>
        <w:tc>
          <w:tcPr>
            <w:tcW w:w="320" w:type="dxa"/>
            <w:vAlign w:val="bottom"/>
          </w:tcPr>
          <w:p>
            <w:pPr>
              <w:spacing w:after="0"/>
              <w:rPr>
                <w:sz w:val="15"/>
                <w:szCs w:val="15"/>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11,559</w:t>
            </w:r>
          </w:p>
        </w:tc>
        <w:tc>
          <w:tcPr>
            <w:tcW w:w="56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7,611</w:t>
            </w:r>
          </w:p>
        </w:tc>
        <w:tc>
          <w:tcPr>
            <w:tcW w:w="360" w:type="dxa"/>
            <w:vAlign w:val="bottom"/>
          </w:tcPr>
          <w:p>
            <w:pPr>
              <w:spacing w:after="0"/>
              <w:rPr>
                <w:sz w:val="15"/>
                <w:szCs w:val="15"/>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23,093</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15,281</w:t>
            </w:r>
          </w:p>
        </w:tc>
      </w:tr>
      <w:tr>
        <w:trPr>
          <w:trHeight w:val="172"/>
        </w:trPr>
        <w:tc>
          <w:tcPr>
            <w:tcW w:w="5700" w:type="dxa"/>
            <w:vAlign w:val="bottom"/>
          </w:tcPr>
          <w:p>
            <w:pPr>
              <w:ind w:left="20"/>
              <w:spacing w:after="0"/>
              <w:rPr>
                <w:sz w:val="20"/>
                <w:szCs w:val="20"/>
                <w:color w:val="auto"/>
              </w:rPr>
            </w:pPr>
            <w:r>
              <w:rPr>
                <w:rFonts w:ascii="Arial" w:cs="Arial" w:eastAsia="Arial" w:hAnsi="Arial"/>
                <w:sz w:val="12"/>
                <w:szCs w:val="12"/>
                <w:color w:val="auto"/>
              </w:rPr>
              <w:t>Expected return on assets</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(38,085)</w:t>
            </w:r>
          </w:p>
        </w:tc>
        <w:tc>
          <w:tcPr>
            <w:tcW w:w="56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(41,963)</w:t>
            </w:r>
          </w:p>
        </w:tc>
        <w:tc>
          <w:tcPr>
            <w:tcW w:w="36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(76,423)</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(83,926)</w:t>
            </w:r>
          </w:p>
        </w:tc>
      </w:tr>
      <w:tr>
        <w:trPr>
          <w:trHeight w:val="172"/>
        </w:trPr>
        <w:tc>
          <w:tcPr>
            <w:tcW w:w="5700" w:type="dxa"/>
            <w:vAlign w:val="bottom"/>
          </w:tcPr>
          <w:p>
            <w:pPr>
              <w:ind w:left="20"/>
              <w:spacing w:after="0"/>
              <w:rPr>
                <w:sz w:val="20"/>
                <w:szCs w:val="20"/>
                <w:color w:val="auto"/>
              </w:rPr>
            </w:pPr>
            <w:r>
              <w:rPr>
                <w:rFonts w:ascii="Arial" w:cs="Arial" w:eastAsia="Arial" w:hAnsi="Arial"/>
                <w:sz w:val="12"/>
                <w:szCs w:val="12"/>
                <w:color w:val="auto"/>
              </w:rPr>
              <w:t>Amortization of prior service cost</w:t>
            </w:r>
          </w:p>
        </w:tc>
        <w:tc>
          <w:tcPr>
            <w:tcW w:w="32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412</w:t>
            </w:r>
          </w:p>
        </w:tc>
        <w:tc>
          <w:tcPr>
            <w:tcW w:w="56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709</w:t>
            </w:r>
          </w:p>
        </w:tc>
        <w:tc>
          <w:tcPr>
            <w:tcW w:w="36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822</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1,418</w:t>
            </w:r>
          </w:p>
        </w:tc>
      </w:tr>
      <w:tr>
        <w:trPr>
          <w:trHeight w:val="174"/>
        </w:trPr>
        <w:tc>
          <w:tcPr>
            <w:tcW w:w="5700" w:type="dxa"/>
            <w:vAlign w:val="bottom"/>
          </w:tcPr>
          <w:p>
            <w:pPr>
              <w:ind w:left="20"/>
              <w:spacing w:after="0"/>
              <w:rPr>
                <w:sz w:val="20"/>
                <w:szCs w:val="20"/>
                <w:color w:val="auto"/>
              </w:rPr>
            </w:pPr>
            <w:r>
              <w:rPr>
                <w:rFonts w:ascii="Arial" w:cs="Arial" w:eastAsia="Arial" w:hAnsi="Arial"/>
                <w:sz w:val="12"/>
                <w:szCs w:val="12"/>
                <w:color w:val="auto"/>
              </w:rPr>
              <w:t>Recognized actuarial gain</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(9,888)</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(17,539)</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(20,028)</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(34,768)</w:t>
            </w:r>
          </w:p>
        </w:tc>
      </w:tr>
      <w:tr>
        <w:trPr>
          <w:trHeight w:val="162"/>
        </w:trPr>
        <w:tc>
          <w:tcPr>
            <w:tcW w:w="5700" w:type="dxa"/>
            <w:vAlign w:val="bottom"/>
          </w:tcPr>
          <w:p>
            <w:pPr>
              <w:ind w:left="20"/>
              <w:spacing w:after="0"/>
              <w:rPr>
                <w:sz w:val="20"/>
                <w:szCs w:val="20"/>
                <w:color w:val="auto"/>
              </w:rPr>
            </w:pPr>
            <w:r>
              <w:rPr>
                <w:rFonts w:ascii="Arial" w:cs="Arial" w:eastAsia="Arial" w:hAnsi="Arial"/>
                <w:sz w:val="12"/>
                <w:szCs w:val="12"/>
                <w:b w:val="1"/>
                <w:bCs w:val="1"/>
                <w:color w:val="auto"/>
              </w:rPr>
              <w:t>Net Periodic Benefit</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(28,429)</w:t>
            </w:r>
          </w:p>
        </w:tc>
        <w:tc>
          <w:tcPr>
            <w:tcW w:w="56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(46,189)</w:t>
            </w:r>
          </w:p>
        </w:tc>
        <w:tc>
          <w:tcPr>
            <w:tcW w:w="36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(55,720)</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(90,971)</w:t>
            </w:r>
          </w:p>
        </w:tc>
      </w:tr>
      <w:tr>
        <w:trPr>
          <w:trHeight w:val="183"/>
        </w:trPr>
        <w:tc>
          <w:tcPr>
            <w:tcW w:w="5700" w:type="dxa"/>
            <w:vAlign w:val="bottom"/>
          </w:tcPr>
          <w:p>
            <w:pPr>
              <w:ind w:left="20"/>
              <w:spacing w:after="0"/>
              <w:rPr>
                <w:sz w:val="20"/>
                <w:szCs w:val="20"/>
                <w:color w:val="auto"/>
              </w:rPr>
            </w:pPr>
            <w:r>
              <w:rPr>
                <w:rFonts w:ascii="Arial" w:cs="Arial" w:eastAsia="Arial" w:hAnsi="Arial"/>
                <w:sz w:val="12"/>
                <w:szCs w:val="12"/>
                <w:color w:val="auto"/>
              </w:rPr>
              <w:t>Special separation benefit expense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5,517</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9,646</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5700" w:type="dxa"/>
            <w:vAlign w:val="bottom"/>
          </w:tcPr>
          <w:p>
            <w:pPr>
              <w:ind w:left="20"/>
              <w:spacing w:after="0"/>
              <w:rPr>
                <w:sz w:val="20"/>
                <w:szCs w:val="20"/>
                <w:color w:val="auto"/>
              </w:rPr>
            </w:pPr>
            <w:r>
              <w:rPr>
                <w:rFonts w:ascii="Arial" w:cs="Arial" w:eastAsia="Arial" w:hAnsi="Arial"/>
                <w:sz w:val="12"/>
                <w:szCs w:val="12"/>
                <w:b w:val="1"/>
                <w:bCs w:val="1"/>
                <w:color w:val="auto"/>
              </w:rPr>
              <w:t>Total Benefit</w:t>
            </w:r>
          </w:p>
        </w:tc>
        <w:tc>
          <w:tcPr>
            <w:tcW w:w="3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(22,912)</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(46,189)</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(46,074)</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(90,971)</w:t>
            </w: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43" w:lineRule="auto"/>
        <w:rPr>
          <w:sz w:val="20"/>
          <w:szCs w:val="20"/>
          <w:color w:val="auto"/>
        </w:rPr>
      </w:pPr>
      <w:r>
        <w:rPr>
          <w:rFonts w:ascii="Arial" w:cs="Arial" w:eastAsia="Arial" w:hAnsi="Arial"/>
          <w:sz w:val="13"/>
          <w:szCs w:val="13"/>
          <w:color w:val="auto"/>
        </w:rPr>
        <w:t>In the second quarter of 2023, the Company recorded $5.5 million in expenses related to Separation Incentive Programs (SIPs) for certain Kaplan, Graham Media Group, Leaf Group, Code3 and Pinna employees, which will be funded from the assets of the Company’s pension plans. In the first quarter of 2023, the Company recorded $4.1 million in expenses related to SIPs for</w:t>
      </w:r>
    </w:p>
    <w:p>
      <w:pPr>
        <w:spacing w:after="0"/>
        <w:rPr>
          <w:sz w:val="20"/>
          <w:szCs w:val="20"/>
          <w:color w:val="auto"/>
        </w:rPr>
      </w:pPr>
      <w:r>
        <w:rPr>
          <w:rFonts w:ascii="Arial" w:cs="Arial" w:eastAsia="Arial" w:hAnsi="Arial"/>
          <w:sz w:val="13"/>
          <w:szCs w:val="13"/>
          <w:color w:val="auto"/>
        </w:rPr>
        <w:t>certain Leaf Group and Code3 employees, which was funded from the assets of the Company’s pension plans.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total cost arising from the Company’s Supplemental Executive Retirement Plan (SERP) consists of the following components: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gridSpan w:val="2"/>
          </w:tcPr>
          <w:p>
            <w:pPr>
              <w:jc w:val="right"/>
              <w:ind w:right="19"/>
              <w:spacing w:after="0"/>
              <w:rPr>
                <w:sz w:val="20"/>
                <w:szCs w:val="20"/>
                <w:color w:val="auto"/>
              </w:rPr>
            </w:pPr>
            <w:r>
              <w:rPr>
                <w:rFonts w:ascii="Arial" w:cs="Arial" w:eastAsia="Arial" w:hAnsi="Arial"/>
                <w:sz w:val="11"/>
                <w:szCs w:val="11"/>
                <w:b w:val="1"/>
                <w:bCs w:val="1"/>
                <w:color w:val="auto"/>
              </w:rPr>
              <w:t>Six Months Ended</w:t>
            </w:r>
          </w:p>
        </w:tc>
        <w:tc>
          <w:tcPr>
            <w:tcW w:w="840" w:type="dxa"/>
            <w:vAlign w:val="bottom"/>
          </w:tcPr>
          <w:p>
            <w:pPr>
              <w:spacing w:after="0"/>
              <w:rPr>
                <w:sz w:val="10"/>
                <w:szCs w:val="10"/>
                <w:color w:val="auto"/>
              </w:rPr>
            </w:pPr>
          </w:p>
        </w:tc>
      </w:tr>
      <w:tr>
        <w:trPr>
          <w:trHeight w:val="155"/>
        </w:trPr>
        <w:tc>
          <w:tcPr>
            <w:tcW w:w="57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r>
      <w:tr>
        <w:trPr>
          <w:trHeight w:val="14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color w:val="auto"/>
                <w:w w:val="97"/>
              </w:rPr>
              <w:t>2022</w:t>
            </w: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color w:val="auto"/>
              </w:rPr>
              <w:t>2022</w:t>
            </w:r>
          </w:p>
        </w:tc>
      </w:tr>
      <w:tr>
        <w:trPr>
          <w:trHeight w:val="158"/>
        </w:trPr>
        <w:tc>
          <w:tcPr>
            <w:tcW w:w="5700" w:type="dxa"/>
            <w:vAlign w:val="bottom"/>
          </w:tcPr>
          <w:p>
            <w:pPr>
              <w:ind w:left="20"/>
              <w:spacing w:after="0"/>
              <w:rPr>
                <w:sz w:val="20"/>
                <w:szCs w:val="20"/>
                <w:color w:val="auto"/>
              </w:rPr>
            </w:pPr>
            <w:r>
              <w:rPr>
                <w:rFonts w:ascii="Arial" w:cs="Arial" w:eastAsia="Arial" w:hAnsi="Arial"/>
                <w:sz w:val="12"/>
                <w:szCs w:val="12"/>
                <w:color w:val="auto"/>
              </w:rPr>
              <w:t>Service cost</w:t>
            </w:r>
          </w:p>
        </w:tc>
        <w:tc>
          <w:tcPr>
            <w:tcW w:w="320" w:type="dxa"/>
            <w:vAlign w:val="bottom"/>
          </w:tcPr>
          <w:p>
            <w:pPr>
              <w:jc w:val="right"/>
              <w:ind w:right="159"/>
              <w:spacing w:after="0"/>
              <w:rPr>
                <w:sz w:val="20"/>
                <w:szCs w:val="20"/>
                <w:color w:val="auto"/>
              </w:rPr>
            </w:pPr>
            <w:r>
              <w:rPr>
                <w:rFonts w:ascii="Arial" w:cs="Arial" w:eastAsia="Arial" w:hAnsi="Arial"/>
                <w:sz w:val="12"/>
                <w:szCs w:val="12"/>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148</w:t>
            </w:r>
          </w:p>
        </w:tc>
        <w:tc>
          <w:tcPr>
            <w:tcW w:w="580" w:type="dxa"/>
            <w:vAlign w:val="bottom"/>
          </w:tcPr>
          <w:p>
            <w:pPr>
              <w:jc w:val="right"/>
              <w:ind w:right="35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228</w:t>
            </w:r>
          </w:p>
        </w:tc>
        <w:tc>
          <w:tcPr>
            <w:tcW w:w="380" w:type="dxa"/>
            <w:vAlign w:val="bottom"/>
          </w:tcPr>
          <w:p>
            <w:pPr>
              <w:jc w:val="right"/>
              <w:ind w:right="179"/>
              <w:spacing w:after="0"/>
              <w:rPr>
                <w:sz w:val="20"/>
                <w:szCs w:val="20"/>
                <w:color w:val="auto"/>
              </w:rPr>
            </w:pPr>
            <w:r>
              <w:rPr>
                <w:rFonts w:ascii="Arial" w:cs="Arial" w:eastAsia="Arial" w:hAnsi="Arial"/>
                <w:sz w:val="12"/>
                <w:szCs w:val="12"/>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296</w:t>
            </w:r>
          </w:p>
        </w:tc>
        <w:tc>
          <w:tcPr>
            <w:tcW w:w="54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456</w:t>
            </w:r>
          </w:p>
        </w:tc>
      </w:tr>
      <w:tr>
        <w:trPr>
          <w:trHeight w:val="179"/>
        </w:trPr>
        <w:tc>
          <w:tcPr>
            <w:tcW w:w="5700" w:type="dxa"/>
            <w:vAlign w:val="bottom"/>
          </w:tcPr>
          <w:p>
            <w:pPr>
              <w:ind w:left="20"/>
              <w:spacing w:after="0"/>
              <w:rPr>
                <w:sz w:val="20"/>
                <w:szCs w:val="20"/>
                <w:color w:val="auto"/>
              </w:rPr>
            </w:pPr>
            <w:r>
              <w:rPr>
                <w:rFonts w:ascii="Arial" w:cs="Arial" w:eastAsia="Arial" w:hAnsi="Arial"/>
                <w:sz w:val="12"/>
                <w:szCs w:val="12"/>
                <w:color w:val="auto"/>
              </w:rPr>
              <w:t>Interest cost</w:t>
            </w:r>
          </w:p>
        </w:tc>
        <w:tc>
          <w:tcPr>
            <w:tcW w:w="3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1,165</w:t>
            </w:r>
          </w:p>
        </w:tc>
        <w:tc>
          <w:tcPr>
            <w:tcW w:w="58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822</w:t>
            </w:r>
          </w:p>
        </w:tc>
        <w:tc>
          <w:tcPr>
            <w:tcW w:w="38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2,330</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1,644</w:t>
            </w:r>
          </w:p>
        </w:tc>
      </w:tr>
      <w:tr>
        <w:trPr>
          <w:trHeight w:val="172"/>
        </w:trPr>
        <w:tc>
          <w:tcPr>
            <w:tcW w:w="5700" w:type="dxa"/>
            <w:vAlign w:val="bottom"/>
          </w:tcPr>
          <w:p>
            <w:pPr>
              <w:ind w:left="20"/>
              <w:spacing w:after="0"/>
              <w:rPr>
                <w:sz w:val="20"/>
                <w:szCs w:val="20"/>
                <w:color w:val="auto"/>
              </w:rPr>
            </w:pPr>
            <w:r>
              <w:rPr>
                <w:rFonts w:ascii="Arial" w:cs="Arial" w:eastAsia="Arial" w:hAnsi="Arial"/>
                <w:sz w:val="12"/>
                <w:szCs w:val="12"/>
                <w:color w:val="auto"/>
              </w:rPr>
              <w:t>Amortization of prior service cost</w:t>
            </w:r>
          </w:p>
        </w:tc>
        <w:tc>
          <w:tcPr>
            <w:tcW w:w="32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9</w:t>
            </w:r>
          </w:p>
        </w:tc>
        <w:tc>
          <w:tcPr>
            <w:tcW w:w="38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75"/>
        </w:trPr>
        <w:tc>
          <w:tcPr>
            <w:tcW w:w="5700" w:type="dxa"/>
            <w:vAlign w:val="bottom"/>
          </w:tcPr>
          <w:p>
            <w:pPr>
              <w:ind w:left="20"/>
              <w:spacing w:after="0"/>
              <w:rPr>
                <w:sz w:val="20"/>
                <w:szCs w:val="20"/>
                <w:color w:val="auto"/>
              </w:rPr>
            </w:pPr>
            <w:r>
              <w:rPr>
                <w:rFonts w:ascii="Arial" w:cs="Arial" w:eastAsia="Arial" w:hAnsi="Arial"/>
                <w:sz w:val="12"/>
                <w:szCs w:val="12"/>
                <w:color w:val="auto"/>
              </w:rPr>
              <w:t>Recognized actuarial loss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167</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w:t>
            </w:r>
          </w:p>
        </w:tc>
      </w:tr>
      <w:tr>
        <w:trPr>
          <w:trHeight w:val="165"/>
        </w:trPr>
        <w:tc>
          <w:tcPr>
            <w:tcW w:w="5700" w:type="dxa"/>
            <w:vAlign w:val="bottom"/>
          </w:tcPr>
          <w:p>
            <w:pPr>
              <w:ind w:left="20"/>
              <w:spacing w:after="0"/>
              <w:rPr>
                <w:sz w:val="20"/>
                <w:szCs w:val="20"/>
                <w:color w:val="auto"/>
              </w:rPr>
            </w:pPr>
            <w:r>
              <w:rPr>
                <w:rFonts w:ascii="Arial" w:cs="Arial" w:eastAsia="Arial" w:hAnsi="Arial"/>
                <w:sz w:val="12"/>
                <w:szCs w:val="12"/>
                <w:b w:val="1"/>
                <w:bCs w:val="1"/>
                <w:color w:val="auto"/>
              </w:rPr>
              <w:t>Net Periodic Cost</w:t>
            </w:r>
          </w:p>
        </w:tc>
        <w:tc>
          <w:tcPr>
            <w:tcW w:w="3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1,313</w:t>
            </w:r>
          </w:p>
        </w:tc>
        <w:tc>
          <w:tcPr>
            <w:tcW w:w="5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1,226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2,626</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2,451</w:t>
            </w: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right="220"/>
        <w:spacing w:after="0" w:line="288" w:lineRule="auto"/>
        <w:rPr>
          <w:sz w:val="20"/>
          <w:szCs w:val="20"/>
          <w:color w:val="auto"/>
        </w:rPr>
      </w:pPr>
      <w:r>
        <w:rPr>
          <w:rFonts w:ascii="Arial" w:cs="Arial" w:eastAsia="Arial" w:hAnsi="Arial"/>
          <w:sz w:val="13"/>
          <w:szCs w:val="13"/>
          <w:b w:val="1"/>
          <w:bCs w:val="1"/>
          <w:color w:val="auto"/>
        </w:rPr>
        <w:t xml:space="preserve">Defined Benefit Plan Assets. </w:t>
      </w:r>
      <w:r>
        <w:rPr>
          <w:rFonts w:ascii="Arial" w:cs="Arial" w:eastAsia="Arial" w:hAnsi="Arial"/>
          <w:sz w:val="13"/>
          <w:szCs w:val="13"/>
          <w:color w:val="auto"/>
        </w:rPr>
        <w:t>The Company’s defined benefit pension obligations are funded by a portfolio made up of private investment funds, a U.S. stock index fund, and a relatively</w:t>
      </w:r>
      <w:r>
        <w:rPr>
          <w:rFonts w:ascii="Arial" w:cs="Arial" w:eastAsia="Arial" w:hAnsi="Arial"/>
          <w:sz w:val="13"/>
          <w:szCs w:val="13"/>
          <w:b w:val="1"/>
          <w:bCs w:val="1"/>
          <w:color w:val="auto"/>
        </w:rPr>
        <w:t xml:space="preserve"> </w:t>
      </w:r>
      <w:r>
        <w:rPr>
          <w:rFonts w:ascii="Arial" w:cs="Arial" w:eastAsia="Arial" w:hAnsi="Arial"/>
          <w:sz w:val="13"/>
          <w:szCs w:val="13"/>
          <w:color w:val="auto"/>
        </w:rPr>
        <w:t>small number of stocks and high-quality fixed-income securities that are held by a third-party trustee. The assets of the Company’s pension plans were allocated as follows:</w:t>
      </w:r>
    </w:p>
    <w:p>
      <w:pPr>
        <w:spacing w:after="0" w:line="104" w:lineRule="exact"/>
        <w:rPr>
          <w:sz w:val="20"/>
          <w:szCs w:val="20"/>
          <w:color w:val="auto"/>
        </w:rPr>
      </w:pPr>
    </w:p>
    <w:tbl>
      <w:tblPr>
        <w:tblLayout w:type="fixed"/>
        <w:tblInd w:w="8380" w:type="dxa"/>
        <w:tblCellMar>
          <w:top w:w="0" w:type="dxa"/>
          <w:left w:w="0" w:type="dxa"/>
          <w:bottom w:w="0" w:type="dxa"/>
          <w:right w:w="0" w:type="dxa"/>
        </w:tblCellMar>
      </w:tblPr>
      <w:tr>
        <w:trPr>
          <w:trHeight w:val="155"/>
        </w:trPr>
        <w:tc>
          <w:tcPr>
            <w:tcW w:w="1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As of</w:t>
            </w:r>
          </w:p>
        </w:tc>
      </w:tr>
      <w:tr>
        <w:trPr>
          <w:trHeight w:val="149"/>
        </w:trPr>
        <w:tc>
          <w:tcPr>
            <w:tcW w:w="1120" w:type="dxa"/>
            <w:vAlign w:val="bottom"/>
          </w:tcPr>
          <w:p>
            <w:pPr>
              <w:jc w:val="center"/>
              <w:ind w:left="226"/>
              <w:spacing w:after="0"/>
              <w:rPr>
                <w:sz w:val="20"/>
                <w:szCs w:val="20"/>
                <w:color w:val="auto"/>
              </w:rPr>
            </w:pPr>
            <w:r>
              <w:rPr>
                <w:rFonts w:ascii="Arial" w:cs="Arial" w:eastAsia="Arial" w:hAnsi="Arial"/>
                <w:sz w:val="11"/>
                <w:szCs w:val="11"/>
                <w:b w:val="1"/>
                <w:bCs w:val="1"/>
                <w:color w:val="auto"/>
                <w:w w:val="99"/>
              </w:rPr>
              <w:t>June 30,</w:t>
            </w:r>
          </w:p>
        </w:tc>
        <w:tc>
          <w:tcPr>
            <w:tcW w:w="1780" w:type="dxa"/>
            <w:vAlign w:val="bottom"/>
          </w:tcPr>
          <w:p>
            <w:pPr>
              <w:jc w:val="center"/>
              <w:ind w:left="326"/>
              <w:spacing w:after="0"/>
              <w:rPr>
                <w:sz w:val="20"/>
                <w:szCs w:val="20"/>
                <w:color w:val="auto"/>
              </w:rPr>
            </w:pPr>
            <w:r>
              <w:rPr>
                <w:rFonts w:ascii="Arial" w:cs="Arial" w:eastAsia="Arial" w:hAnsi="Arial"/>
                <w:sz w:val="11"/>
                <w:szCs w:val="11"/>
                <w:color w:val="auto"/>
                <w:w w:val="98"/>
              </w:rPr>
              <w:t>December 31,</w:t>
            </w:r>
          </w:p>
        </w:tc>
      </w:tr>
      <w:tr>
        <w:trPr>
          <w:trHeight w:val="149"/>
        </w:trPr>
        <w:tc>
          <w:tcPr>
            <w:tcW w:w="1120" w:type="dxa"/>
            <w:vAlign w:val="bottom"/>
          </w:tcPr>
          <w:p>
            <w:pPr>
              <w:jc w:val="right"/>
              <w:ind w:right="246"/>
              <w:spacing w:after="0"/>
              <w:rPr>
                <w:sz w:val="20"/>
                <w:szCs w:val="20"/>
                <w:color w:val="auto"/>
              </w:rPr>
            </w:pPr>
            <w:r>
              <w:rPr>
                <w:rFonts w:ascii="Arial" w:cs="Arial" w:eastAsia="Arial" w:hAnsi="Arial"/>
                <w:sz w:val="11"/>
                <w:szCs w:val="11"/>
                <w:b w:val="1"/>
                <w:bCs w:val="1"/>
                <w:color w:val="auto"/>
              </w:rPr>
              <w:t>2023</w:t>
            </w:r>
          </w:p>
        </w:tc>
        <w:tc>
          <w:tcPr>
            <w:tcW w:w="1780" w:type="dxa"/>
            <w:vAlign w:val="bottom"/>
          </w:tcPr>
          <w:p>
            <w:pPr>
              <w:jc w:val="right"/>
              <w:ind w:right="526"/>
              <w:spacing w:after="0"/>
              <w:rPr>
                <w:sz w:val="20"/>
                <w:szCs w:val="20"/>
                <w:color w:val="auto"/>
              </w:rPr>
            </w:pPr>
            <w:r>
              <w:rPr>
                <w:rFonts w:ascii="Arial" w:cs="Arial" w:eastAsia="Arial" w:hAnsi="Arial"/>
                <w:sz w:val="11"/>
                <w:szCs w:val="1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6661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U.S. equities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Private investment funds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International equities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U.S. stock index fund</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U.S. fixed income</w:t>
      </w:r>
    </w:p>
    <w:p>
      <w:pPr>
        <w:spacing w:after="0" w:line="20" w:lineRule="exact"/>
        <w:rPr>
          <w:sz w:val="20"/>
          <w:szCs w:val="20"/>
          <w:color w:val="auto"/>
        </w:rPr>
      </w:pPr>
      <w:r>
        <w:rPr>
          <w:sz w:val="20"/>
          <w:szCs w:val="20"/>
          <w:color w:val="auto"/>
        </w:rPr>
        <w:br w:type="column"/>
      </w:r>
    </w:p>
    <w:p>
      <w:pPr>
        <w:ind w:left="60"/>
        <w:spacing w:after="0"/>
        <w:tabs>
          <w:tab w:leader="none" w:pos="1560" w:val="left"/>
        </w:tabs>
        <w:rPr>
          <w:sz w:val="20"/>
          <w:szCs w:val="20"/>
          <w:color w:val="auto"/>
        </w:rPr>
      </w:pPr>
      <w:r>
        <w:rPr>
          <w:rFonts w:ascii="Arial" w:cs="Arial" w:eastAsia="Arial" w:hAnsi="Arial"/>
          <w:sz w:val="12"/>
          <w:szCs w:val="12"/>
          <w:b w:val="1"/>
          <w:bCs w:val="1"/>
          <w:color w:val="auto"/>
        </w:rPr>
        <w:t>61 %</w:t>
      </w:r>
      <w:r>
        <w:rPr>
          <w:sz w:val="20"/>
          <w:szCs w:val="20"/>
          <w:color w:val="auto"/>
        </w:rPr>
        <w:tab/>
      </w:r>
      <w:r>
        <w:rPr>
          <w:rFonts w:ascii="Arial" w:cs="Arial" w:eastAsia="Arial" w:hAnsi="Arial"/>
          <w:sz w:val="12"/>
          <w:szCs w:val="12"/>
          <w:color w:val="auto"/>
        </w:rPr>
        <w:t>59 %</w:t>
      </w:r>
    </w:p>
    <w:p>
      <w:pPr>
        <w:spacing w:after="0" w:line="34" w:lineRule="exact"/>
        <w:rPr>
          <w:sz w:val="20"/>
          <w:szCs w:val="20"/>
          <w:color w:val="auto"/>
        </w:rPr>
      </w:pPr>
    </w:p>
    <w:p>
      <w:pPr>
        <w:ind w:left="60"/>
        <w:spacing w:after="0"/>
        <w:tabs>
          <w:tab w:leader="none" w:pos="1560" w:val="left"/>
        </w:tabs>
        <w:rPr>
          <w:sz w:val="20"/>
          <w:szCs w:val="20"/>
          <w:color w:val="auto"/>
        </w:rPr>
      </w:pPr>
      <w:r>
        <w:rPr>
          <w:rFonts w:ascii="Arial" w:cs="Arial" w:eastAsia="Arial" w:hAnsi="Arial"/>
          <w:sz w:val="12"/>
          <w:szCs w:val="12"/>
          <w:b w:val="1"/>
          <w:bCs w:val="1"/>
          <w:color w:val="auto"/>
        </w:rPr>
        <w:t>17 %</w:t>
      </w:r>
      <w:r>
        <w:rPr>
          <w:sz w:val="20"/>
          <w:szCs w:val="20"/>
          <w:color w:val="auto"/>
        </w:rPr>
        <w:tab/>
      </w:r>
      <w:r>
        <w:rPr>
          <w:rFonts w:ascii="Arial" w:cs="Arial" w:eastAsia="Arial" w:hAnsi="Arial"/>
          <w:sz w:val="12"/>
          <w:szCs w:val="12"/>
          <w:color w:val="auto"/>
        </w:rPr>
        <w:t>16 %</w:t>
      </w:r>
    </w:p>
    <w:p>
      <w:pPr>
        <w:spacing w:after="0" w:line="34" w:lineRule="exact"/>
        <w:rPr>
          <w:sz w:val="20"/>
          <w:szCs w:val="20"/>
          <w:color w:val="auto"/>
        </w:rPr>
      </w:pPr>
    </w:p>
    <w:p>
      <w:pPr>
        <w:ind w:left="80"/>
        <w:spacing w:after="0"/>
        <w:tabs>
          <w:tab w:leader="none" w:pos="1560" w:val="left"/>
        </w:tabs>
        <w:rPr>
          <w:sz w:val="20"/>
          <w:szCs w:val="20"/>
          <w:color w:val="auto"/>
        </w:rPr>
      </w:pPr>
      <w:r>
        <w:rPr>
          <w:rFonts w:ascii="Arial" w:cs="Arial" w:eastAsia="Arial" w:hAnsi="Arial"/>
          <w:sz w:val="12"/>
          <w:szCs w:val="12"/>
          <w:b w:val="1"/>
          <w:bCs w:val="1"/>
          <w:color w:val="auto"/>
        </w:rPr>
        <w:t>11 %</w:t>
      </w:r>
      <w:r>
        <w:rPr>
          <w:sz w:val="20"/>
          <w:szCs w:val="20"/>
          <w:color w:val="auto"/>
        </w:rPr>
        <w:tab/>
      </w:r>
      <w:r>
        <w:rPr>
          <w:rFonts w:ascii="Arial" w:cs="Arial" w:eastAsia="Arial" w:hAnsi="Arial"/>
          <w:sz w:val="12"/>
          <w:szCs w:val="12"/>
          <w:color w:val="auto"/>
        </w:rPr>
        <w:t>11 %</w:t>
      </w:r>
    </w:p>
    <w:p>
      <w:pPr>
        <w:spacing w:after="0" w:line="44"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2"/>
          <w:szCs w:val="12"/>
          <w:b w:val="1"/>
          <w:bCs w:val="1"/>
          <w:color w:val="auto"/>
        </w:rPr>
        <w:t>4 %</w:t>
      </w:r>
      <w:r>
        <w:rPr>
          <w:sz w:val="20"/>
          <w:szCs w:val="20"/>
          <w:color w:val="auto"/>
        </w:rPr>
        <w:tab/>
      </w:r>
      <w:r>
        <w:rPr>
          <w:rFonts w:ascii="Arial" w:cs="Arial" w:eastAsia="Arial" w:hAnsi="Arial"/>
          <w:sz w:val="12"/>
          <w:szCs w:val="12"/>
          <w:color w:val="auto"/>
        </w:rPr>
        <w:t>7 %</w:t>
      </w:r>
    </w:p>
    <w:p>
      <w:pPr>
        <w:spacing w:after="0" w:line="34"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2"/>
          <w:szCs w:val="12"/>
          <w:b w:val="1"/>
          <w:bCs w:val="1"/>
          <w:color w:val="auto"/>
        </w:rPr>
        <w:t>7 %</w:t>
      </w:r>
      <w:r>
        <w:rPr>
          <w:sz w:val="20"/>
          <w:szCs w:val="20"/>
          <w:color w:val="auto"/>
        </w:rPr>
        <w:tab/>
      </w:r>
      <w:r>
        <w:rPr>
          <w:rFonts w:ascii="Arial" w:cs="Arial" w:eastAsia="Arial" w:hAnsi="Arial"/>
          <w:sz w:val="12"/>
          <w:szCs w:val="1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22860</wp:posOffset>
            </wp:positionV>
            <wp:extent cx="184785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7850" cy="6350"/>
                    </a:xfrm>
                    <a:prstGeom prst="rect">
                      <a:avLst/>
                    </a:prstGeom>
                    <a:noFill/>
                  </pic:spPr>
                </pic:pic>
              </a:graphicData>
            </a:graphic>
          </wp:anchor>
        </w:drawing>
      </w:r>
    </w:p>
    <w:p>
      <w:pPr>
        <w:spacing w:after="0" w:line="24" w:lineRule="exact"/>
        <w:rPr>
          <w:sz w:val="20"/>
          <w:szCs w:val="20"/>
          <w:color w:val="auto"/>
        </w:rPr>
      </w:pPr>
    </w:p>
    <w:p>
      <w:pPr>
        <w:spacing w:after="0"/>
        <w:tabs>
          <w:tab w:leader="none" w:pos="1480" w:val="left"/>
        </w:tabs>
        <w:rPr>
          <w:sz w:val="20"/>
          <w:szCs w:val="20"/>
          <w:color w:val="auto"/>
        </w:rPr>
      </w:pPr>
      <w:r>
        <w:rPr>
          <w:rFonts w:ascii="Arial" w:cs="Arial" w:eastAsia="Arial" w:hAnsi="Arial"/>
          <w:sz w:val="12"/>
          <w:szCs w:val="12"/>
          <w:b w:val="1"/>
          <w:bCs w:val="1"/>
          <w:color w:val="auto"/>
        </w:rPr>
        <w:t>100 %</w:t>
      </w:r>
      <w:r>
        <w:rPr>
          <w:sz w:val="20"/>
          <w:szCs w:val="20"/>
          <w:color w:val="auto"/>
        </w:rPr>
        <w:tab/>
      </w:r>
      <w:r>
        <w:rPr>
          <w:rFonts w:ascii="Arial" w:cs="Arial" w:eastAsia="Arial" w:hAnsi="Arial"/>
          <w:sz w:val="12"/>
          <w:szCs w:val="12"/>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22860</wp:posOffset>
            </wp:positionV>
            <wp:extent cx="184785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47850" cy="6350"/>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42545</wp:posOffset>
            </wp:positionV>
            <wp:extent cx="18478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4785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00" w:space="720"/>
            <w:col w:w="1860"/>
          </w:cols>
          <w:pgMar w:left="300" w:top="810" w:right="319" w:bottom="1440" w:gutter="0" w:footer="0" w:header="0"/>
          <w:type w:val="continuous"/>
        </w:sectPr>
      </w:pPr>
    </w:p>
    <w:p>
      <w:pPr>
        <w:spacing w:after="0" w:line="48"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The Company manages approximately 41% of the pension assets internally, of which the majority is invested in private investment funds with the remaining investments in Berkshire Hathaway and Markel stock, a U.S. stock index fund, and short-term fixed-income securities. The remaining 59% of plan assets are managed by two investment companies. The goal of the</w:t>
      </w:r>
    </w:p>
    <w:p>
      <w:pPr>
        <w:spacing w:after="0"/>
        <w:rPr>
          <w:sz w:val="20"/>
          <w:szCs w:val="20"/>
          <w:color w:val="auto"/>
        </w:rPr>
      </w:pPr>
      <w:r>
        <w:rPr>
          <w:rFonts w:ascii="Arial" w:cs="Arial" w:eastAsia="Arial" w:hAnsi="Arial"/>
          <w:sz w:val="13"/>
          <w:szCs w:val="13"/>
          <w:color w:val="auto"/>
        </w:rPr>
        <w:t>investment managers is to produce moderate long-term growth in the value of these assets, while protecting them against large decreases in value. Both investment managers may invest in</w:t>
      </w:r>
    </w:p>
    <w:p>
      <w:pPr>
        <w:spacing w:after="0" w:line="2" w:lineRule="exact"/>
        <w:rPr>
          <w:sz w:val="20"/>
          <w:szCs w:val="20"/>
          <w:color w:val="auto"/>
        </w:rPr>
      </w:pPr>
    </w:p>
    <w:p>
      <w:pPr>
        <w:ind w:right="60"/>
        <w:spacing w:after="0" w:line="235" w:lineRule="auto"/>
        <w:rPr>
          <w:sz w:val="20"/>
          <w:szCs w:val="20"/>
          <w:color w:val="auto"/>
        </w:rPr>
      </w:pPr>
      <w:r>
        <w:rPr>
          <w:rFonts w:ascii="Arial" w:cs="Arial" w:eastAsia="Arial" w:hAnsi="Arial"/>
          <w:sz w:val="13"/>
          <w:szCs w:val="13"/>
          <w:color w:val="auto"/>
        </w:rPr>
        <w:t>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and no more than 30% of the assets it manages in specified</w:t>
      </w:r>
    </w:p>
    <w:p>
      <w:pPr>
        <w:spacing w:after="0"/>
        <w:rPr>
          <w:sz w:val="20"/>
          <w:szCs w:val="20"/>
          <w:color w:val="auto"/>
        </w:rPr>
      </w:pPr>
      <w:r>
        <w:rPr>
          <w:rFonts w:ascii="Arial" w:cs="Arial" w:eastAsia="Arial" w:hAnsi="Arial"/>
          <w:sz w:val="13"/>
          <w:szCs w:val="13"/>
          <w:color w:val="auto"/>
        </w:rPr>
        <w:t>international exchanges at the time the investment is made. The other investment manager cannot invest more than 20% of the assets at the time of purchase in the stock of Berkshire</w:t>
      </w:r>
    </w:p>
    <w:p>
      <w:pPr>
        <w:spacing w:after="0" w:line="2" w:lineRule="exact"/>
        <w:rPr>
          <w:sz w:val="20"/>
          <w:szCs w:val="20"/>
          <w:color w:val="auto"/>
        </w:rPr>
      </w:pPr>
    </w:p>
    <w:p>
      <w:pPr>
        <w:ind w:right="100"/>
        <w:spacing w:after="0" w:line="235" w:lineRule="auto"/>
        <w:rPr>
          <w:sz w:val="20"/>
          <w:szCs w:val="20"/>
          <w:color w:val="auto"/>
        </w:rPr>
      </w:pPr>
      <w:r>
        <w:rPr>
          <w:rFonts w:ascii="Arial" w:cs="Arial" w:eastAsia="Arial" w:hAnsi="Arial"/>
          <w:sz w:val="13"/>
          <w:szCs w:val="13"/>
          <w:color w:val="auto"/>
        </w:rPr>
        <w:t>Hathaway, and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w:t>
      </w:r>
    </w:p>
    <w:p>
      <w:pPr>
        <w:spacing w:after="0"/>
        <w:rPr>
          <w:sz w:val="20"/>
          <w:szCs w:val="20"/>
          <w:color w:val="auto"/>
        </w:rPr>
      </w:pPr>
      <w:r>
        <w:rPr>
          <w:rFonts w:ascii="Arial" w:cs="Arial" w:eastAsia="Arial" w:hAnsi="Arial"/>
          <w:sz w:val="13"/>
          <w:szCs w:val="13"/>
          <w:color w:val="auto"/>
        </w:rPr>
        <w:t>obligations of the U.S. Government, without receiving prior approval from the Plan administrator.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3"/>
          <w:szCs w:val="13"/>
          <w:color w:val="auto"/>
        </w:rPr>
        <w:t>In determining the expected rate of return on plan assets, the Company considers the relative weighting of plan assets, the historical performance of total plan assets and individual asset</w:t>
      </w:r>
    </w:p>
    <w:p>
      <w:pPr>
        <w:spacing w:after="0" w:line="12" w:lineRule="exact"/>
        <w:rPr>
          <w:sz w:val="20"/>
          <w:szCs w:val="20"/>
          <w:color w:val="auto"/>
        </w:rPr>
      </w:pPr>
    </w:p>
    <w:p>
      <w:pPr>
        <w:ind w:right="500"/>
        <w:spacing w:after="0" w:line="247" w:lineRule="auto"/>
        <w:rPr>
          <w:sz w:val="20"/>
          <w:szCs w:val="20"/>
          <w:color w:val="auto"/>
        </w:rPr>
      </w:pPr>
      <w:r>
        <w:rPr>
          <w:rFonts w:ascii="Arial" w:cs="Arial" w:eastAsia="Arial" w:hAnsi="Arial"/>
          <w:sz w:val="13"/>
          <w:szCs w:val="13"/>
          <w:color w:val="auto"/>
        </w:rPr>
        <w:t>classes and economic and other indicators of future performance. In addition, the Company may consult with and consider the input of financial and other professionals in developing appropriate return benchmarks.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Company evaluated its defined benefit pension plan asset portfolio for the existence of significant concentrations (defined as greater than 10% of plan assets) of credit risk as of</w:t>
      </w:r>
    </w:p>
    <w:p>
      <w:pPr>
        <w:spacing w:after="0" w:line="12" w:lineRule="exact"/>
        <w:rPr>
          <w:sz w:val="20"/>
          <w:szCs w:val="20"/>
          <w:color w:val="auto"/>
        </w:rPr>
      </w:pPr>
    </w:p>
    <w:p>
      <w:pPr>
        <w:ind w:right="20"/>
        <w:spacing w:after="0" w:line="235" w:lineRule="auto"/>
        <w:rPr>
          <w:sz w:val="20"/>
          <w:szCs w:val="20"/>
          <w:color w:val="auto"/>
        </w:rPr>
      </w:pPr>
      <w:r>
        <w:rPr>
          <w:rFonts w:ascii="Arial" w:cs="Arial" w:eastAsia="Arial" w:hAnsi="Arial"/>
          <w:sz w:val="13"/>
          <w:szCs w:val="13"/>
          <w:color w:val="auto"/>
        </w:rPr>
        <w:t>June 30, 2023. Types of concentrations that were evaluated include, but are not limited to, investment concentrations in a single entity, type of industry, foreign country and individual fund. At June 30, 2023, the pension plan held investments in one common stock and one private investment fund that exceeded 10% of total plan assets, valued at $946.4 million, or approximately</w:t>
      </w:r>
    </w:p>
    <w:p>
      <w:pPr>
        <w:ind w:right="80"/>
        <w:spacing w:after="0" w:line="263" w:lineRule="auto"/>
        <w:rPr>
          <w:sz w:val="20"/>
          <w:szCs w:val="20"/>
          <w:color w:val="auto"/>
        </w:rPr>
      </w:pPr>
      <w:r>
        <w:rPr>
          <w:rFonts w:ascii="Arial" w:cs="Arial" w:eastAsia="Arial" w:hAnsi="Arial"/>
          <w:sz w:val="13"/>
          <w:szCs w:val="13"/>
          <w:color w:val="auto"/>
        </w:rPr>
        <w:t>34% of total plan assets. At December 31, 2022, the pension plan held investments in one common stock and one private investment fund that exceeded 10% of total plan assets, valued at $842.6 million, or approximately 33% of total plan assets.</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Other Postretirement Plans. </w:t>
      </w:r>
      <w:r>
        <w:rPr>
          <w:rFonts w:ascii="Arial" w:cs="Arial" w:eastAsia="Arial" w:hAnsi="Arial"/>
          <w:sz w:val="13"/>
          <w:szCs w:val="13"/>
          <w:color w:val="auto"/>
        </w:rPr>
        <w:t>The total benefit arising from the Company’s other postretirement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00" w:type="dxa"/>
            <w:vAlign w:val="bottom"/>
            <w:gridSpan w:val="2"/>
          </w:tcPr>
          <w:p>
            <w:pPr>
              <w:jc w:val="right"/>
              <w:ind w:right="362"/>
              <w:spacing w:after="0"/>
              <w:rPr>
                <w:sz w:val="20"/>
                <w:szCs w:val="20"/>
                <w:color w:val="auto"/>
              </w:rPr>
            </w:pPr>
            <w:r>
              <w:rPr>
                <w:rFonts w:ascii="Arial" w:cs="Arial" w:eastAsia="Arial" w:hAnsi="Arial"/>
                <w:sz w:val="11"/>
                <w:szCs w:val="11"/>
                <w:b w:val="1"/>
                <w:bCs w:val="1"/>
                <w:color w:val="auto"/>
                <w:w w:val="97"/>
              </w:rPr>
              <w:t>Three Months Ended</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gridSpan w:val="2"/>
          </w:tcPr>
          <w:p>
            <w:pPr>
              <w:jc w:val="right"/>
              <w:ind w:right="19"/>
              <w:spacing w:after="0"/>
              <w:rPr>
                <w:sz w:val="20"/>
                <w:szCs w:val="20"/>
                <w:color w:val="auto"/>
              </w:rPr>
            </w:pPr>
            <w:r>
              <w:rPr>
                <w:rFonts w:ascii="Arial" w:cs="Arial" w:eastAsia="Arial" w:hAnsi="Arial"/>
                <w:sz w:val="11"/>
                <w:szCs w:val="11"/>
                <w:b w:val="1"/>
                <w:bCs w:val="1"/>
                <w:color w:val="auto"/>
              </w:rPr>
              <w:t>Six Months Ended</w:t>
            </w:r>
          </w:p>
        </w:tc>
        <w:tc>
          <w:tcPr>
            <w:tcW w:w="840" w:type="dxa"/>
            <w:vAlign w:val="bottom"/>
          </w:tcPr>
          <w:p>
            <w:pPr>
              <w:spacing w:after="0"/>
              <w:rPr>
                <w:sz w:val="10"/>
                <w:szCs w:val="10"/>
                <w:color w:val="auto"/>
              </w:rPr>
            </w:pPr>
          </w:p>
        </w:tc>
      </w:tr>
      <w:tr>
        <w:trPr>
          <w:trHeight w:val="150"/>
        </w:trPr>
        <w:tc>
          <w:tcPr>
            <w:tcW w:w="5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662"/>
              <w:spacing w:after="0"/>
              <w:rPr>
                <w:sz w:val="20"/>
                <w:szCs w:val="20"/>
                <w:color w:val="auto"/>
              </w:rPr>
            </w:pPr>
            <w:r>
              <w:rPr>
                <w:rFonts w:ascii="Arial" w:cs="Arial" w:eastAsia="Arial" w:hAnsi="Arial"/>
                <w:sz w:val="11"/>
                <w:szCs w:val="11"/>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r>
      <w:tr>
        <w:trPr>
          <w:trHeight w:val="14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color w:val="auto"/>
              </w:rPr>
              <w:t>2022</w:t>
            </w:r>
          </w:p>
        </w:tc>
      </w:tr>
      <w:tr>
        <w:trPr>
          <w:trHeight w:val="163"/>
        </w:trPr>
        <w:tc>
          <w:tcPr>
            <w:tcW w:w="5700" w:type="dxa"/>
            <w:vAlign w:val="bottom"/>
          </w:tcPr>
          <w:p>
            <w:pPr>
              <w:ind w:left="20"/>
              <w:spacing w:after="0"/>
              <w:rPr>
                <w:sz w:val="20"/>
                <w:szCs w:val="20"/>
                <w:color w:val="auto"/>
              </w:rPr>
            </w:pPr>
            <w:r>
              <w:rPr>
                <w:rFonts w:ascii="Arial" w:cs="Arial" w:eastAsia="Arial" w:hAnsi="Arial"/>
                <w:sz w:val="12"/>
                <w:szCs w:val="12"/>
                <w:color w:val="auto"/>
              </w:rPr>
              <w:t>Interest cost</w:t>
            </w:r>
          </w:p>
        </w:tc>
        <w:tc>
          <w:tcPr>
            <w:tcW w:w="820" w:type="dxa"/>
            <w:vAlign w:val="bottom"/>
          </w:tcPr>
          <w:p>
            <w:pPr>
              <w:jc w:val="right"/>
              <w:ind w:right="662"/>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b w:val="1"/>
                <w:bCs w:val="1"/>
                <w:color w:val="auto"/>
              </w:rPr>
              <w:t>52</w:t>
            </w:r>
          </w:p>
        </w:tc>
        <w:tc>
          <w:tcPr>
            <w:tcW w:w="940" w:type="dxa"/>
            <w:vAlign w:val="bottom"/>
          </w:tcPr>
          <w:p>
            <w:pPr>
              <w:jc w:val="right"/>
              <w:ind w:right="742"/>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25</w:t>
            </w:r>
          </w:p>
        </w:tc>
        <w:tc>
          <w:tcPr>
            <w:tcW w:w="360" w:type="dxa"/>
            <w:vAlign w:val="bottom"/>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ind w:right="42"/>
              <w:spacing w:after="0"/>
              <w:rPr>
                <w:sz w:val="20"/>
                <w:szCs w:val="20"/>
                <w:color w:val="auto"/>
              </w:rPr>
            </w:pPr>
            <w:r>
              <w:rPr>
                <w:rFonts w:ascii="Arial" w:cs="Arial" w:eastAsia="Arial" w:hAnsi="Arial"/>
                <w:sz w:val="12"/>
                <w:szCs w:val="12"/>
                <w:b w:val="1"/>
                <w:bCs w:val="1"/>
                <w:color w:val="auto"/>
              </w:rPr>
              <w:t>74</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69"/>
        </w:trPr>
        <w:tc>
          <w:tcPr>
            <w:tcW w:w="5700" w:type="dxa"/>
            <w:vAlign w:val="bottom"/>
          </w:tcPr>
          <w:p>
            <w:pPr>
              <w:ind w:left="20"/>
              <w:spacing w:after="0"/>
              <w:rPr>
                <w:sz w:val="20"/>
                <w:szCs w:val="20"/>
                <w:color w:val="auto"/>
              </w:rPr>
            </w:pPr>
            <w:r>
              <w:rPr>
                <w:rFonts w:ascii="Arial" w:cs="Arial" w:eastAsia="Arial" w:hAnsi="Arial"/>
                <w:sz w:val="12"/>
                <w:szCs w:val="12"/>
                <w:color w:val="auto"/>
              </w:rPr>
              <w:t>Amortization of prior service credit</w:t>
            </w:r>
          </w:p>
        </w:tc>
        <w:tc>
          <w:tcPr>
            <w:tcW w:w="82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auto"/>
              </w:rPr>
              <w:t>(1)</w:t>
            </w:r>
          </w:p>
        </w:tc>
        <w:tc>
          <w:tcPr>
            <w:tcW w:w="94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(2)</w:t>
            </w:r>
          </w:p>
        </w:tc>
        <w:tc>
          <w:tcPr>
            <w:tcW w:w="36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75"/>
        </w:trPr>
        <w:tc>
          <w:tcPr>
            <w:tcW w:w="5700" w:type="dxa"/>
            <w:vAlign w:val="bottom"/>
          </w:tcPr>
          <w:p>
            <w:pPr>
              <w:ind w:left="20"/>
              <w:spacing w:after="0"/>
              <w:rPr>
                <w:sz w:val="20"/>
                <w:szCs w:val="20"/>
                <w:color w:val="auto"/>
              </w:rPr>
            </w:pPr>
            <w:r>
              <w:rPr>
                <w:rFonts w:ascii="Arial" w:cs="Arial" w:eastAsia="Arial" w:hAnsi="Arial"/>
                <w:sz w:val="12"/>
                <w:szCs w:val="12"/>
                <w:color w:val="auto"/>
              </w:rPr>
              <w:t>Recognized actuarial gain</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(546)</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(710)</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(1,172)</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(1,421)</w:t>
            </w:r>
          </w:p>
        </w:tc>
      </w:tr>
      <w:tr>
        <w:trPr>
          <w:trHeight w:val="165"/>
        </w:trPr>
        <w:tc>
          <w:tcPr>
            <w:tcW w:w="5700" w:type="dxa"/>
            <w:vAlign w:val="bottom"/>
          </w:tcPr>
          <w:p>
            <w:pPr>
              <w:ind w:left="20"/>
              <w:spacing w:after="0"/>
              <w:rPr>
                <w:sz w:val="20"/>
                <w:szCs w:val="20"/>
                <w:color w:val="auto"/>
              </w:rPr>
            </w:pPr>
            <w:r>
              <w:rPr>
                <w:rFonts w:ascii="Arial" w:cs="Arial" w:eastAsia="Arial" w:hAnsi="Arial"/>
                <w:sz w:val="12"/>
                <w:szCs w:val="12"/>
                <w:b w:val="1"/>
                <w:bCs w:val="1"/>
                <w:color w:val="auto"/>
              </w:rPr>
              <w:t>Net Periodic Benefit</w:t>
            </w:r>
          </w:p>
        </w:tc>
        <w:tc>
          <w:tcPr>
            <w:tcW w:w="820" w:type="dxa"/>
            <w:vAlign w:val="bottom"/>
            <w:tcBorders>
              <w:bottom w:val="single" w:sz="8" w:color="auto"/>
            </w:tcBorders>
          </w:tcPr>
          <w:p>
            <w:pPr>
              <w:jc w:val="right"/>
              <w:ind w:right="662"/>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(495)</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(687)</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(1,100)</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(1,376)</w:t>
            </w:r>
          </w:p>
        </w:tc>
      </w:tr>
      <w:tr>
        <w:trPr>
          <w:trHeight w:val="20"/>
        </w:trPr>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OTHER NON-OPERATING INCOME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A summary of non-operating income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80" w:type="dxa"/>
            <w:vAlign w:val="bottom"/>
            <w:gridSpan w:val="2"/>
          </w:tcPr>
          <w:p>
            <w:pPr>
              <w:jc w:val="right"/>
              <w:ind w:right="342"/>
              <w:spacing w:after="0"/>
              <w:rPr>
                <w:sz w:val="20"/>
                <w:szCs w:val="20"/>
                <w:color w:val="auto"/>
              </w:rPr>
            </w:pPr>
            <w:r>
              <w:rPr>
                <w:rFonts w:ascii="Arial" w:cs="Arial" w:eastAsia="Arial" w:hAnsi="Arial"/>
                <w:sz w:val="11"/>
                <w:szCs w:val="11"/>
                <w:b w:val="1"/>
                <w:bCs w:val="1"/>
                <w:color w:val="auto"/>
                <w:w w:val="97"/>
              </w:rPr>
              <w:t>Three Months Ended</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gridSpan w:val="2"/>
          </w:tcPr>
          <w:p>
            <w:pPr>
              <w:jc w:val="right"/>
              <w:ind w:right="19"/>
              <w:spacing w:after="0"/>
              <w:rPr>
                <w:sz w:val="20"/>
                <w:szCs w:val="20"/>
                <w:color w:val="auto"/>
              </w:rPr>
            </w:pPr>
            <w:r>
              <w:rPr>
                <w:rFonts w:ascii="Arial" w:cs="Arial" w:eastAsia="Arial" w:hAnsi="Arial"/>
                <w:sz w:val="11"/>
                <w:szCs w:val="11"/>
                <w:b w:val="1"/>
                <w:bCs w:val="1"/>
                <w:color w:val="auto"/>
              </w:rPr>
              <w:t>Six Months Ended</w:t>
            </w:r>
          </w:p>
        </w:tc>
        <w:tc>
          <w:tcPr>
            <w:tcW w:w="840" w:type="dxa"/>
            <w:vAlign w:val="bottom"/>
          </w:tcPr>
          <w:p>
            <w:pPr>
              <w:spacing w:after="0"/>
              <w:rPr>
                <w:sz w:val="10"/>
                <w:szCs w:val="10"/>
                <w:color w:val="auto"/>
              </w:rPr>
            </w:pPr>
          </w:p>
        </w:tc>
      </w:tr>
      <w:tr>
        <w:trPr>
          <w:trHeight w:val="155"/>
        </w:trPr>
        <w:tc>
          <w:tcPr>
            <w:tcW w:w="5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642"/>
              <w:spacing w:after="0"/>
              <w:rPr>
                <w:sz w:val="20"/>
                <w:szCs w:val="20"/>
                <w:color w:val="auto"/>
              </w:rPr>
            </w:pPr>
            <w:r>
              <w:rPr>
                <w:rFonts w:ascii="Arial" w:cs="Arial" w:eastAsia="Arial" w:hAnsi="Arial"/>
                <w:sz w:val="11"/>
                <w:szCs w:val="11"/>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r>
      <w:tr>
        <w:trPr>
          <w:trHeight w:val="14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color w:val="auto"/>
              </w:rPr>
              <w:t>2022</w:t>
            </w: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color w:val="auto"/>
              </w:rPr>
              <w:t>2022</w:t>
            </w:r>
          </w:p>
        </w:tc>
      </w:tr>
      <w:tr>
        <w:trPr>
          <w:trHeight w:val="158"/>
        </w:trPr>
        <w:tc>
          <w:tcPr>
            <w:tcW w:w="5700" w:type="dxa"/>
            <w:vAlign w:val="bottom"/>
          </w:tcPr>
          <w:p>
            <w:pPr>
              <w:ind w:left="20"/>
              <w:spacing w:after="0"/>
              <w:rPr>
                <w:sz w:val="20"/>
                <w:szCs w:val="20"/>
                <w:color w:val="auto"/>
              </w:rPr>
            </w:pPr>
            <w:r>
              <w:rPr>
                <w:rFonts w:ascii="Arial" w:cs="Arial" w:eastAsia="Arial" w:hAnsi="Arial"/>
                <w:sz w:val="12"/>
                <w:szCs w:val="12"/>
                <w:color w:val="auto"/>
              </w:rPr>
              <w:t>Gain on sale of businesses</w:t>
            </w:r>
          </w:p>
        </w:tc>
        <w:tc>
          <w:tcPr>
            <w:tcW w:w="820" w:type="dxa"/>
            <w:vAlign w:val="bottom"/>
          </w:tcPr>
          <w:p>
            <w:pPr>
              <w:jc w:val="right"/>
              <w:ind w:right="662"/>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2"/>
                <w:szCs w:val="12"/>
                <w:b w:val="1"/>
                <w:bCs w:val="1"/>
                <w:color w:val="auto"/>
              </w:rPr>
              <w:t>12,232</w:t>
            </w:r>
          </w:p>
        </w:tc>
        <w:tc>
          <w:tcPr>
            <w:tcW w:w="940" w:type="dxa"/>
            <w:vAlign w:val="bottom"/>
          </w:tcPr>
          <w:p>
            <w:pPr>
              <w:jc w:val="right"/>
              <w:ind w:right="72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39"/>
              <w:spacing w:after="0"/>
              <w:rPr>
                <w:sz w:val="20"/>
                <w:szCs w:val="20"/>
                <w:color w:val="auto"/>
              </w:rPr>
            </w:pPr>
            <w:r>
              <w:rPr>
                <w:rFonts w:ascii="Arial" w:cs="Arial" w:eastAsia="Arial" w:hAnsi="Arial"/>
                <w:sz w:val="12"/>
                <w:szCs w:val="12"/>
                <w:color w:val="auto"/>
              </w:rPr>
              <w:t>753</w:t>
            </w:r>
          </w:p>
        </w:tc>
        <w:tc>
          <w:tcPr>
            <w:tcW w:w="360" w:type="dxa"/>
            <w:vAlign w:val="bottom"/>
          </w:tcPr>
          <w:p>
            <w:pPr>
              <w:jc w:val="right"/>
              <w:ind w:right="179"/>
              <w:spacing w:after="0"/>
              <w:rPr>
                <w:sz w:val="20"/>
                <w:szCs w:val="20"/>
                <w:color w:val="auto"/>
              </w:rPr>
            </w:pPr>
            <w:r>
              <w:rPr>
                <w:rFonts w:ascii="Arial" w:cs="Arial" w:eastAsia="Arial" w:hAnsi="Arial"/>
                <w:sz w:val="12"/>
                <w:szCs w:val="12"/>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2"/>
                <w:szCs w:val="12"/>
                <w:b w:val="1"/>
                <w:bCs w:val="1"/>
                <w:color w:val="auto"/>
              </w:rPr>
              <w:t>13,232</w:t>
            </w:r>
          </w:p>
        </w:tc>
        <w:tc>
          <w:tcPr>
            <w:tcW w:w="54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1,698</w:t>
            </w:r>
          </w:p>
        </w:tc>
      </w:tr>
      <w:tr>
        <w:trPr>
          <w:trHeight w:val="179"/>
        </w:trPr>
        <w:tc>
          <w:tcPr>
            <w:tcW w:w="5700" w:type="dxa"/>
            <w:vAlign w:val="bottom"/>
          </w:tcPr>
          <w:p>
            <w:pPr>
              <w:ind w:left="20"/>
              <w:spacing w:after="0"/>
              <w:rPr>
                <w:sz w:val="20"/>
                <w:szCs w:val="20"/>
                <w:color w:val="auto"/>
              </w:rPr>
            </w:pPr>
            <w:r>
              <w:rPr>
                <w:rFonts w:ascii="Arial" w:cs="Arial" w:eastAsia="Arial" w:hAnsi="Arial"/>
                <w:sz w:val="12"/>
                <w:szCs w:val="12"/>
                <w:color w:val="auto"/>
              </w:rPr>
              <w:t>Gain on cost method investments</w:t>
            </w:r>
          </w:p>
        </w:tc>
        <w:tc>
          <w:tcPr>
            <w:tcW w:w="820" w:type="dxa"/>
            <w:vAlign w:val="bottom"/>
          </w:tcPr>
          <w:p>
            <w:pPr>
              <w:spacing w:after="0"/>
              <w:rPr>
                <w:sz w:val="15"/>
                <w:szCs w:val="15"/>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b w:val="1"/>
                <w:bCs w:val="1"/>
                <w:color w:val="auto"/>
              </w:rPr>
              <w:t>1,273</w:t>
            </w:r>
          </w:p>
        </w:tc>
        <w:tc>
          <w:tcPr>
            <w:tcW w:w="940" w:type="dxa"/>
            <w:vAlign w:val="bottom"/>
          </w:tcPr>
          <w:p>
            <w:pPr>
              <w:spacing w:after="0"/>
              <w:rPr>
                <w:sz w:val="15"/>
                <w:szCs w:val="15"/>
                <w:color w:val="auto"/>
              </w:rPr>
            </w:pPr>
          </w:p>
        </w:tc>
        <w:tc>
          <w:tcPr>
            <w:tcW w:w="5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b w:val="1"/>
                <w:bCs w:val="1"/>
                <w:color w:val="auto"/>
              </w:rPr>
              <w:t>3,104</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2"/>
        </w:trPr>
        <w:tc>
          <w:tcPr>
            <w:tcW w:w="5700" w:type="dxa"/>
            <w:vAlign w:val="bottom"/>
          </w:tcPr>
          <w:p>
            <w:pPr>
              <w:ind w:left="20"/>
              <w:spacing w:after="0"/>
              <w:rPr>
                <w:sz w:val="20"/>
                <w:szCs w:val="20"/>
                <w:color w:val="auto"/>
              </w:rPr>
            </w:pPr>
            <w:r>
              <w:rPr>
                <w:rFonts w:ascii="Arial" w:cs="Arial" w:eastAsia="Arial" w:hAnsi="Arial"/>
                <w:sz w:val="12"/>
                <w:szCs w:val="12"/>
                <w:color w:val="auto"/>
              </w:rPr>
              <w:t>Gain (loss) on sale of cost method investments</w:t>
            </w:r>
          </w:p>
        </w:tc>
        <w:tc>
          <w:tcPr>
            <w:tcW w:w="82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b w:val="1"/>
                <w:bCs w:val="1"/>
                <w:color w:val="auto"/>
              </w:rPr>
              <w:t>46</w:t>
            </w:r>
          </w:p>
        </w:tc>
        <w:tc>
          <w:tcPr>
            <w:tcW w:w="9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(51)</w:t>
            </w:r>
          </w:p>
        </w:tc>
        <w:tc>
          <w:tcPr>
            <w:tcW w:w="36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b w:val="1"/>
                <w:bCs w:val="1"/>
                <w:color w:val="auto"/>
              </w:rPr>
              <w:t>831</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1,024</w:t>
            </w:r>
          </w:p>
        </w:tc>
      </w:tr>
      <w:tr>
        <w:trPr>
          <w:trHeight w:val="172"/>
        </w:trPr>
        <w:tc>
          <w:tcPr>
            <w:tcW w:w="5700" w:type="dxa"/>
            <w:vAlign w:val="bottom"/>
          </w:tcPr>
          <w:p>
            <w:pPr>
              <w:ind w:left="20"/>
              <w:spacing w:after="0"/>
              <w:rPr>
                <w:sz w:val="20"/>
                <w:szCs w:val="20"/>
                <w:color w:val="auto"/>
              </w:rPr>
            </w:pPr>
            <w:r>
              <w:rPr>
                <w:rFonts w:ascii="Arial" w:cs="Arial" w:eastAsia="Arial" w:hAnsi="Arial"/>
                <w:sz w:val="12"/>
                <w:szCs w:val="12"/>
                <w:color w:val="auto"/>
              </w:rPr>
              <w:t>Foreign currency gain (loss), net</w:t>
            </w:r>
          </w:p>
        </w:tc>
        <w:tc>
          <w:tcPr>
            <w:tcW w:w="82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b w:val="1"/>
                <w:bCs w:val="1"/>
                <w:color w:val="auto"/>
              </w:rPr>
              <w:t>1,604</w:t>
            </w:r>
          </w:p>
        </w:tc>
        <w:tc>
          <w:tcPr>
            <w:tcW w:w="9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(478)</w:t>
            </w:r>
          </w:p>
        </w:tc>
        <w:tc>
          <w:tcPr>
            <w:tcW w:w="36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b w:val="1"/>
                <w:bCs w:val="1"/>
                <w:color w:val="auto"/>
              </w:rPr>
              <w:t>100</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(1,525)</w:t>
            </w:r>
          </w:p>
        </w:tc>
      </w:tr>
      <w:tr>
        <w:trPr>
          <w:trHeight w:val="172"/>
        </w:trPr>
        <w:tc>
          <w:tcPr>
            <w:tcW w:w="5700" w:type="dxa"/>
            <w:vAlign w:val="bottom"/>
          </w:tcPr>
          <w:p>
            <w:pPr>
              <w:ind w:left="20"/>
              <w:spacing w:after="0"/>
              <w:rPr>
                <w:sz w:val="20"/>
                <w:szCs w:val="20"/>
                <w:color w:val="auto"/>
              </w:rPr>
            </w:pPr>
            <w:r>
              <w:rPr>
                <w:rFonts w:ascii="Arial" w:cs="Arial" w:eastAsia="Arial" w:hAnsi="Arial"/>
                <w:sz w:val="12"/>
                <w:szCs w:val="12"/>
                <w:color w:val="auto"/>
              </w:rPr>
              <w:t>Gain on sale of investments in affiliates</w:t>
            </w:r>
          </w:p>
        </w:tc>
        <w:tc>
          <w:tcPr>
            <w:tcW w:w="82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b w:val="1"/>
                <w:bCs w:val="1"/>
                <w:color w:val="auto"/>
              </w:rPr>
              <w:t>15</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604</w:t>
            </w:r>
          </w:p>
        </w:tc>
      </w:tr>
      <w:tr>
        <w:trPr>
          <w:trHeight w:val="181"/>
        </w:trPr>
        <w:tc>
          <w:tcPr>
            <w:tcW w:w="5700" w:type="dxa"/>
            <w:vAlign w:val="bottom"/>
          </w:tcPr>
          <w:p>
            <w:pPr>
              <w:ind w:left="20"/>
              <w:spacing w:after="0"/>
              <w:rPr>
                <w:sz w:val="20"/>
                <w:szCs w:val="20"/>
                <w:color w:val="auto"/>
              </w:rPr>
            </w:pPr>
            <w:r>
              <w:rPr>
                <w:rFonts w:ascii="Arial" w:cs="Arial" w:eastAsia="Arial" w:hAnsi="Arial"/>
                <w:sz w:val="12"/>
                <w:szCs w:val="12"/>
                <w:color w:val="auto"/>
              </w:rPr>
              <w:t>Other gain, net</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639</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952</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1,595</w:t>
            </w: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2,251</w:t>
            </w:r>
          </w:p>
        </w:tc>
      </w:tr>
      <w:tr>
        <w:trPr>
          <w:trHeight w:val="169"/>
        </w:trPr>
        <w:tc>
          <w:tcPr>
            <w:tcW w:w="5700" w:type="dxa"/>
            <w:vAlign w:val="bottom"/>
          </w:tcPr>
          <w:p>
            <w:pPr>
              <w:ind w:left="20"/>
              <w:spacing w:after="0"/>
              <w:rPr>
                <w:sz w:val="20"/>
                <w:szCs w:val="20"/>
                <w:color w:val="auto"/>
              </w:rPr>
            </w:pPr>
            <w:r>
              <w:rPr>
                <w:rFonts w:ascii="Arial" w:cs="Arial" w:eastAsia="Arial" w:hAnsi="Arial"/>
                <w:sz w:val="12"/>
                <w:szCs w:val="12"/>
                <w:b w:val="1"/>
                <w:bCs w:val="1"/>
                <w:color w:val="auto"/>
              </w:rPr>
              <w:t>Total Other Non-Operating Income</w:t>
            </w:r>
          </w:p>
        </w:tc>
        <w:tc>
          <w:tcPr>
            <w:tcW w:w="820" w:type="dxa"/>
            <w:vAlign w:val="bottom"/>
            <w:tcBorders>
              <w:bottom w:val="single" w:sz="8" w:color="auto"/>
            </w:tcBorders>
          </w:tcPr>
          <w:p>
            <w:pPr>
              <w:jc w:val="right"/>
              <w:ind w:right="662"/>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15,794</w:t>
            </w:r>
          </w:p>
        </w:tc>
        <w:tc>
          <w:tcPr>
            <w:tcW w:w="940" w:type="dxa"/>
            <w:vAlign w:val="bottom"/>
            <w:tcBorders>
              <w:bottom w:val="single" w:sz="8" w:color="auto"/>
            </w:tcBorders>
          </w:tcPr>
          <w:p>
            <w:pPr>
              <w:jc w:val="right"/>
              <w:ind w:right="72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1,176</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18,877</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4,052</w:t>
            </w:r>
          </w:p>
        </w:tc>
      </w:tr>
      <w:tr>
        <w:trPr>
          <w:trHeight w:val="20"/>
        </w:trPr>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The gain on cost method investments resulted from observable price changes in the fair value of the underlying equity securities accounted for under the cost method (see Notes 3 and 8).</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During the three and six months ended June 30, 2023, the Company recorded contingent consideration gains of $ 2.2 million and $3.2 million, respectively, related to the disposition of Kaplan University (KU) in 2018. During the three and six months ended June 30, 2022, the Company recorded contingent consideration gains of $0.8 million and $1.7 million, respectively.</w:t>
      </w:r>
    </w:p>
    <w:p>
      <w:pPr>
        <w:spacing w:after="0" w:line="67" w:lineRule="exact"/>
        <w:rPr>
          <w:sz w:val="20"/>
          <w:szCs w:val="20"/>
          <w:color w:val="auto"/>
        </w:rPr>
      </w:pPr>
    </w:p>
    <w:p>
      <w:pPr>
        <w:ind w:right="120"/>
        <w:spacing w:after="0" w:line="279" w:lineRule="auto"/>
        <w:rPr>
          <w:sz w:val="20"/>
          <w:szCs w:val="20"/>
          <w:color w:val="auto"/>
        </w:rPr>
      </w:pPr>
      <w:r>
        <w:rPr>
          <w:rFonts w:ascii="Arial" w:cs="Arial" w:eastAsia="Arial" w:hAnsi="Arial"/>
          <w:sz w:val="13"/>
          <w:szCs w:val="13"/>
          <w:color w:val="auto"/>
        </w:rPr>
        <w:t>In the second quarter of 2023, the Company recorded a $10.0 million gain related to the Pinna transaction (see Notes 2 and 3). The Company used a market approach to determine the fair value of the noncontrolling financial interest received in Realm in exchange for the Pinna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13. ACCUMULATED OTHER COMPREHENSIVE INCOME (LOSS)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other comprehensive income (loss) consists of the following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2"/>
        </w:trPr>
        <w:tc>
          <w:tcPr>
            <w:tcW w:w="4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2023</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82"/>
              <w:spacing w:after="0"/>
              <w:rPr>
                <w:sz w:val="20"/>
                <w:szCs w:val="20"/>
                <w:color w:val="auto"/>
              </w:rPr>
            </w:pPr>
            <w:r>
              <w:rPr>
                <w:rFonts w:ascii="Arial" w:cs="Arial" w:eastAsia="Arial" w:hAnsi="Arial"/>
                <w:sz w:val="11"/>
                <w:szCs w:val="11"/>
                <w:color w:val="auto"/>
                <w:w w:val="97"/>
              </w:rPr>
              <w:t>2022</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47"/>
        </w:trPr>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221"/>
              <w:spacing w:after="0"/>
              <w:rPr>
                <w:sz w:val="20"/>
                <w:szCs w:val="20"/>
                <w:color w:val="auto"/>
              </w:rPr>
            </w:pPr>
            <w:r>
              <w:rPr>
                <w:rFonts w:ascii="Arial" w:cs="Arial" w:eastAsia="Arial" w:hAnsi="Arial"/>
                <w:sz w:val="11"/>
                <w:szCs w:val="11"/>
                <w:b w:val="1"/>
                <w:bCs w:val="1"/>
                <w:color w:val="auto"/>
              </w:rPr>
              <w:t>Before-Tax</w:t>
            </w:r>
          </w:p>
        </w:tc>
        <w:tc>
          <w:tcPr>
            <w:tcW w:w="220" w:type="dxa"/>
            <w:vAlign w:val="bottom"/>
          </w:tcPr>
          <w:p>
            <w:pPr>
              <w:spacing w:after="0"/>
              <w:rPr>
                <w:sz w:val="12"/>
                <w:szCs w:val="12"/>
                <w:color w:val="auto"/>
              </w:rPr>
            </w:pPr>
          </w:p>
        </w:tc>
        <w:tc>
          <w:tcPr>
            <w:tcW w:w="820" w:type="dxa"/>
            <w:vAlign w:val="bottom"/>
          </w:tcPr>
          <w:p>
            <w:pPr>
              <w:jc w:val="right"/>
              <w:ind w:right="242"/>
              <w:spacing w:after="0"/>
              <w:rPr>
                <w:sz w:val="20"/>
                <w:szCs w:val="20"/>
                <w:color w:val="auto"/>
              </w:rPr>
            </w:pPr>
            <w:r>
              <w:rPr>
                <w:rFonts w:ascii="Arial" w:cs="Arial" w:eastAsia="Arial" w:hAnsi="Arial"/>
                <w:sz w:val="11"/>
                <w:szCs w:val="11"/>
                <w:b w:val="1"/>
                <w:bCs w:val="1"/>
                <w:color w:val="auto"/>
              </w:rPr>
              <w:t>Income</w:t>
            </w:r>
          </w:p>
        </w:tc>
        <w:tc>
          <w:tcPr>
            <w:tcW w:w="240" w:type="dxa"/>
            <w:vAlign w:val="bottom"/>
          </w:tcPr>
          <w:p>
            <w:pPr>
              <w:spacing w:after="0"/>
              <w:rPr>
                <w:sz w:val="12"/>
                <w:szCs w:val="12"/>
                <w:color w:val="auto"/>
              </w:rPr>
            </w:pP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After-Tax</w:t>
            </w:r>
          </w:p>
        </w:tc>
        <w:tc>
          <w:tcPr>
            <w:tcW w:w="200" w:type="dxa"/>
            <w:vAlign w:val="bottom"/>
          </w:tcPr>
          <w:p>
            <w:pPr>
              <w:spacing w:after="0"/>
              <w:rPr>
                <w:sz w:val="12"/>
                <w:szCs w:val="12"/>
                <w:color w:val="auto"/>
              </w:rPr>
            </w:pPr>
          </w:p>
        </w:tc>
        <w:tc>
          <w:tcPr>
            <w:tcW w:w="880" w:type="dxa"/>
            <w:vAlign w:val="bottom"/>
          </w:tcPr>
          <w:p>
            <w:pPr>
              <w:jc w:val="center"/>
              <w:ind w:right="141"/>
              <w:spacing w:after="0"/>
              <w:rPr>
                <w:sz w:val="20"/>
                <w:szCs w:val="20"/>
                <w:color w:val="auto"/>
              </w:rPr>
            </w:pPr>
            <w:r>
              <w:rPr>
                <w:rFonts w:ascii="Arial" w:cs="Arial" w:eastAsia="Arial" w:hAnsi="Arial"/>
                <w:sz w:val="11"/>
                <w:szCs w:val="11"/>
                <w:color w:val="auto"/>
                <w:w w:val="95"/>
              </w:rPr>
              <w:t>Before-Tax</w:t>
            </w:r>
          </w:p>
        </w:tc>
        <w:tc>
          <w:tcPr>
            <w:tcW w:w="240" w:type="dxa"/>
            <w:vAlign w:val="bottom"/>
          </w:tcPr>
          <w:p>
            <w:pPr>
              <w:spacing w:after="0"/>
              <w:rPr>
                <w:sz w:val="12"/>
                <w:szCs w:val="12"/>
                <w:color w:val="auto"/>
              </w:rPr>
            </w:pPr>
          </w:p>
        </w:tc>
        <w:tc>
          <w:tcPr>
            <w:tcW w:w="800" w:type="dxa"/>
            <w:vAlign w:val="bottom"/>
          </w:tcPr>
          <w:p>
            <w:pPr>
              <w:jc w:val="center"/>
              <w:ind w:right="162"/>
              <w:spacing w:after="0"/>
              <w:rPr>
                <w:sz w:val="20"/>
                <w:szCs w:val="20"/>
                <w:color w:val="auto"/>
              </w:rPr>
            </w:pPr>
            <w:r>
              <w:rPr>
                <w:rFonts w:ascii="Arial" w:cs="Arial" w:eastAsia="Arial" w:hAnsi="Arial"/>
                <w:sz w:val="11"/>
                <w:szCs w:val="11"/>
                <w:color w:val="auto"/>
                <w:w w:val="94"/>
              </w:rPr>
              <w:t>Income</w:t>
            </w:r>
          </w:p>
        </w:tc>
        <w:tc>
          <w:tcPr>
            <w:tcW w:w="240" w:type="dxa"/>
            <w:vAlign w:val="bottom"/>
          </w:tcPr>
          <w:p>
            <w:pPr>
              <w:spacing w:after="0"/>
              <w:rPr>
                <w:sz w:val="12"/>
                <w:szCs w:val="12"/>
                <w:color w:val="auto"/>
              </w:rPr>
            </w:pPr>
          </w:p>
        </w:tc>
        <w:tc>
          <w:tcPr>
            <w:tcW w:w="800" w:type="dxa"/>
            <w:vAlign w:val="bottom"/>
          </w:tcPr>
          <w:p>
            <w:pPr>
              <w:jc w:val="center"/>
              <w:ind w:right="101"/>
              <w:spacing w:after="0"/>
              <w:rPr>
                <w:sz w:val="20"/>
                <w:szCs w:val="20"/>
                <w:color w:val="auto"/>
              </w:rPr>
            </w:pPr>
            <w:r>
              <w:rPr>
                <w:rFonts w:ascii="Arial" w:cs="Arial" w:eastAsia="Arial" w:hAnsi="Arial"/>
                <w:sz w:val="11"/>
                <w:szCs w:val="11"/>
                <w:color w:val="auto"/>
                <w:w w:val="97"/>
              </w:rPr>
              <w:t>After-Tax</w:t>
            </w:r>
          </w:p>
        </w:tc>
      </w:tr>
      <w:tr>
        <w:trPr>
          <w:trHeight w:val="15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b w:val="1"/>
                <w:bCs w:val="1"/>
                <w:color w:val="auto"/>
              </w:rPr>
              <w:t>Amount</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Tax</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Amount</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41"/>
              <w:spacing w:after="0"/>
              <w:rPr>
                <w:sz w:val="20"/>
                <w:szCs w:val="20"/>
                <w:color w:val="auto"/>
              </w:rPr>
            </w:pPr>
            <w:r>
              <w:rPr>
                <w:rFonts w:ascii="Arial" w:cs="Arial" w:eastAsia="Arial" w:hAnsi="Arial"/>
                <w:sz w:val="11"/>
                <w:szCs w:val="11"/>
                <w:color w:val="auto"/>
                <w:w w:val="94"/>
              </w:rPr>
              <w:t>Amount</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1"/>
                <w:szCs w:val="11"/>
                <w:color w:val="auto"/>
                <w:w w:val="97"/>
              </w:rPr>
              <w:t>Tax</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1"/>
              <w:spacing w:after="0"/>
              <w:rPr>
                <w:sz w:val="20"/>
                <w:szCs w:val="20"/>
                <w:color w:val="auto"/>
              </w:rPr>
            </w:pPr>
            <w:r>
              <w:rPr>
                <w:rFonts w:ascii="Arial" w:cs="Arial" w:eastAsia="Arial" w:hAnsi="Arial"/>
                <w:sz w:val="11"/>
                <w:szCs w:val="11"/>
                <w:color w:val="auto"/>
                <w:w w:val="94"/>
              </w:rPr>
              <w:t>Amount</w:t>
            </w:r>
          </w:p>
        </w:tc>
      </w:tr>
      <w:tr>
        <w:trPr>
          <w:trHeight w:val="153"/>
        </w:trPr>
        <w:tc>
          <w:tcPr>
            <w:tcW w:w="4840" w:type="dxa"/>
            <w:vAlign w:val="bottom"/>
          </w:tcPr>
          <w:p>
            <w:pPr>
              <w:ind w:left="20"/>
              <w:spacing w:after="0"/>
              <w:rPr>
                <w:sz w:val="20"/>
                <w:szCs w:val="20"/>
                <w:color w:val="auto"/>
              </w:rPr>
            </w:pPr>
            <w:r>
              <w:rPr>
                <w:rFonts w:ascii="Arial" w:cs="Arial" w:eastAsia="Arial" w:hAnsi="Arial"/>
                <w:sz w:val="12"/>
                <w:szCs w:val="12"/>
                <w:color w:val="auto"/>
              </w:rPr>
              <w:t>Foreign currency translation adjustments: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0"/>
        </w:trPr>
        <w:tc>
          <w:tcPr>
            <w:tcW w:w="4840" w:type="dxa"/>
            <w:vAlign w:val="bottom"/>
          </w:tcPr>
          <w:p>
            <w:pPr>
              <w:ind w:left="100"/>
              <w:spacing w:after="0"/>
              <w:rPr>
                <w:sz w:val="20"/>
                <w:szCs w:val="20"/>
                <w:color w:val="auto"/>
              </w:rPr>
            </w:pPr>
            <w:r>
              <w:rPr>
                <w:rFonts w:ascii="Arial" w:cs="Arial" w:eastAsia="Arial" w:hAnsi="Arial"/>
                <w:sz w:val="12"/>
                <w:szCs w:val="12"/>
                <w:color w:val="auto"/>
              </w:rPr>
              <w:t>Translation adjustments arising during the period</w:t>
            </w:r>
          </w:p>
        </w:tc>
        <w:tc>
          <w:tcPr>
            <w:tcW w:w="20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2"/>
                <w:szCs w:val="12"/>
                <w:b w:val="1"/>
                <w:bCs w:val="1"/>
                <w:color w:val="auto"/>
              </w:rPr>
              <w:t>2,384</w:t>
            </w:r>
          </w:p>
        </w:tc>
        <w:tc>
          <w:tcPr>
            <w:tcW w:w="220" w:type="dxa"/>
            <w:vAlign w:val="bottom"/>
          </w:tcPr>
          <w:p>
            <w:pPr>
              <w:jc w:val="right"/>
              <w:ind w:right="19"/>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ind w:right="42"/>
              <w:spacing w:after="0"/>
              <w:rPr>
                <w:sz w:val="20"/>
                <w:szCs w:val="20"/>
                <w:color w:val="auto"/>
              </w:rPr>
            </w:pPr>
            <w:r>
              <w:rPr>
                <w:rFonts w:ascii="Arial" w:cs="Arial" w:eastAsia="Arial" w:hAnsi="Arial"/>
                <w:sz w:val="12"/>
                <w:szCs w:val="12"/>
                <w:b w:val="1"/>
                <w:bCs w:val="1"/>
                <w:color w:val="auto"/>
              </w:rPr>
              <w:t>2,384</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(40,928)</w:t>
            </w:r>
          </w:p>
        </w:tc>
        <w:tc>
          <w:tcPr>
            <w:tcW w:w="2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(40,928)</w:t>
            </w:r>
          </w:p>
        </w:tc>
      </w:tr>
      <w:tr>
        <w:trPr>
          <w:trHeight w:val="174"/>
        </w:trPr>
        <w:tc>
          <w:tcPr>
            <w:tcW w:w="4840" w:type="dxa"/>
            <w:vAlign w:val="bottom"/>
          </w:tcPr>
          <w:p>
            <w:pPr>
              <w:ind w:left="20"/>
              <w:spacing w:after="0"/>
              <w:rPr>
                <w:sz w:val="20"/>
                <w:szCs w:val="20"/>
                <w:color w:val="auto"/>
              </w:rPr>
            </w:pPr>
            <w:r>
              <w:rPr>
                <w:rFonts w:ascii="Arial" w:cs="Arial" w:eastAsia="Arial" w:hAnsi="Arial"/>
                <w:sz w:val="12"/>
                <w:szCs w:val="12"/>
                <w:color w:val="auto"/>
              </w:rPr>
              <w:t>Pension and other postretirement plans: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840" w:type="dxa"/>
            <w:vAlign w:val="bottom"/>
          </w:tcPr>
          <w:p>
            <w:pPr>
              <w:ind w:left="100"/>
              <w:spacing w:after="0"/>
              <w:rPr>
                <w:sz w:val="20"/>
                <w:szCs w:val="20"/>
                <w:color w:val="auto"/>
              </w:rPr>
            </w:pPr>
            <w:r>
              <w:rPr>
                <w:rFonts w:ascii="Arial" w:cs="Arial" w:eastAsia="Arial" w:hAnsi="Arial"/>
                <w:sz w:val="12"/>
                <w:szCs w:val="12"/>
                <w:color w:val="auto"/>
              </w:rPr>
              <w:t>Amortization of net prior service cost included in net income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b w:val="1"/>
                <w:bCs w:val="1"/>
                <w:color w:val="auto"/>
              </w:rPr>
              <w:t>411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(106)</w:t>
            </w:r>
          </w:p>
        </w:tc>
        <w:tc>
          <w:tcPr>
            <w:tcW w:w="240" w:type="dxa"/>
            <w:vAlign w:val="bottom"/>
          </w:tcPr>
          <w:p>
            <w:pPr>
              <w:spacing w:after="0"/>
              <w:rPr>
                <w:sz w:val="15"/>
                <w:szCs w:val="15"/>
                <w:color w:val="auto"/>
              </w:rPr>
            </w:pPr>
          </w:p>
        </w:tc>
        <w:tc>
          <w:tcPr>
            <w:tcW w:w="880" w:type="dxa"/>
            <w:vAlign w:val="bottom"/>
          </w:tcPr>
          <w:p>
            <w:pPr>
              <w:jc w:val="right"/>
              <w:ind w:right="42"/>
              <w:spacing w:after="0"/>
              <w:rPr>
                <w:sz w:val="20"/>
                <w:szCs w:val="20"/>
                <w:color w:val="auto"/>
              </w:rPr>
            </w:pPr>
            <w:r>
              <w:rPr>
                <w:rFonts w:ascii="Arial" w:cs="Arial" w:eastAsia="Arial" w:hAnsi="Arial"/>
                <w:sz w:val="12"/>
                <w:szCs w:val="12"/>
                <w:b w:val="1"/>
                <w:bCs w:val="1"/>
                <w:color w:val="auto"/>
              </w:rPr>
              <w:t>305</w:t>
            </w:r>
          </w:p>
        </w:tc>
        <w:tc>
          <w:tcPr>
            <w:tcW w:w="20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716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(185)</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531</w:t>
            </w:r>
          </w:p>
        </w:tc>
      </w:tr>
      <w:tr>
        <w:trPr>
          <w:trHeight w:val="175"/>
        </w:trPr>
        <w:tc>
          <w:tcPr>
            <w:tcW w:w="4840" w:type="dxa"/>
            <w:vAlign w:val="bottom"/>
          </w:tcPr>
          <w:p>
            <w:pPr>
              <w:ind w:left="100"/>
              <w:spacing w:after="0"/>
              <w:rPr>
                <w:sz w:val="20"/>
                <w:szCs w:val="20"/>
                <w:color w:val="auto"/>
              </w:rPr>
            </w:pPr>
            <w:r>
              <w:rPr>
                <w:rFonts w:ascii="Arial" w:cs="Arial" w:eastAsia="Arial" w:hAnsi="Arial"/>
                <w:sz w:val="12"/>
                <w:szCs w:val="12"/>
                <w:color w:val="auto"/>
              </w:rPr>
              <w:t>Amortization of net actuarial gain included in net income</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(10,434)</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2,684</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(7,750)</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(18,082)</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4,660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(13,422)</w:t>
            </w:r>
          </w:p>
        </w:tc>
      </w:tr>
      <w:tr>
        <w:trPr>
          <w:trHeight w:val="161"/>
        </w:trPr>
        <w:tc>
          <w:tcPr>
            <w:tcW w:w="4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(10,023)</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2,578</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(7,445)</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(17,366)</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4,475</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(12,891)</w:t>
            </w:r>
          </w:p>
        </w:tc>
      </w:tr>
      <w:tr>
        <w:trPr>
          <w:trHeight w:val="151"/>
        </w:trPr>
        <w:tc>
          <w:tcPr>
            <w:tcW w:w="4840" w:type="dxa"/>
            <w:vAlign w:val="bottom"/>
          </w:tcPr>
          <w:p>
            <w:pPr>
              <w:ind w:left="20"/>
              <w:spacing w:after="0"/>
              <w:rPr>
                <w:sz w:val="20"/>
                <w:szCs w:val="20"/>
                <w:color w:val="auto"/>
              </w:rPr>
            </w:pPr>
            <w:r>
              <w:rPr>
                <w:rFonts w:ascii="Arial" w:cs="Arial" w:eastAsia="Arial" w:hAnsi="Arial"/>
                <w:sz w:val="12"/>
                <w:szCs w:val="12"/>
                <w:color w:val="auto"/>
              </w:rPr>
              <w:t>Cash flow hedges: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4840" w:type="dxa"/>
            <w:vAlign w:val="bottom"/>
          </w:tcPr>
          <w:p>
            <w:pPr>
              <w:ind w:left="100"/>
              <w:spacing w:after="0"/>
              <w:rPr>
                <w:sz w:val="20"/>
                <w:szCs w:val="20"/>
                <w:color w:val="auto"/>
              </w:rPr>
            </w:pPr>
            <w:r>
              <w:rPr>
                <w:rFonts w:ascii="Arial" w:cs="Arial" w:eastAsia="Arial" w:hAnsi="Arial"/>
                <w:sz w:val="12"/>
                <w:szCs w:val="12"/>
                <w:color w:val="auto"/>
              </w:rPr>
              <w:t>Gains for the period</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1,188</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(273)</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915</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1,091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840</w:t>
            </w:r>
          </w:p>
        </w:tc>
      </w:tr>
      <w:tr>
        <w:trPr>
          <w:trHeight w:val="164"/>
        </w:trPr>
        <w:tc>
          <w:tcPr>
            <w:tcW w:w="4840" w:type="dxa"/>
            <w:vAlign w:val="bottom"/>
          </w:tcPr>
          <w:p>
            <w:pPr>
              <w:ind w:left="20"/>
              <w:spacing w:after="0"/>
              <w:rPr>
                <w:sz w:val="20"/>
                <w:szCs w:val="20"/>
                <w:color w:val="auto"/>
              </w:rPr>
            </w:pPr>
            <w:r>
              <w:rPr>
                <w:rFonts w:ascii="Arial" w:cs="Arial" w:eastAsia="Arial" w:hAnsi="Arial"/>
                <w:sz w:val="12"/>
                <w:szCs w:val="12"/>
                <w:b w:val="1"/>
                <w:bCs w:val="1"/>
                <w:color w:val="auto"/>
              </w:rPr>
              <w:t>Other Comprehensive Loss</w:t>
            </w: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(6,451)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2,305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(4,146)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(57,203)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4,224</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(52,979)</w:t>
            </w:r>
          </w:p>
        </w:tc>
      </w:tr>
      <w:tr>
        <w:trPr>
          <w:trHeight w:val="20"/>
        </w:trPr>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8"/>
        </w:trPr>
        <w:tc>
          <w:tcPr>
            <w:tcW w:w="48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147"/>
        </w:trPr>
        <w:tc>
          <w:tcPr>
            <w:tcW w:w="48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02"/>
              <w:spacing w:after="0"/>
              <w:rPr>
                <w:sz w:val="20"/>
                <w:szCs w:val="20"/>
                <w:color w:val="auto"/>
              </w:rPr>
            </w:pPr>
            <w:r>
              <w:rPr>
                <w:rFonts w:ascii="Arial" w:cs="Arial" w:eastAsia="Arial" w:hAnsi="Arial"/>
                <w:sz w:val="11"/>
                <w:szCs w:val="11"/>
                <w:b w:val="1"/>
                <w:bCs w:val="1"/>
                <w:color w:val="auto"/>
                <w:w w:val="97"/>
              </w:rPr>
              <w:t>2023</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82"/>
              <w:spacing w:after="0"/>
              <w:rPr>
                <w:sz w:val="20"/>
                <w:szCs w:val="20"/>
                <w:color w:val="auto"/>
              </w:rPr>
            </w:pPr>
            <w:r>
              <w:rPr>
                <w:rFonts w:ascii="Arial" w:cs="Arial" w:eastAsia="Arial" w:hAnsi="Arial"/>
                <w:sz w:val="11"/>
                <w:szCs w:val="11"/>
                <w:color w:val="auto"/>
                <w:w w:val="97"/>
              </w:rPr>
              <w:t>2022</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41"/>
        </w:trPr>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261"/>
              <w:spacing w:after="0"/>
              <w:rPr>
                <w:sz w:val="20"/>
                <w:szCs w:val="20"/>
                <w:color w:val="auto"/>
              </w:rPr>
            </w:pPr>
            <w:r>
              <w:rPr>
                <w:rFonts w:ascii="Arial" w:cs="Arial" w:eastAsia="Arial" w:hAnsi="Arial"/>
                <w:sz w:val="11"/>
                <w:szCs w:val="11"/>
                <w:b w:val="1"/>
                <w:bCs w:val="1"/>
                <w:color w:val="auto"/>
              </w:rPr>
              <w:t>Before-Tax</w:t>
            </w:r>
          </w:p>
        </w:tc>
        <w:tc>
          <w:tcPr>
            <w:tcW w:w="22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1"/>
                <w:szCs w:val="11"/>
                <w:b w:val="1"/>
                <w:bCs w:val="1"/>
                <w:color w:val="auto"/>
                <w:w w:val="98"/>
              </w:rPr>
              <w:t>Income</w:t>
            </w:r>
          </w:p>
        </w:tc>
        <w:tc>
          <w:tcPr>
            <w:tcW w:w="240" w:type="dxa"/>
            <w:vAlign w:val="bottom"/>
          </w:tcPr>
          <w:p>
            <w:pPr>
              <w:spacing w:after="0"/>
              <w:rPr>
                <w:sz w:val="12"/>
                <w:szCs w:val="12"/>
                <w:color w:val="auto"/>
              </w:rPr>
            </w:pPr>
          </w:p>
        </w:tc>
        <w:tc>
          <w:tcPr>
            <w:tcW w:w="880" w:type="dxa"/>
            <w:vAlign w:val="bottom"/>
          </w:tcPr>
          <w:p>
            <w:pPr>
              <w:jc w:val="right"/>
              <w:ind w:right="282"/>
              <w:spacing w:after="0"/>
              <w:rPr>
                <w:sz w:val="20"/>
                <w:szCs w:val="20"/>
                <w:color w:val="auto"/>
              </w:rPr>
            </w:pPr>
            <w:r>
              <w:rPr>
                <w:rFonts w:ascii="Arial" w:cs="Arial" w:eastAsia="Arial" w:hAnsi="Arial"/>
                <w:sz w:val="11"/>
                <w:szCs w:val="11"/>
                <w:b w:val="1"/>
                <w:bCs w:val="1"/>
                <w:color w:val="auto"/>
              </w:rPr>
              <w:t>After-Tax</w:t>
            </w:r>
          </w:p>
        </w:tc>
        <w:tc>
          <w:tcPr>
            <w:tcW w:w="200" w:type="dxa"/>
            <w:vAlign w:val="bottom"/>
          </w:tcPr>
          <w:p>
            <w:pPr>
              <w:spacing w:after="0"/>
              <w:rPr>
                <w:sz w:val="12"/>
                <w:szCs w:val="12"/>
                <w:color w:val="auto"/>
              </w:rPr>
            </w:pPr>
          </w:p>
        </w:tc>
        <w:tc>
          <w:tcPr>
            <w:tcW w:w="880" w:type="dxa"/>
            <w:vAlign w:val="bottom"/>
          </w:tcPr>
          <w:p>
            <w:pPr>
              <w:jc w:val="center"/>
              <w:ind w:right="141"/>
              <w:spacing w:after="0"/>
              <w:rPr>
                <w:sz w:val="20"/>
                <w:szCs w:val="20"/>
                <w:color w:val="auto"/>
              </w:rPr>
            </w:pPr>
            <w:r>
              <w:rPr>
                <w:rFonts w:ascii="Arial" w:cs="Arial" w:eastAsia="Arial" w:hAnsi="Arial"/>
                <w:sz w:val="11"/>
                <w:szCs w:val="11"/>
                <w:color w:val="auto"/>
                <w:w w:val="95"/>
              </w:rPr>
              <w:t>Before-Tax</w:t>
            </w:r>
          </w:p>
        </w:tc>
        <w:tc>
          <w:tcPr>
            <w:tcW w:w="240" w:type="dxa"/>
            <w:vAlign w:val="bottom"/>
          </w:tcPr>
          <w:p>
            <w:pPr>
              <w:spacing w:after="0"/>
              <w:rPr>
                <w:sz w:val="12"/>
                <w:szCs w:val="12"/>
                <w:color w:val="auto"/>
              </w:rPr>
            </w:pPr>
          </w:p>
        </w:tc>
        <w:tc>
          <w:tcPr>
            <w:tcW w:w="800" w:type="dxa"/>
            <w:vAlign w:val="bottom"/>
          </w:tcPr>
          <w:p>
            <w:pPr>
              <w:jc w:val="center"/>
              <w:ind w:right="182"/>
              <w:spacing w:after="0"/>
              <w:rPr>
                <w:sz w:val="20"/>
                <w:szCs w:val="20"/>
                <w:color w:val="auto"/>
              </w:rPr>
            </w:pPr>
            <w:r>
              <w:rPr>
                <w:rFonts w:ascii="Arial" w:cs="Arial" w:eastAsia="Arial" w:hAnsi="Arial"/>
                <w:sz w:val="11"/>
                <w:szCs w:val="11"/>
                <w:color w:val="auto"/>
                <w:w w:val="99"/>
              </w:rPr>
              <w:t>Income</w:t>
            </w:r>
          </w:p>
        </w:tc>
        <w:tc>
          <w:tcPr>
            <w:tcW w:w="240" w:type="dxa"/>
            <w:vAlign w:val="bottom"/>
          </w:tcPr>
          <w:p>
            <w:pPr>
              <w:spacing w:after="0"/>
              <w:rPr>
                <w:sz w:val="12"/>
                <w:szCs w:val="12"/>
                <w:color w:val="auto"/>
              </w:rPr>
            </w:pPr>
          </w:p>
        </w:tc>
        <w:tc>
          <w:tcPr>
            <w:tcW w:w="800" w:type="dxa"/>
            <w:vAlign w:val="bottom"/>
          </w:tcPr>
          <w:p>
            <w:pPr>
              <w:jc w:val="center"/>
              <w:ind w:right="141"/>
              <w:spacing w:after="0"/>
              <w:rPr>
                <w:sz w:val="20"/>
                <w:szCs w:val="20"/>
                <w:color w:val="auto"/>
              </w:rPr>
            </w:pPr>
            <w:r>
              <w:rPr>
                <w:rFonts w:ascii="Arial" w:cs="Arial" w:eastAsia="Arial" w:hAnsi="Arial"/>
                <w:sz w:val="11"/>
                <w:szCs w:val="11"/>
                <w:color w:val="auto"/>
                <w:w w:val="97"/>
              </w:rPr>
              <w:t>After-Tax</w:t>
            </w:r>
          </w:p>
        </w:tc>
      </w:tr>
      <w:tr>
        <w:trPr>
          <w:trHeight w:val="16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Amount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2"/>
              <w:spacing w:after="0"/>
              <w:rPr>
                <w:sz w:val="20"/>
                <w:szCs w:val="20"/>
                <w:color w:val="auto"/>
              </w:rPr>
            </w:pPr>
            <w:r>
              <w:rPr>
                <w:rFonts w:ascii="Arial" w:cs="Arial" w:eastAsia="Arial" w:hAnsi="Arial"/>
                <w:sz w:val="11"/>
                <w:szCs w:val="11"/>
                <w:b w:val="1"/>
                <w:bCs w:val="1"/>
                <w:color w:val="auto"/>
                <w:w w:val="94"/>
              </w:rPr>
              <w:t>Tax</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Amount</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1"/>
              <w:spacing w:after="0"/>
              <w:rPr>
                <w:sz w:val="20"/>
                <w:szCs w:val="20"/>
                <w:color w:val="auto"/>
              </w:rPr>
            </w:pPr>
            <w:r>
              <w:rPr>
                <w:rFonts w:ascii="Arial" w:cs="Arial" w:eastAsia="Arial" w:hAnsi="Arial"/>
                <w:sz w:val="11"/>
                <w:szCs w:val="11"/>
                <w:color w:val="auto"/>
                <w:w w:val="94"/>
              </w:rPr>
              <w:t>Amount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82"/>
              <w:spacing w:after="0"/>
              <w:rPr>
                <w:sz w:val="20"/>
                <w:szCs w:val="20"/>
                <w:color w:val="auto"/>
              </w:rPr>
            </w:pPr>
            <w:r>
              <w:rPr>
                <w:rFonts w:ascii="Arial" w:cs="Arial" w:eastAsia="Arial" w:hAnsi="Arial"/>
                <w:sz w:val="11"/>
                <w:szCs w:val="11"/>
                <w:color w:val="auto"/>
                <w:w w:val="86"/>
              </w:rPr>
              <w:t>Tax</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1"/>
              <w:spacing w:after="0"/>
              <w:rPr>
                <w:sz w:val="20"/>
                <w:szCs w:val="20"/>
                <w:color w:val="auto"/>
              </w:rPr>
            </w:pPr>
            <w:r>
              <w:rPr>
                <w:rFonts w:ascii="Arial" w:cs="Arial" w:eastAsia="Arial" w:hAnsi="Arial"/>
                <w:sz w:val="11"/>
                <w:szCs w:val="11"/>
                <w:color w:val="auto"/>
                <w:w w:val="94"/>
              </w:rPr>
              <w:t>Amount</w:t>
            </w:r>
          </w:p>
        </w:tc>
      </w:tr>
      <w:tr>
        <w:trPr>
          <w:trHeight w:val="153"/>
        </w:trPr>
        <w:tc>
          <w:tcPr>
            <w:tcW w:w="4840" w:type="dxa"/>
            <w:vAlign w:val="bottom"/>
          </w:tcPr>
          <w:p>
            <w:pPr>
              <w:ind w:left="20"/>
              <w:spacing w:after="0"/>
              <w:rPr>
                <w:sz w:val="20"/>
                <w:szCs w:val="20"/>
                <w:color w:val="auto"/>
              </w:rPr>
            </w:pPr>
            <w:r>
              <w:rPr>
                <w:rFonts w:ascii="Arial" w:cs="Arial" w:eastAsia="Arial" w:hAnsi="Arial"/>
                <w:sz w:val="12"/>
                <w:szCs w:val="12"/>
                <w:color w:val="auto"/>
              </w:rPr>
              <w:t>Foreign currency translation adjustments: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0"/>
        </w:trPr>
        <w:tc>
          <w:tcPr>
            <w:tcW w:w="4840" w:type="dxa"/>
            <w:vAlign w:val="bottom"/>
          </w:tcPr>
          <w:p>
            <w:pPr>
              <w:ind w:left="100"/>
              <w:spacing w:after="0"/>
              <w:rPr>
                <w:sz w:val="20"/>
                <w:szCs w:val="20"/>
                <w:color w:val="auto"/>
              </w:rPr>
            </w:pPr>
            <w:r>
              <w:rPr>
                <w:rFonts w:ascii="Arial" w:cs="Arial" w:eastAsia="Arial" w:hAnsi="Arial"/>
                <w:sz w:val="12"/>
                <w:szCs w:val="12"/>
                <w:color w:val="auto"/>
              </w:rPr>
              <w:t>Translation adjustments arising during the period</w:t>
            </w:r>
          </w:p>
        </w:tc>
        <w:tc>
          <w:tcPr>
            <w:tcW w:w="20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w w:val="89"/>
              </w:rPr>
              <w:t>$</w:t>
            </w:r>
          </w:p>
        </w:tc>
        <w:tc>
          <w:tcPr>
            <w:tcW w:w="920" w:type="dxa"/>
            <w:vAlign w:val="bottom"/>
          </w:tcPr>
          <w:p>
            <w:pPr>
              <w:jc w:val="right"/>
              <w:ind w:right="61"/>
              <w:spacing w:after="0"/>
              <w:rPr>
                <w:sz w:val="20"/>
                <w:szCs w:val="20"/>
                <w:color w:val="auto"/>
              </w:rPr>
            </w:pPr>
            <w:r>
              <w:rPr>
                <w:rFonts w:ascii="Arial" w:cs="Arial" w:eastAsia="Arial" w:hAnsi="Arial"/>
                <w:sz w:val="12"/>
                <w:szCs w:val="12"/>
                <w:b w:val="1"/>
                <w:bCs w:val="1"/>
                <w:color w:val="auto"/>
              </w:rPr>
              <w:t>11,378</w:t>
            </w:r>
          </w:p>
        </w:tc>
        <w:tc>
          <w:tcPr>
            <w:tcW w:w="22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ind w:right="42"/>
              <w:spacing w:after="0"/>
              <w:rPr>
                <w:sz w:val="20"/>
                <w:szCs w:val="20"/>
                <w:color w:val="auto"/>
              </w:rPr>
            </w:pPr>
            <w:r>
              <w:rPr>
                <w:rFonts w:ascii="Arial" w:cs="Arial" w:eastAsia="Arial" w:hAnsi="Arial"/>
                <w:sz w:val="12"/>
                <w:szCs w:val="12"/>
                <w:b w:val="1"/>
                <w:bCs w:val="1"/>
                <w:color w:val="auto"/>
              </w:rPr>
              <w:t>11,378</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(42,666)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(42,666)</w:t>
            </w:r>
          </w:p>
        </w:tc>
      </w:tr>
      <w:tr>
        <w:trPr>
          <w:trHeight w:val="164"/>
        </w:trPr>
        <w:tc>
          <w:tcPr>
            <w:tcW w:w="4840" w:type="dxa"/>
            <w:vAlign w:val="bottom"/>
          </w:tcPr>
          <w:p>
            <w:pPr>
              <w:ind w:left="20"/>
              <w:spacing w:after="0"/>
              <w:rPr>
                <w:sz w:val="20"/>
                <w:szCs w:val="20"/>
                <w:color w:val="auto"/>
              </w:rPr>
            </w:pPr>
            <w:r>
              <w:rPr>
                <w:rFonts w:ascii="Arial" w:cs="Arial" w:eastAsia="Arial" w:hAnsi="Arial"/>
                <w:sz w:val="12"/>
                <w:szCs w:val="12"/>
                <w:color w:val="auto"/>
              </w:rPr>
              <w:t>Pension and other postretirement plans: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4840" w:type="dxa"/>
            <w:vAlign w:val="bottom"/>
          </w:tcPr>
          <w:p>
            <w:pPr>
              <w:ind w:left="100"/>
              <w:spacing w:after="0"/>
              <w:rPr>
                <w:sz w:val="20"/>
                <w:szCs w:val="20"/>
                <w:color w:val="auto"/>
              </w:rPr>
            </w:pPr>
            <w:r>
              <w:rPr>
                <w:rFonts w:ascii="Arial" w:cs="Arial" w:eastAsia="Arial" w:hAnsi="Arial"/>
                <w:sz w:val="12"/>
                <w:szCs w:val="12"/>
                <w:color w:val="auto"/>
              </w:rPr>
              <w:t>Amortization of net prior service cost included in net income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b w:val="1"/>
                <w:bCs w:val="1"/>
                <w:color w:val="auto"/>
              </w:rPr>
              <w:t>820</w:t>
            </w:r>
          </w:p>
        </w:tc>
        <w:tc>
          <w:tcPr>
            <w:tcW w:w="220" w:type="dxa"/>
            <w:vAlign w:val="bottom"/>
          </w:tcPr>
          <w:p>
            <w:pPr>
              <w:spacing w:after="0"/>
              <w:rPr>
                <w:sz w:val="15"/>
                <w:szCs w:val="15"/>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(211)</w:t>
            </w:r>
          </w:p>
        </w:tc>
        <w:tc>
          <w:tcPr>
            <w:tcW w:w="240" w:type="dxa"/>
            <w:vAlign w:val="bottom"/>
          </w:tcPr>
          <w:p>
            <w:pPr>
              <w:spacing w:after="0"/>
              <w:rPr>
                <w:sz w:val="15"/>
                <w:szCs w:val="15"/>
                <w:color w:val="auto"/>
              </w:rPr>
            </w:pPr>
          </w:p>
        </w:tc>
        <w:tc>
          <w:tcPr>
            <w:tcW w:w="880" w:type="dxa"/>
            <w:vAlign w:val="bottom"/>
          </w:tcPr>
          <w:p>
            <w:pPr>
              <w:jc w:val="right"/>
              <w:ind w:right="42"/>
              <w:spacing w:after="0"/>
              <w:rPr>
                <w:sz w:val="20"/>
                <w:szCs w:val="20"/>
                <w:color w:val="auto"/>
              </w:rPr>
            </w:pPr>
            <w:r>
              <w:rPr>
                <w:rFonts w:ascii="Arial" w:cs="Arial" w:eastAsia="Arial" w:hAnsi="Arial"/>
                <w:sz w:val="12"/>
                <w:szCs w:val="12"/>
                <w:b w:val="1"/>
                <w:bCs w:val="1"/>
                <w:color w:val="auto"/>
              </w:rPr>
              <w:t>609</w:t>
            </w:r>
          </w:p>
        </w:tc>
        <w:tc>
          <w:tcPr>
            <w:tcW w:w="200" w:type="dxa"/>
            <w:vAlign w:val="bottom"/>
          </w:tcPr>
          <w:p>
            <w:pPr>
              <w:spacing w:after="0"/>
              <w:rPr>
                <w:sz w:val="15"/>
                <w:szCs w:val="15"/>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1,432</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(369)</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1,063</w:t>
            </w:r>
          </w:p>
        </w:tc>
      </w:tr>
      <w:tr>
        <w:trPr>
          <w:trHeight w:val="178"/>
        </w:trPr>
        <w:tc>
          <w:tcPr>
            <w:tcW w:w="4840" w:type="dxa"/>
            <w:vAlign w:val="bottom"/>
          </w:tcPr>
          <w:p>
            <w:pPr>
              <w:ind w:left="100"/>
              <w:spacing w:after="0"/>
              <w:rPr>
                <w:sz w:val="20"/>
                <w:szCs w:val="20"/>
                <w:color w:val="auto"/>
              </w:rPr>
            </w:pPr>
            <w:r>
              <w:rPr>
                <w:rFonts w:ascii="Arial" w:cs="Arial" w:eastAsia="Arial" w:hAnsi="Arial"/>
                <w:sz w:val="12"/>
                <w:szCs w:val="12"/>
                <w:color w:val="auto"/>
              </w:rPr>
              <w:t>Amortization of net actuarial gain included in net income</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(21,200)</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5,453</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(15,747)</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(35,856)</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9,241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(26,615)</w:t>
            </w:r>
          </w:p>
        </w:tc>
      </w:tr>
      <w:tr>
        <w:trPr>
          <w:trHeight w:val="162"/>
        </w:trPr>
        <w:tc>
          <w:tcPr>
            <w:tcW w:w="4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(20,380)</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5,242</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(15,138)</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(34,424)</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8,872</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(25,552)</w:t>
            </w:r>
          </w:p>
        </w:tc>
      </w:tr>
      <w:tr>
        <w:trPr>
          <w:trHeight w:val="157"/>
        </w:trPr>
        <w:tc>
          <w:tcPr>
            <w:tcW w:w="4840" w:type="dxa"/>
            <w:vAlign w:val="bottom"/>
          </w:tcPr>
          <w:p>
            <w:pPr>
              <w:ind w:left="20"/>
              <w:spacing w:after="0"/>
              <w:rPr>
                <w:sz w:val="20"/>
                <w:szCs w:val="20"/>
                <w:color w:val="auto"/>
              </w:rPr>
            </w:pPr>
            <w:r>
              <w:rPr>
                <w:rFonts w:ascii="Arial" w:cs="Arial" w:eastAsia="Arial" w:hAnsi="Arial"/>
                <w:sz w:val="12"/>
                <w:szCs w:val="12"/>
                <w:color w:val="auto"/>
              </w:rPr>
              <w:t>Cash flow hedges: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3"/>
        </w:trPr>
        <w:tc>
          <w:tcPr>
            <w:tcW w:w="4840" w:type="dxa"/>
            <w:vAlign w:val="bottom"/>
          </w:tcPr>
          <w:p>
            <w:pPr>
              <w:ind w:left="100"/>
              <w:spacing w:after="0"/>
              <w:rPr>
                <w:sz w:val="20"/>
                <w:szCs w:val="20"/>
                <w:color w:val="auto"/>
              </w:rPr>
            </w:pPr>
            <w:r>
              <w:rPr>
                <w:rFonts w:ascii="Arial" w:cs="Arial" w:eastAsia="Arial" w:hAnsi="Arial"/>
                <w:sz w:val="12"/>
                <w:szCs w:val="12"/>
                <w:color w:val="auto"/>
              </w:rPr>
              <w:t>Gains for the period</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258</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(59)</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199</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2,733</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(629)</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2,104</w:t>
            </w:r>
          </w:p>
        </w:tc>
      </w:tr>
      <w:tr>
        <w:trPr>
          <w:trHeight w:val="165"/>
        </w:trPr>
        <w:tc>
          <w:tcPr>
            <w:tcW w:w="4840" w:type="dxa"/>
            <w:vAlign w:val="bottom"/>
          </w:tcPr>
          <w:p>
            <w:pPr>
              <w:ind w:left="20"/>
              <w:spacing w:after="0"/>
              <w:rPr>
                <w:sz w:val="20"/>
                <w:szCs w:val="20"/>
                <w:color w:val="auto"/>
              </w:rPr>
            </w:pPr>
            <w:r>
              <w:rPr>
                <w:rFonts w:ascii="Arial" w:cs="Arial" w:eastAsia="Arial" w:hAnsi="Arial"/>
                <w:sz w:val="12"/>
                <w:szCs w:val="12"/>
                <w:b w:val="1"/>
                <w:bCs w:val="1"/>
                <w:color w:val="auto"/>
              </w:rPr>
              <w:t>Other Comprehensive Loss</w:t>
            </w:r>
          </w:p>
        </w:tc>
        <w:tc>
          <w:tcPr>
            <w:tcW w:w="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(8,744)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5,183</w:t>
            </w:r>
          </w:p>
        </w:tc>
        <w:tc>
          <w:tcPr>
            <w:tcW w:w="24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(3,561)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(74,357)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8,243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(66,114)</w:t>
            </w:r>
          </w:p>
        </w:tc>
      </w:tr>
      <w:tr>
        <w:trPr>
          <w:trHeight w:val="20"/>
        </w:trPr>
        <w:tc>
          <w:tcPr>
            <w:tcW w:w="4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accumulated balances related to each component of other comprehensive income (loss)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83"/>
              <w:spacing w:after="0"/>
              <w:rPr>
                <w:sz w:val="20"/>
                <w:szCs w:val="20"/>
                <w:color w:val="auto"/>
              </w:rPr>
            </w:pPr>
            <w:r>
              <w:rPr>
                <w:rFonts w:ascii="Arial" w:cs="Arial" w:eastAsia="Arial" w:hAnsi="Arial"/>
                <w:sz w:val="11"/>
                <w:szCs w:val="11"/>
                <w:b w:val="1"/>
                <w:bCs w:val="1"/>
                <w:color w:val="auto"/>
                <w:w w:val="97"/>
              </w:rPr>
              <w:t>Cumulative</w:t>
            </w:r>
          </w:p>
        </w:tc>
        <w:tc>
          <w:tcPr>
            <w:tcW w:w="240" w:type="dxa"/>
            <w:vAlign w:val="bottom"/>
          </w:tcPr>
          <w:p>
            <w:pPr>
              <w:spacing w:after="0"/>
              <w:rPr>
                <w:sz w:val="10"/>
                <w:szCs w:val="10"/>
                <w:color w:val="auto"/>
              </w:rPr>
            </w:pPr>
          </w:p>
        </w:tc>
        <w:tc>
          <w:tcPr>
            <w:tcW w:w="1300" w:type="dxa"/>
            <w:vAlign w:val="bottom"/>
          </w:tcPr>
          <w:p>
            <w:pPr>
              <w:jc w:val="center"/>
              <w:ind w:right="183"/>
              <w:spacing w:after="0"/>
              <w:rPr>
                <w:sz w:val="20"/>
                <w:szCs w:val="20"/>
                <w:color w:val="auto"/>
              </w:rPr>
            </w:pPr>
            <w:r>
              <w:rPr>
                <w:rFonts w:ascii="Arial" w:cs="Arial" w:eastAsia="Arial" w:hAnsi="Arial"/>
                <w:sz w:val="11"/>
                <w:szCs w:val="11"/>
                <w:b w:val="1"/>
                <w:bCs w:val="1"/>
                <w:color w:val="auto"/>
                <w:w w:val="98"/>
              </w:rPr>
              <w:t>Unrealized Gain</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1"/>
        </w:trPr>
        <w:tc>
          <w:tcPr>
            <w:tcW w:w="5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203"/>
              <w:spacing w:after="0" w:line="122" w:lineRule="exact"/>
              <w:rPr>
                <w:sz w:val="20"/>
                <w:szCs w:val="20"/>
                <w:color w:val="auto"/>
              </w:rPr>
            </w:pPr>
            <w:r>
              <w:rPr>
                <w:rFonts w:ascii="Arial" w:cs="Arial" w:eastAsia="Arial" w:hAnsi="Arial"/>
                <w:sz w:val="11"/>
                <w:szCs w:val="11"/>
                <w:b w:val="1"/>
                <w:bCs w:val="1"/>
                <w:color w:val="auto"/>
                <w:w w:val="99"/>
              </w:rPr>
              <w:t>Foreign</w:t>
            </w:r>
          </w:p>
        </w:tc>
        <w:tc>
          <w:tcPr>
            <w:tcW w:w="240" w:type="dxa"/>
            <w:vAlign w:val="bottom"/>
          </w:tcPr>
          <w:p>
            <w:pPr>
              <w:spacing w:after="0"/>
              <w:rPr>
                <w:sz w:val="10"/>
                <w:szCs w:val="10"/>
                <w:color w:val="auto"/>
              </w:rPr>
            </w:pPr>
          </w:p>
        </w:tc>
        <w:tc>
          <w:tcPr>
            <w:tcW w:w="1300" w:type="dxa"/>
            <w:vAlign w:val="bottom"/>
          </w:tcPr>
          <w:p>
            <w:pPr>
              <w:jc w:val="center"/>
              <w:ind w:right="163"/>
              <w:spacing w:after="0" w:line="122" w:lineRule="exact"/>
              <w:rPr>
                <w:sz w:val="20"/>
                <w:szCs w:val="20"/>
                <w:color w:val="auto"/>
              </w:rPr>
            </w:pPr>
            <w:r>
              <w:rPr>
                <w:rFonts w:ascii="Arial" w:cs="Arial" w:eastAsia="Arial" w:hAnsi="Arial"/>
                <w:sz w:val="11"/>
                <w:szCs w:val="11"/>
                <w:b w:val="1"/>
                <w:bCs w:val="1"/>
                <w:color w:val="auto"/>
                <w:w w:val="97"/>
              </w:rPr>
              <w:t>on Pensions</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ind w:right="142"/>
              <w:spacing w:after="0" w:line="122" w:lineRule="exact"/>
              <w:rPr>
                <w:sz w:val="20"/>
                <w:szCs w:val="20"/>
                <w:color w:val="auto"/>
              </w:rPr>
            </w:pPr>
            <w:r>
              <w:rPr>
                <w:rFonts w:ascii="Arial" w:cs="Arial" w:eastAsia="Arial" w:hAnsi="Arial"/>
                <w:sz w:val="11"/>
                <w:szCs w:val="11"/>
                <w:b w:val="1"/>
                <w:bCs w:val="1"/>
                <w:color w:val="auto"/>
                <w:w w:val="98"/>
              </w:rPr>
              <w:t>Accumulated</w:t>
            </w:r>
          </w:p>
        </w:tc>
      </w:tr>
      <w:tr>
        <w:trPr>
          <w:trHeight w:val="121"/>
        </w:trPr>
        <w:tc>
          <w:tcPr>
            <w:tcW w:w="5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83"/>
              <w:spacing w:after="0" w:line="122" w:lineRule="exact"/>
              <w:rPr>
                <w:sz w:val="20"/>
                <w:szCs w:val="20"/>
                <w:color w:val="auto"/>
              </w:rPr>
            </w:pPr>
            <w:r>
              <w:rPr>
                <w:rFonts w:ascii="Arial" w:cs="Arial" w:eastAsia="Arial" w:hAnsi="Arial"/>
                <w:sz w:val="11"/>
                <w:szCs w:val="11"/>
                <w:b w:val="1"/>
                <w:bCs w:val="1"/>
                <w:color w:val="auto"/>
                <w:w w:val="95"/>
              </w:rPr>
              <w:t>Currency</w:t>
            </w:r>
          </w:p>
        </w:tc>
        <w:tc>
          <w:tcPr>
            <w:tcW w:w="240" w:type="dxa"/>
            <w:vAlign w:val="bottom"/>
          </w:tcPr>
          <w:p>
            <w:pPr>
              <w:spacing w:after="0"/>
              <w:rPr>
                <w:sz w:val="10"/>
                <w:szCs w:val="10"/>
                <w:color w:val="auto"/>
              </w:rPr>
            </w:pPr>
          </w:p>
        </w:tc>
        <w:tc>
          <w:tcPr>
            <w:tcW w:w="1300" w:type="dxa"/>
            <w:vAlign w:val="bottom"/>
          </w:tcPr>
          <w:p>
            <w:pPr>
              <w:jc w:val="center"/>
              <w:ind w:right="183"/>
              <w:spacing w:after="0" w:line="122" w:lineRule="exact"/>
              <w:rPr>
                <w:sz w:val="20"/>
                <w:szCs w:val="20"/>
                <w:color w:val="auto"/>
              </w:rPr>
            </w:pPr>
            <w:r>
              <w:rPr>
                <w:rFonts w:ascii="Arial" w:cs="Arial" w:eastAsia="Arial" w:hAnsi="Arial"/>
                <w:sz w:val="11"/>
                <w:szCs w:val="11"/>
                <w:b w:val="1"/>
                <w:bCs w:val="1"/>
                <w:color w:val="auto"/>
                <w:w w:val="96"/>
              </w:rPr>
              <w:t>and Other</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ind w:right="122"/>
              <w:spacing w:after="0" w:line="122" w:lineRule="exact"/>
              <w:rPr>
                <w:sz w:val="20"/>
                <w:szCs w:val="20"/>
                <w:color w:val="auto"/>
              </w:rPr>
            </w:pPr>
            <w:r>
              <w:rPr>
                <w:rFonts w:ascii="Arial" w:cs="Arial" w:eastAsia="Arial" w:hAnsi="Arial"/>
                <w:sz w:val="11"/>
                <w:szCs w:val="11"/>
                <w:b w:val="1"/>
                <w:bCs w:val="1"/>
                <w:color w:val="auto"/>
              </w:rPr>
              <w:t>Other</w:t>
            </w:r>
          </w:p>
        </w:tc>
      </w:tr>
      <w:tr>
        <w:trPr>
          <w:trHeight w:val="111"/>
        </w:trPr>
        <w:tc>
          <w:tcPr>
            <w:tcW w:w="5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center"/>
              <w:ind w:right="183"/>
              <w:spacing w:after="0" w:line="111" w:lineRule="exact"/>
              <w:rPr>
                <w:sz w:val="20"/>
                <w:szCs w:val="20"/>
                <w:color w:val="auto"/>
              </w:rPr>
            </w:pPr>
            <w:r>
              <w:rPr>
                <w:rFonts w:ascii="Arial" w:cs="Arial" w:eastAsia="Arial" w:hAnsi="Arial"/>
                <w:sz w:val="11"/>
                <w:szCs w:val="11"/>
                <w:b w:val="1"/>
                <w:bCs w:val="1"/>
                <w:color w:val="auto"/>
                <w:w w:val="97"/>
              </w:rPr>
              <w:t>Translation</w:t>
            </w:r>
          </w:p>
        </w:tc>
        <w:tc>
          <w:tcPr>
            <w:tcW w:w="240" w:type="dxa"/>
            <w:vAlign w:val="bottom"/>
          </w:tcPr>
          <w:p>
            <w:pPr>
              <w:spacing w:after="0"/>
              <w:rPr>
                <w:sz w:val="9"/>
                <w:szCs w:val="9"/>
                <w:color w:val="auto"/>
              </w:rPr>
            </w:pPr>
          </w:p>
        </w:tc>
        <w:tc>
          <w:tcPr>
            <w:tcW w:w="1300" w:type="dxa"/>
            <w:vAlign w:val="bottom"/>
          </w:tcPr>
          <w:p>
            <w:pPr>
              <w:jc w:val="center"/>
              <w:ind w:right="163"/>
              <w:spacing w:after="0" w:line="111" w:lineRule="exact"/>
              <w:rPr>
                <w:sz w:val="20"/>
                <w:szCs w:val="20"/>
                <w:color w:val="auto"/>
              </w:rPr>
            </w:pPr>
            <w:r>
              <w:rPr>
                <w:rFonts w:ascii="Arial" w:cs="Arial" w:eastAsia="Arial" w:hAnsi="Arial"/>
                <w:sz w:val="11"/>
                <w:szCs w:val="11"/>
                <w:b w:val="1"/>
                <w:bCs w:val="1"/>
                <w:color w:val="auto"/>
                <w:w w:val="97"/>
              </w:rPr>
              <w:t>Postretirement</w:t>
            </w:r>
          </w:p>
        </w:tc>
        <w:tc>
          <w:tcPr>
            <w:tcW w:w="220" w:type="dxa"/>
            <w:vAlign w:val="bottom"/>
          </w:tcPr>
          <w:p>
            <w:pPr>
              <w:spacing w:after="0"/>
              <w:rPr>
                <w:sz w:val="9"/>
                <w:szCs w:val="9"/>
                <w:color w:val="auto"/>
              </w:rPr>
            </w:pPr>
          </w:p>
        </w:tc>
        <w:tc>
          <w:tcPr>
            <w:tcW w:w="880" w:type="dxa"/>
            <w:vAlign w:val="bottom"/>
          </w:tcPr>
          <w:p>
            <w:pPr>
              <w:jc w:val="right"/>
              <w:ind w:right="221"/>
              <w:spacing w:after="0" w:line="111" w:lineRule="exact"/>
              <w:rPr>
                <w:sz w:val="20"/>
                <w:szCs w:val="20"/>
                <w:color w:val="auto"/>
              </w:rPr>
            </w:pPr>
            <w:r>
              <w:rPr>
                <w:rFonts w:ascii="Arial" w:cs="Arial" w:eastAsia="Arial" w:hAnsi="Arial"/>
                <w:sz w:val="11"/>
                <w:szCs w:val="11"/>
                <w:b w:val="1"/>
                <w:bCs w:val="1"/>
                <w:color w:val="auto"/>
              </w:rPr>
              <w:t>Cash Flow</w:t>
            </w:r>
          </w:p>
        </w:tc>
        <w:tc>
          <w:tcPr>
            <w:tcW w:w="240" w:type="dxa"/>
            <w:vAlign w:val="bottom"/>
          </w:tcPr>
          <w:p>
            <w:pPr>
              <w:spacing w:after="0"/>
              <w:rPr>
                <w:sz w:val="9"/>
                <w:szCs w:val="9"/>
                <w:color w:val="auto"/>
              </w:rPr>
            </w:pPr>
          </w:p>
        </w:tc>
        <w:tc>
          <w:tcPr>
            <w:tcW w:w="1240" w:type="dxa"/>
            <w:vAlign w:val="bottom"/>
          </w:tcPr>
          <w:p>
            <w:pPr>
              <w:jc w:val="center"/>
              <w:ind w:right="122"/>
              <w:spacing w:after="0" w:line="111" w:lineRule="exact"/>
              <w:rPr>
                <w:sz w:val="20"/>
                <w:szCs w:val="20"/>
                <w:color w:val="auto"/>
              </w:rPr>
            </w:pPr>
            <w:r>
              <w:rPr>
                <w:rFonts w:ascii="Arial" w:cs="Arial" w:eastAsia="Arial" w:hAnsi="Arial"/>
                <w:sz w:val="11"/>
                <w:szCs w:val="11"/>
                <w:b w:val="1"/>
                <w:bCs w:val="1"/>
                <w:color w:val="auto"/>
                <w:w w:val="99"/>
              </w:rPr>
              <w:t>Comprehensive</w:t>
            </w:r>
          </w:p>
        </w:tc>
      </w:tr>
      <w:tr>
        <w:trPr>
          <w:trHeight w:val="155"/>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 net of taxes)</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83"/>
              <w:spacing w:after="0"/>
              <w:rPr>
                <w:sz w:val="20"/>
                <w:szCs w:val="20"/>
                <w:color w:val="auto"/>
              </w:rPr>
            </w:pPr>
            <w:r>
              <w:rPr>
                <w:rFonts w:ascii="Arial" w:cs="Arial" w:eastAsia="Arial" w:hAnsi="Arial"/>
                <w:sz w:val="11"/>
                <w:szCs w:val="11"/>
                <w:b w:val="1"/>
                <w:bCs w:val="1"/>
                <w:color w:val="auto"/>
                <w:w w:val="95"/>
              </w:rPr>
              <w:t>Adjustment</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83"/>
              <w:spacing w:after="0"/>
              <w:rPr>
                <w:sz w:val="20"/>
                <w:szCs w:val="20"/>
                <w:color w:val="auto"/>
              </w:rPr>
            </w:pPr>
            <w:r>
              <w:rPr>
                <w:rFonts w:ascii="Arial" w:cs="Arial" w:eastAsia="Arial" w:hAnsi="Arial"/>
                <w:sz w:val="11"/>
                <w:szCs w:val="11"/>
                <w:b w:val="1"/>
                <w:bCs w:val="1"/>
                <w:color w:val="auto"/>
              </w:rPr>
              <w:t>Plans</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Hedges</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1"/>
                <w:szCs w:val="11"/>
                <w:b w:val="1"/>
                <w:bCs w:val="1"/>
                <w:color w:val="auto"/>
                <w:w w:val="98"/>
              </w:rPr>
              <w:t>Income</w:t>
            </w:r>
          </w:p>
        </w:tc>
      </w:tr>
      <w:tr>
        <w:trPr>
          <w:trHeight w:val="153"/>
        </w:trPr>
        <w:tc>
          <w:tcPr>
            <w:tcW w:w="5880" w:type="dxa"/>
            <w:vAlign w:val="bottom"/>
          </w:tcPr>
          <w:p>
            <w:pPr>
              <w:ind w:left="20"/>
              <w:spacing w:after="0"/>
              <w:rPr>
                <w:sz w:val="20"/>
                <w:szCs w:val="20"/>
                <w:color w:val="auto"/>
              </w:rPr>
            </w:pPr>
            <w:r>
              <w:rPr>
                <w:rFonts w:ascii="Arial" w:cs="Arial" w:eastAsia="Arial" w:hAnsi="Arial"/>
                <w:sz w:val="12"/>
                <w:szCs w:val="12"/>
                <w:color w:val="auto"/>
              </w:rPr>
              <w:t>Balance as of December 31, 2022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23"/>
              <w:spacing w:after="0"/>
              <w:rPr>
                <w:sz w:val="20"/>
                <w:szCs w:val="20"/>
                <w:color w:val="auto"/>
              </w:rPr>
            </w:pPr>
            <w:r>
              <w:rPr>
                <w:rFonts w:ascii="Arial" w:cs="Arial" w:eastAsia="Arial" w:hAnsi="Arial"/>
                <w:sz w:val="12"/>
                <w:szCs w:val="12"/>
                <w:color w:val="auto"/>
              </w:rPr>
              <w:t>(54,638)</w:t>
            </w:r>
          </w:p>
        </w:tc>
        <w:tc>
          <w:tcPr>
            <w:tcW w:w="2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43"/>
              <w:spacing w:after="0"/>
              <w:rPr>
                <w:sz w:val="20"/>
                <w:szCs w:val="20"/>
                <w:color w:val="auto"/>
              </w:rPr>
            </w:pPr>
            <w:r>
              <w:rPr>
                <w:rFonts w:ascii="Arial" w:cs="Arial" w:eastAsia="Arial" w:hAnsi="Arial"/>
                <w:sz w:val="12"/>
                <w:szCs w:val="12"/>
                <w:color w:val="auto"/>
              </w:rPr>
              <w:t>388,591</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2,198</w:t>
            </w:r>
          </w:p>
        </w:tc>
        <w:tc>
          <w:tcPr>
            <w:tcW w:w="24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336,151</w:t>
            </w:r>
          </w:p>
        </w:tc>
      </w:tr>
      <w:tr>
        <w:trPr>
          <w:trHeight w:val="180"/>
        </w:trPr>
        <w:tc>
          <w:tcPr>
            <w:tcW w:w="5880" w:type="dxa"/>
            <w:vAlign w:val="bottom"/>
          </w:tcPr>
          <w:p>
            <w:pPr>
              <w:ind w:left="100"/>
              <w:spacing w:after="0"/>
              <w:rPr>
                <w:sz w:val="20"/>
                <w:szCs w:val="20"/>
                <w:color w:val="auto"/>
              </w:rPr>
            </w:pPr>
            <w:r>
              <w:rPr>
                <w:rFonts w:ascii="Arial" w:cs="Arial" w:eastAsia="Arial" w:hAnsi="Arial"/>
                <w:sz w:val="12"/>
                <w:szCs w:val="12"/>
                <w:b w:val="1"/>
                <w:bCs w:val="1"/>
                <w:color w:val="auto"/>
              </w:rPr>
              <w:t>Other comprehensive income before reclassifications</w:t>
            </w:r>
          </w:p>
        </w:tc>
        <w:tc>
          <w:tcPr>
            <w:tcW w:w="180" w:type="dxa"/>
            <w:vAlign w:val="bottom"/>
          </w:tcPr>
          <w:p>
            <w:pPr>
              <w:spacing w:after="0"/>
              <w:rPr>
                <w:sz w:val="15"/>
                <w:szCs w:val="15"/>
                <w:color w:val="auto"/>
              </w:rPr>
            </w:pPr>
          </w:p>
        </w:tc>
        <w:tc>
          <w:tcPr>
            <w:tcW w:w="1100" w:type="dxa"/>
            <w:vAlign w:val="bottom"/>
          </w:tcPr>
          <w:p>
            <w:pPr>
              <w:jc w:val="right"/>
              <w:ind w:right="43"/>
              <w:spacing w:after="0"/>
              <w:rPr>
                <w:sz w:val="20"/>
                <w:szCs w:val="20"/>
                <w:color w:val="auto"/>
              </w:rPr>
            </w:pPr>
            <w:r>
              <w:rPr>
                <w:rFonts w:ascii="Arial" w:cs="Arial" w:eastAsia="Arial" w:hAnsi="Arial"/>
                <w:sz w:val="12"/>
                <w:szCs w:val="12"/>
                <w:b w:val="1"/>
                <w:bCs w:val="1"/>
                <w:color w:val="auto"/>
              </w:rPr>
              <w:t>11,378</w:t>
            </w:r>
          </w:p>
        </w:tc>
        <w:tc>
          <w:tcPr>
            <w:tcW w:w="240" w:type="dxa"/>
            <w:vAlign w:val="bottom"/>
          </w:tcPr>
          <w:p>
            <w:pPr>
              <w:spacing w:after="0"/>
              <w:rPr>
                <w:sz w:val="15"/>
                <w:szCs w:val="15"/>
                <w:color w:val="auto"/>
              </w:rPr>
            </w:pPr>
          </w:p>
        </w:tc>
        <w:tc>
          <w:tcPr>
            <w:tcW w:w="1300" w:type="dxa"/>
            <w:vAlign w:val="bottom"/>
          </w:tcPr>
          <w:p>
            <w:pPr>
              <w:jc w:val="right"/>
              <w:ind w:right="43"/>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5"/>
                <w:szCs w:val="15"/>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608</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11,986</w:t>
            </w:r>
          </w:p>
        </w:tc>
      </w:tr>
      <w:tr>
        <w:trPr>
          <w:trHeight w:val="182"/>
        </w:trPr>
        <w:tc>
          <w:tcPr>
            <w:tcW w:w="5880" w:type="dxa"/>
            <w:vAlign w:val="bottom"/>
          </w:tcPr>
          <w:p>
            <w:pPr>
              <w:ind w:left="100"/>
              <w:spacing w:after="0"/>
              <w:rPr>
                <w:sz w:val="20"/>
                <w:szCs w:val="20"/>
                <w:color w:val="auto"/>
              </w:rPr>
            </w:pPr>
            <w:r>
              <w:rPr>
                <w:rFonts w:ascii="Arial" w:cs="Arial" w:eastAsia="Arial" w:hAnsi="Arial"/>
                <w:sz w:val="12"/>
                <w:szCs w:val="12"/>
                <w:b w:val="1"/>
                <w:bCs w:val="1"/>
                <w:color w:val="auto"/>
              </w:rPr>
              <w:t>Net amount reclassified from accumulated other comprehensive income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(15,138)</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(409)</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(15,547)</w:t>
            </w:r>
          </w:p>
        </w:tc>
      </w:tr>
      <w:tr>
        <w:trPr>
          <w:trHeight w:val="166"/>
        </w:trPr>
        <w:tc>
          <w:tcPr>
            <w:tcW w:w="5880" w:type="dxa"/>
            <w:vAlign w:val="bottom"/>
          </w:tcPr>
          <w:p>
            <w:pPr>
              <w:ind w:left="100"/>
              <w:spacing w:after="0"/>
              <w:rPr>
                <w:sz w:val="20"/>
                <w:szCs w:val="20"/>
                <w:color w:val="auto"/>
              </w:rPr>
            </w:pPr>
            <w:r>
              <w:rPr>
                <w:rFonts w:ascii="Arial" w:cs="Arial" w:eastAsia="Arial" w:hAnsi="Arial"/>
                <w:sz w:val="12"/>
                <w:szCs w:val="12"/>
                <w:b w:val="1"/>
                <w:bCs w:val="1"/>
                <w:color w:val="auto"/>
              </w:rPr>
              <w:t>Net other comprehensive income (loss)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11,378</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(15,138)</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199</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(3,561)</w:t>
            </w:r>
          </w:p>
        </w:tc>
      </w:tr>
      <w:tr>
        <w:trPr>
          <w:trHeight w:val="164"/>
        </w:trPr>
        <w:tc>
          <w:tcPr>
            <w:tcW w:w="5880" w:type="dxa"/>
            <w:vAlign w:val="bottom"/>
          </w:tcPr>
          <w:p>
            <w:pPr>
              <w:ind w:left="20"/>
              <w:spacing w:after="0"/>
              <w:rPr>
                <w:sz w:val="20"/>
                <w:szCs w:val="20"/>
                <w:color w:val="auto"/>
              </w:rPr>
            </w:pPr>
            <w:r>
              <w:rPr>
                <w:rFonts w:ascii="Arial" w:cs="Arial" w:eastAsia="Arial" w:hAnsi="Arial"/>
                <w:sz w:val="12"/>
                <w:szCs w:val="12"/>
                <w:b w:val="1"/>
                <w:bCs w:val="1"/>
                <w:color w:val="auto"/>
              </w:rPr>
              <w:t>Balance as of June 30, 2023</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(43,260)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373,453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2,397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332,590</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auto"/>
        </w:rPr>
        <w:t>The amounts and line items of reclassifications out of Accumulated Other Comprehensive Income (Loss) are as follows: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280" w:type="dxa"/>
            <w:vAlign w:val="bottom"/>
          </w:tcPr>
          <w:p>
            <w:pPr>
              <w:spacing w:after="0"/>
              <w:rPr>
                <w:sz w:val="10"/>
                <w:szCs w:val="10"/>
                <w:color w:val="auto"/>
              </w:rPr>
            </w:pPr>
          </w:p>
        </w:tc>
        <w:tc>
          <w:tcPr>
            <w:tcW w:w="2080" w:type="dxa"/>
            <w:vAlign w:val="bottom"/>
            <w:gridSpan w:val="2"/>
          </w:tcPr>
          <w:p>
            <w:pPr>
              <w:jc w:val="right"/>
              <w:ind w:right="486"/>
              <w:spacing w:after="0"/>
              <w:rPr>
                <w:sz w:val="20"/>
                <w:szCs w:val="20"/>
                <w:color w:val="auto"/>
              </w:rPr>
            </w:pPr>
            <w:r>
              <w:rPr>
                <w:rFonts w:ascii="Arial" w:cs="Arial" w:eastAsia="Arial" w:hAnsi="Arial"/>
                <w:sz w:val="11"/>
                <w:szCs w:val="11"/>
                <w:b w:val="1"/>
                <w:bCs w:val="1"/>
                <w:color w:val="auto"/>
              </w:rPr>
              <w:t>Three Months Ended</w:t>
            </w:r>
          </w:p>
        </w:tc>
        <w:tc>
          <w:tcPr>
            <w:tcW w:w="2100" w:type="dxa"/>
            <w:vAlign w:val="bottom"/>
            <w:gridSpan w:val="2"/>
          </w:tcPr>
          <w:p>
            <w:pPr>
              <w:jc w:val="right"/>
              <w:ind w:right="506"/>
              <w:spacing w:after="0"/>
              <w:rPr>
                <w:sz w:val="20"/>
                <w:szCs w:val="20"/>
                <w:color w:val="auto"/>
              </w:rPr>
            </w:pPr>
            <w:r>
              <w:rPr>
                <w:rFonts w:ascii="Arial" w:cs="Arial" w:eastAsia="Arial" w:hAnsi="Arial"/>
                <w:sz w:val="11"/>
                <w:szCs w:val="11"/>
                <w:b w:val="1"/>
                <w:bCs w:val="1"/>
                <w:color w:val="auto"/>
              </w:rPr>
              <w:t>Six Months Ended</w:t>
            </w:r>
          </w:p>
        </w:tc>
        <w:tc>
          <w:tcPr>
            <w:tcW w:w="2740" w:type="dxa"/>
            <w:vAlign w:val="bottom"/>
          </w:tcPr>
          <w:p>
            <w:pPr>
              <w:spacing w:after="0"/>
              <w:rPr>
                <w:sz w:val="10"/>
                <w:szCs w:val="10"/>
                <w:color w:val="auto"/>
              </w:rPr>
            </w:pPr>
          </w:p>
        </w:tc>
      </w:tr>
      <w:tr>
        <w:trPr>
          <w:trHeight w:val="160"/>
        </w:trPr>
        <w:tc>
          <w:tcPr>
            <w:tcW w:w="42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June 30</w:t>
            </w:r>
          </w:p>
        </w:tc>
        <w:tc>
          <w:tcPr>
            <w:tcW w:w="2740" w:type="dxa"/>
            <w:vAlign w:val="bottom"/>
          </w:tcPr>
          <w:p>
            <w:pPr>
              <w:jc w:val="center"/>
              <w:ind w:left="106"/>
              <w:spacing w:after="0"/>
              <w:rPr>
                <w:sz w:val="20"/>
                <w:szCs w:val="20"/>
                <w:color w:val="auto"/>
              </w:rPr>
            </w:pPr>
            <w:r>
              <w:rPr>
                <w:rFonts w:ascii="Arial" w:cs="Arial" w:eastAsia="Arial" w:hAnsi="Arial"/>
                <w:sz w:val="11"/>
                <w:szCs w:val="11"/>
                <w:b w:val="1"/>
                <w:bCs w:val="1"/>
                <w:color w:val="auto"/>
                <w:w w:val="97"/>
              </w:rPr>
              <w:t>Affected Line Item in the Condensed Consolidated</w:t>
            </w:r>
          </w:p>
        </w:tc>
      </w:tr>
      <w:tr>
        <w:trPr>
          <w:trHeight w:val="141"/>
        </w:trPr>
        <w:tc>
          <w:tcPr>
            <w:tcW w:w="4280" w:type="dxa"/>
            <w:vAlign w:val="bottom"/>
          </w:tcPr>
          <w:p>
            <w:pPr>
              <w:spacing w:after="0"/>
              <w:rPr>
                <w:sz w:val="20"/>
                <w:szCs w:val="20"/>
                <w:color w:val="auto"/>
              </w:rPr>
            </w:pPr>
            <w:r>
              <w:rPr>
                <w:rFonts w:ascii="Arial" w:cs="Arial" w:eastAsia="Arial" w:hAnsi="Arial"/>
                <w:sz w:val="11"/>
                <w:szCs w:val="11"/>
                <w:color w:val="auto"/>
              </w:rPr>
              <w:t>(in thousands)</w:t>
            </w:r>
          </w:p>
        </w:tc>
        <w:tc>
          <w:tcPr>
            <w:tcW w:w="720" w:type="dxa"/>
            <w:vAlign w:val="bottom"/>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1360" w:type="dxa"/>
            <w:vAlign w:val="bottom"/>
          </w:tcPr>
          <w:p>
            <w:pPr>
              <w:jc w:val="right"/>
              <w:ind w:right="346"/>
              <w:spacing w:after="0"/>
              <w:rPr>
                <w:sz w:val="20"/>
                <w:szCs w:val="20"/>
                <w:color w:val="auto"/>
              </w:rPr>
            </w:pPr>
            <w:r>
              <w:rPr>
                <w:rFonts w:ascii="Arial" w:cs="Arial" w:eastAsia="Arial" w:hAnsi="Arial"/>
                <w:sz w:val="11"/>
                <w:szCs w:val="11"/>
                <w:color w:val="auto"/>
              </w:rPr>
              <w:t>2022</w:t>
            </w:r>
          </w:p>
        </w:tc>
        <w:tc>
          <w:tcPr>
            <w:tcW w:w="780" w:type="dxa"/>
            <w:vAlign w:val="bottom"/>
          </w:tcPr>
          <w:p>
            <w:pPr>
              <w:jc w:val="right"/>
              <w:ind w:right="66"/>
              <w:spacing w:after="0"/>
              <w:rPr>
                <w:sz w:val="20"/>
                <w:szCs w:val="20"/>
                <w:color w:val="auto"/>
              </w:rPr>
            </w:pPr>
            <w:r>
              <w:rPr>
                <w:rFonts w:ascii="Arial" w:cs="Arial" w:eastAsia="Arial" w:hAnsi="Arial"/>
                <w:sz w:val="11"/>
                <w:szCs w:val="11"/>
                <w:b w:val="1"/>
                <w:bCs w:val="1"/>
                <w:color w:val="auto"/>
              </w:rPr>
              <w:t>2023</w:t>
            </w:r>
          </w:p>
        </w:tc>
        <w:tc>
          <w:tcPr>
            <w:tcW w:w="1320" w:type="dxa"/>
            <w:vAlign w:val="bottom"/>
          </w:tcPr>
          <w:p>
            <w:pPr>
              <w:jc w:val="right"/>
              <w:ind w:right="306"/>
              <w:spacing w:after="0"/>
              <w:rPr>
                <w:sz w:val="20"/>
                <w:szCs w:val="20"/>
                <w:color w:val="auto"/>
              </w:rPr>
            </w:pPr>
            <w:r>
              <w:rPr>
                <w:rFonts w:ascii="Arial" w:cs="Arial" w:eastAsia="Arial" w:hAnsi="Arial"/>
                <w:sz w:val="11"/>
                <w:szCs w:val="11"/>
                <w:color w:val="auto"/>
              </w:rPr>
              <w:t>2022</w:t>
            </w:r>
          </w:p>
        </w:tc>
        <w:tc>
          <w:tcPr>
            <w:tcW w:w="2740" w:type="dxa"/>
            <w:vAlign w:val="bottom"/>
          </w:tcPr>
          <w:p>
            <w:pPr>
              <w:jc w:val="center"/>
              <w:ind w:left="126"/>
              <w:spacing w:after="0"/>
              <w:rPr>
                <w:sz w:val="20"/>
                <w:szCs w:val="20"/>
                <w:color w:val="auto"/>
              </w:rPr>
            </w:pPr>
            <w:r>
              <w:rPr>
                <w:rFonts w:ascii="Arial" w:cs="Arial" w:eastAsia="Arial" w:hAnsi="Arial"/>
                <w:sz w:val="11"/>
                <w:szCs w:val="11"/>
                <w:b w:val="1"/>
                <w:bCs w:val="1"/>
                <w:color w:val="auto"/>
                <w:w w:val="98"/>
              </w:rPr>
              <w:t>Statements of Operations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Pension and Other Postretirement Plans:</w:t>
            </w: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00"/>
              <w:spacing w:after="0"/>
              <w:rPr>
                <w:sz w:val="20"/>
                <w:szCs w:val="20"/>
                <w:color w:val="auto"/>
              </w:rPr>
            </w:pPr>
            <w:r>
              <w:rPr>
                <w:rFonts w:ascii="Arial" w:cs="Arial" w:eastAsia="Arial" w:hAnsi="Arial"/>
                <w:sz w:val="12"/>
                <w:szCs w:val="12"/>
                <w:color w:val="auto"/>
              </w:rPr>
              <w:t>Amortization of net prior service cost</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2"/>
                <w:szCs w:val="12"/>
                <w:b w:val="1"/>
                <w:bCs w:val="1"/>
                <w:color w:val="auto"/>
              </w:rPr>
              <w:t>411</w:t>
            </w: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716</w:t>
            </w:r>
          </w:p>
        </w:tc>
        <w:tc>
          <w:tcPr>
            <w:tcW w:w="360" w:type="dxa"/>
            <w:vAlign w:val="bottom"/>
          </w:tcPr>
          <w:p>
            <w:pPr>
              <w:jc w:val="right"/>
              <w:ind w:right="159"/>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b w:val="1"/>
                <w:bCs w:val="1"/>
                <w:color w:val="auto"/>
              </w:rPr>
              <w:t>820</w:t>
            </w:r>
          </w:p>
        </w:tc>
        <w:tc>
          <w:tcPr>
            <w:tcW w:w="34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1,432</w:t>
            </w:r>
          </w:p>
        </w:tc>
        <w:tc>
          <w:tcPr>
            <w:tcW w:w="2800" w:type="dxa"/>
            <w:vAlign w:val="bottom"/>
          </w:tcPr>
          <w:p>
            <w:pPr>
              <w:ind w:left="1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5"/>
        </w:trPr>
        <w:tc>
          <w:tcPr>
            <w:tcW w:w="4300" w:type="dxa"/>
            <w:vAlign w:val="bottom"/>
          </w:tcPr>
          <w:p>
            <w:pPr>
              <w:ind w:left="100"/>
              <w:spacing w:after="0"/>
              <w:rPr>
                <w:sz w:val="20"/>
                <w:szCs w:val="20"/>
                <w:color w:val="auto"/>
              </w:rPr>
            </w:pPr>
            <w:r>
              <w:rPr>
                <w:rFonts w:ascii="Arial" w:cs="Arial" w:eastAsia="Arial" w:hAnsi="Arial"/>
                <w:sz w:val="12"/>
                <w:szCs w:val="12"/>
                <w:color w:val="auto"/>
              </w:rPr>
              <w:t>Amortization of net actuarial gain</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(10,434)</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(18,082)</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(21,200)</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(35,856)</w:t>
            </w:r>
          </w:p>
        </w:tc>
        <w:tc>
          <w:tcPr>
            <w:tcW w:w="2800" w:type="dxa"/>
            <w:vAlign w:val="bottom"/>
          </w:tcPr>
          <w:p>
            <w:pPr>
              <w:ind w:left="1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9"/>
              <w:spacing w:after="0"/>
              <w:rPr>
                <w:sz w:val="20"/>
                <w:szCs w:val="20"/>
                <w:color w:val="auto"/>
              </w:rPr>
            </w:pPr>
            <w:r>
              <w:rPr>
                <w:rFonts w:ascii="Arial" w:cs="Arial" w:eastAsia="Arial" w:hAnsi="Arial"/>
                <w:sz w:val="12"/>
                <w:szCs w:val="12"/>
                <w:b w:val="1"/>
                <w:bCs w:val="1"/>
                <w:color w:val="auto"/>
              </w:rPr>
              <w:t>(10,023)</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(17,366)</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(20,380)</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(34,424)</w:t>
            </w:r>
          </w:p>
        </w:tc>
        <w:tc>
          <w:tcPr>
            <w:tcW w:w="2800" w:type="dxa"/>
            <w:vAlign w:val="bottom"/>
          </w:tcPr>
          <w:p>
            <w:pPr>
              <w:ind w:left="120"/>
              <w:spacing w:after="0"/>
              <w:rPr>
                <w:sz w:val="20"/>
                <w:szCs w:val="20"/>
                <w:color w:val="auto"/>
              </w:rPr>
            </w:pPr>
            <w:r>
              <w:rPr>
                <w:rFonts w:ascii="Arial" w:cs="Arial" w:eastAsia="Arial" w:hAnsi="Arial"/>
                <w:sz w:val="11"/>
                <w:szCs w:val="11"/>
                <w:color w:val="auto"/>
              </w:rPr>
              <w:t>Before tax</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2,578</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4,475</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5,242</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8,872</w:t>
            </w:r>
          </w:p>
        </w:tc>
        <w:tc>
          <w:tcPr>
            <w:tcW w:w="2800" w:type="dxa"/>
            <w:vAlign w:val="bottom"/>
          </w:tcPr>
          <w:p>
            <w:pPr>
              <w:ind w:left="120"/>
              <w:spacing w:after="0"/>
              <w:rPr>
                <w:sz w:val="20"/>
                <w:szCs w:val="20"/>
                <w:color w:val="auto"/>
              </w:rPr>
            </w:pPr>
            <w:r>
              <w:rPr>
                <w:rFonts w:ascii="Arial" w:cs="Arial" w:eastAsia="Arial" w:hAnsi="Arial"/>
                <w:sz w:val="11"/>
                <w:szCs w:val="11"/>
                <w:color w:val="auto"/>
              </w:rPr>
              <w:t>Provision for (Benefit from) Income Taxes</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(7,445)</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(12,891)</w:t>
            </w: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(15,138)</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(25,552)</w:t>
            </w:r>
          </w:p>
        </w:tc>
        <w:tc>
          <w:tcPr>
            <w:tcW w:w="2800" w:type="dxa"/>
            <w:vAlign w:val="bottom"/>
          </w:tcPr>
          <w:p>
            <w:pPr>
              <w:ind w:left="120"/>
              <w:spacing w:after="0"/>
              <w:rPr>
                <w:sz w:val="20"/>
                <w:szCs w:val="20"/>
                <w:color w:val="auto"/>
              </w:rPr>
            </w:pPr>
            <w:r>
              <w:rPr>
                <w:rFonts w:ascii="Arial" w:cs="Arial" w:eastAsia="Arial" w:hAnsi="Arial"/>
                <w:sz w:val="11"/>
                <w:szCs w:val="11"/>
                <w:color w:val="auto"/>
              </w:rPr>
              <w:t>Net of Tax</w:t>
            </w:r>
          </w:p>
        </w:tc>
        <w:tc>
          <w:tcPr>
            <w:tcW w:w="0" w:type="dxa"/>
            <w:vAlign w:val="bottom"/>
          </w:tcPr>
          <w:p>
            <w:pPr>
              <w:spacing w:after="0"/>
              <w:rPr>
                <w:sz w:val="1"/>
                <w:szCs w:val="1"/>
                <w:color w:val="auto"/>
              </w:rPr>
            </w:pPr>
          </w:p>
        </w:tc>
      </w:tr>
      <w:tr>
        <w:trPr>
          <w:trHeight w:val="164"/>
        </w:trPr>
        <w:tc>
          <w:tcPr>
            <w:tcW w:w="4300" w:type="dxa"/>
            <w:vAlign w:val="bottom"/>
          </w:tcPr>
          <w:p>
            <w:pPr>
              <w:ind w:left="20"/>
              <w:spacing w:after="0"/>
              <w:rPr>
                <w:sz w:val="20"/>
                <w:szCs w:val="20"/>
                <w:color w:val="auto"/>
              </w:rPr>
            </w:pPr>
            <w:r>
              <w:rPr>
                <w:rFonts w:ascii="Arial" w:cs="Arial" w:eastAsia="Arial" w:hAnsi="Arial"/>
                <w:sz w:val="12"/>
                <w:szCs w:val="12"/>
                <w:color w:val="auto"/>
              </w:rPr>
              <w:t>Cash Flow Hedges</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(235)</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151</w:t>
            </w: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(409)</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w:t>
            </w:r>
          </w:p>
        </w:tc>
        <w:tc>
          <w:tcPr>
            <w:tcW w:w="2800" w:type="dxa"/>
            <w:vAlign w:val="bottom"/>
          </w:tcPr>
          <w:p>
            <w:pPr>
              <w:ind w:left="120"/>
              <w:spacing w:after="0"/>
              <w:rPr>
                <w:sz w:val="20"/>
                <w:szCs w:val="20"/>
                <w:color w:val="auto"/>
              </w:rPr>
            </w:pPr>
            <w:r>
              <w:rPr>
                <w:rFonts w:ascii="Arial" w:cs="Arial" w:eastAsia="Arial" w:hAnsi="Arial"/>
                <w:sz w:val="11"/>
                <w:szCs w:val="11"/>
                <w:color w:val="auto"/>
              </w:rPr>
              <w:t>Interest expense</w:t>
            </w:r>
          </w:p>
        </w:tc>
        <w:tc>
          <w:tcPr>
            <w:tcW w:w="0" w:type="dxa"/>
            <w:vAlign w:val="bottom"/>
          </w:tcPr>
          <w:p>
            <w:pPr>
              <w:spacing w:after="0"/>
              <w:rPr>
                <w:sz w:val="1"/>
                <w:szCs w:val="1"/>
                <w:color w:val="auto"/>
              </w:rPr>
            </w:pPr>
          </w:p>
        </w:tc>
      </w:tr>
      <w:tr>
        <w:trPr>
          <w:trHeight w:val="164"/>
        </w:trPr>
        <w:tc>
          <w:tcPr>
            <w:tcW w:w="4300" w:type="dxa"/>
            <w:vAlign w:val="bottom"/>
          </w:tcPr>
          <w:p>
            <w:pPr>
              <w:ind w:left="20"/>
              <w:spacing w:after="0"/>
              <w:rPr>
                <w:sz w:val="20"/>
                <w:szCs w:val="20"/>
                <w:color w:val="auto"/>
              </w:rPr>
            </w:pPr>
            <w:r>
              <w:rPr>
                <w:rFonts w:ascii="Arial" w:cs="Arial" w:eastAsia="Arial" w:hAnsi="Arial"/>
                <w:sz w:val="12"/>
                <w:szCs w:val="12"/>
                <w:b w:val="1"/>
                <w:bCs w:val="1"/>
                <w:color w:val="auto"/>
              </w:rPr>
              <w:t>Total reclassification for the period</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(7,680)</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(12,740)</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(15,547)</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(25,217)</w:t>
            </w:r>
          </w:p>
        </w:tc>
        <w:tc>
          <w:tcPr>
            <w:tcW w:w="2800" w:type="dxa"/>
            <w:vAlign w:val="bottom"/>
          </w:tcPr>
          <w:p>
            <w:pPr>
              <w:ind w:left="120"/>
              <w:spacing w:after="0"/>
              <w:rPr>
                <w:sz w:val="20"/>
                <w:szCs w:val="20"/>
                <w:color w:val="auto"/>
              </w:rPr>
            </w:pPr>
            <w:r>
              <w:rPr>
                <w:rFonts w:ascii="Arial" w:cs="Arial" w:eastAsia="Arial" w:hAnsi="Arial"/>
                <w:sz w:val="11"/>
                <w:szCs w:val="11"/>
                <w:color w:val="auto"/>
              </w:rPr>
              <w:t>Net of Tax</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right="40" w:hanging="299"/>
        <w:spacing w:after="0" w:line="237" w:lineRule="auto"/>
        <w:tabs>
          <w:tab w:leader="none" w:pos="248"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These accumulated other comprehensive income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CONTINGENCIES</w:t>
      </w:r>
    </w:p>
    <w:p>
      <w:pPr>
        <w:spacing w:after="0" w:line="113" w:lineRule="exact"/>
        <w:rPr>
          <w:sz w:val="20"/>
          <w:szCs w:val="20"/>
          <w:color w:val="auto"/>
        </w:rPr>
      </w:pPr>
    </w:p>
    <w:p>
      <w:pPr>
        <w:ind w:right="300"/>
        <w:spacing w:after="0" w:line="256" w:lineRule="auto"/>
        <w:rPr>
          <w:sz w:val="20"/>
          <w:szCs w:val="20"/>
          <w:color w:val="auto"/>
        </w:rPr>
      </w:pPr>
      <w:r>
        <w:rPr>
          <w:rFonts w:ascii="Arial" w:cs="Arial" w:eastAsia="Arial" w:hAnsi="Arial"/>
          <w:sz w:val="13"/>
          <w:szCs w:val="13"/>
          <w:b w:val="1"/>
          <w:bCs w:val="1"/>
          <w:color w:val="auto"/>
        </w:rPr>
        <w:t>Litigation, Legal and Other Matters</w:t>
      </w:r>
      <w:r>
        <w:rPr>
          <w:rFonts w:ascii="Arial" w:cs="Arial" w:eastAsia="Arial" w:hAnsi="Arial"/>
          <w:sz w:val="13"/>
          <w:szCs w:val="13"/>
          <w:color w:val="auto"/>
        </w:rPr>
        <w:t>. The Company and its subsidiaries are subject to complaints and administrative proceedings and are defendants in various civil lawsuits that have</w:t>
      </w:r>
      <w:r>
        <w:rPr>
          <w:rFonts w:ascii="Arial" w:cs="Arial" w:eastAsia="Arial" w:hAnsi="Arial"/>
          <w:sz w:val="13"/>
          <w:szCs w:val="13"/>
          <w:b w:val="1"/>
          <w:bCs w:val="1"/>
          <w:color w:val="auto"/>
        </w:rPr>
        <w:t xml:space="preserve"> </w:t>
      </w:r>
      <w:r>
        <w:rPr>
          <w:rFonts w:ascii="Arial" w:cs="Arial" w:eastAsia="Arial" w:hAnsi="Arial"/>
          <w:sz w:val="13"/>
          <w:szCs w:val="13"/>
          <w:color w:val="auto"/>
        </w:rPr>
        <w:t>arisen in the ordinary course of their businesses, including contract disputes; actions alleging negligence, libel, defamation and invasion of privacy; trademark, copyright and patent</w:t>
      </w:r>
    </w:p>
    <w:p>
      <w:pPr>
        <w:ind w:right="280"/>
        <w:spacing w:after="0" w:line="235" w:lineRule="auto"/>
        <w:rPr>
          <w:sz w:val="20"/>
          <w:szCs w:val="20"/>
          <w:color w:val="auto"/>
        </w:rPr>
      </w:pPr>
      <w:r>
        <w:rPr>
          <w:rFonts w:ascii="Arial" w:cs="Arial" w:eastAsia="Arial" w:hAnsi="Arial"/>
          <w:sz w:val="13"/>
          <w:szCs w:val="13"/>
          <w:color w:val="auto"/>
        </w:rPr>
        <w:t>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w:t>
      </w:r>
    </w:p>
    <w:p>
      <w:pPr>
        <w:spacing w:after="0"/>
        <w:rPr>
          <w:sz w:val="20"/>
          <w:szCs w:val="20"/>
          <w:color w:val="auto"/>
        </w:rPr>
      </w:pPr>
      <w:r>
        <w:rPr>
          <w:rFonts w:ascii="Arial" w:cs="Arial" w:eastAsia="Arial" w:hAnsi="Arial"/>
          <w:sz w:val="13"/>
          <w:szCs w:val="13"/>
          <w:color w:val="auto"/>
        </w:rPr>
        <w:t>existing claims or proceedings that are likely to have a material effect on the Company’s business, financial condition, results of operations or cash flows. However, based on currently</w:t>
      </w:r>
    </w:p>
    <w:p>
      <w:pPr>
        <w:spacing w:after="0" w:line="2" w:lineRule="exact"/>
        <w:rPr>
          <w:sz w:val="20"/>
          <w:szCs w:val="20"/>
          <w:color w:val="auto"/>
        </w:rPr>
      </w:pPr>
    </w:p>
    <w:p>
      <w:pPr>
        <w:ind w:right="480"/>
        <w:spacing w:after="0" w:line="247" w:lineRule="auto"/>
        <w:rPr>
          <w:sz w:val="20"/>
          <w:szCs w:val="20"/>
          <w:color w:val="auto"/>
        </w:rPr>
      </w:pPr>
      <w:r>
        <w:rPr>
          <w:rFonts w:ascii="Arial" w:cs="Arial" w:eastAsia="Arial" w:hAnsi="Arial"/>
          <w:sz w:val="13"/>
          <w:szCs w:val="13"/>
          <w:color w:val="auto"/>
        </w:rPr>
        <w:t>available information, management believes it is reasonably possible that future losses from existing and threatened legal, regulatory and other proceedings in excess of the amounts recorded could reach approximately $15 million.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In 2015, Kaplan sold substantially all of the assets of the KHE Campuses (KHEC) business to Education Corporation of America. In 2018, certain subsidiaries of Kaplan contributed the</w:t>
      </w:r>
    </w:p>
    <w:p>
      <w:pPr>
        <w:spacing w:after="0" w:line="12" w:lineRule="exact"/>
        <w:rPr>
          <w:sz w:val="20"/>
          <w:szCs w:val="20"/>
          <w:color w:val="auto"/>
        </w:rPr>
      </w:pPr>
    </w:p>
    <w:p>
      <w:pPr>
        <w:ind w:right="280"/>
        <w:spacing w:after="0" w:line="235" w:lineRule="auto"/>
        <w:rPr>
          <w:sz w:val="20"/>
          <w:szCs w:val="20"/>
          <w:color w:val="auto"/>
        </w:rPr>
      </w:pPr>
      <w:r>
        <w:rPr>
          <w:rFonts w:ascii="Arial" w:cs="Arial" w:eastAsia="Arial" w:hAnsi="Arial"/>
          <w:sz w:val="13"/>
          <w:szCs w:val="13"/>
          <w:color w:val="auto"/>
        </w:rPr>
        <w:t>institutional assets and operations of KU to a new university: an Indiana nonprofit, public-benefit corporation affiliated with Purdue University, known as Purdue University Global. Kaplan could be held liable to the current owners of KU and the KHEC schools related to the pre-sale conduct of the schools, and the pre-sale conduct of the schools has been and could be the</w:t>
      </w:r>
    </w:p>
    <w:p>
      <w:pPr>
        <w:spacing w:after="0"/>
        <w:rPr>
          <w:sz w:val="20"/>
          <w:szCs w:val="20"/>
          <w:color w:val="auto"/>
        </w:rPr>
      </w:pPr>
      <w:r>
        <w:rPr>
          <w:rFonts w:ascii="Arial" w:cs="Arial" w:eastAsia="Arial" w:hAnsi="Arial"/>
          <w:sz w:val="13"/>
          <w:szCs w:val="13"/>
          <w:color w:val="auto"/>
        </w:rPr>
        <w:t>subject of future compliance reviews, regulatory proceedings or lawsuits that could result in monetary liabilities or fines or other sanctions. On May 6, 2021, Kaplan received a notice from the</w:t>
      </w:r>
    </w:p>
    <w:p>
      <w:pPr>
        <w:spacing w:after="0" w:line="230" w:lineRule="auto"/>
        <w:rPr>
          <w:sz w:val="20"/>
          <w:szCs w:val="20"/>
          <w:color w:val="auto"/>
        </w:rPr>
      </w:pPr>
      <w:r>
        <w:rPr>
          <w:rFonts w:ascii="Arial" w:cs="Arial" w:eastAsia="Arial" w:hAnsi="Arial"/>
          <w:sz w:val="13"/>
          <w:szCs w:val="13"/>
          <w:color w:val="auto"/>
        </w:rPr>
        <w:t>Department of Education (ED) that it would be conducting a fact-finding process pursuant to the borrower defense to repayment (BDTR) regulations to determine the validity of more than</w:t>
      </w:r>
    </w:p>
    <w:p>
      <w:pPr>
        <w:spacing w:after="0"/>
        <w:rPr>
          <w:sz w:val="20"/>
          <w:szCs w:val="20"/>
          <w:color w:val="auto"/>
        </w:rPr>
      </w:pPr>
      <w:r>
        <w:rPr>
          <w:rFonts w:ascii="Arial" w:cs="Arial" w:eastAsia="Arial" w:hAnsi="Arial"/>
          <w:sz w:val="13"/>
          <w:szCs w:val="13"/>
          <w:color w:val="auto"/>
        </w:rPr>
        <w:t>800 BDTR claims and a request for documents related to several of Kaplan’s previously owned schools. Beginning in July 2021, Kaplan started receiving the claims and related information</w:t>
      </w:r>
    </w:p>
    <w:p>
      <w:pPr>
        <w:spacing w:after="0" w:line="2" w:lineRule="exact"/>
        <w:rPr>
          <w:sz w:val="20"/>
          <w:szCs w:val="20"/>
          <w:color w:val="auto"/>
        </w:rPr>
      </w:pPr>
    </w:p>
    <w:p>
      <w:pPr>
        <w:ind w:right="200"/>
        <w:spacing w:after="0" w:line="235" w:lineRule="auto"/>
        <w:rPr>
          <w:sz w:val="20"/>
          <w:szCs w:val="20"/>
          <w:color w:val="auto"/>
        </w:rPr>
      </w:pPr>
      <w:r>
        <w:rPr>
          <w:rFonts w:ascii="Arial" w:cs="Arial" w:eastAsia="Arial" w:hAnsi="Arial"/>
          <w:sz w:val="13"/>
          <w:szCs w:val="13"/>
          <w:color w:val="auto"/>
        </w:rPr>
        <w:t>requests. In total, Kaplan received 1,449 borrower defense applications that seek discharge of approximately $35 million in loans, excluding interest. Most claims received are from former KU students. The ED’s process for adjudicating these claims is subject to the borrower defense regulations including those finalized in 2022 and effective July 1, 2023, but it is not clear to</w:t>
      </w:r>
    </w:p>
    <w:p>
      <w:pPr>
        <w:spacing w:after="0"/>
        <w:rPr>
          <w:sz w:val="20"/>
          <w:szCs w:val="20"/>
          <w:color w:val="auto"/>
        </w:rPr>
      </w:pPr>
      <w:r>
        <w:rPr>
          <w:rFonts w:ascii="Arial" w:cs="Arial" w:eastAsia="Arial" w:hAnsi="Arial"/>
          <w:sz w:val="13"/>
          <w:szCs w:val="13"/>
          <w:color w:val="auto"/>
        </w:rPr>
        <w:t>what extent the ED will exclude claims based on the underlying statutes of limitations, evidence provided by Kaplan, or any prior investigation related to schools attended by the student</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applicants. Compared to the previous rule, the new rule in part, expands actions that can give rise to claims for discharge; provides that the borrower’s claim will be presumed true if the institution does not provide any responsive evidence; provides an easier process for group claims; and relies on current program review penalty hearing processes for discharge recoupment.</w:t>
      </w:r>
    </w:p>
    <w:p>
      <w:pPr>
        <w:spacing w:after="0"/>
        <w:rPr>
          <w:sz w:val="20"/>
          <w:szCs w:val="20"/>
          <w:color w:val="auto"/>
        </w:rPr>
      </w:pPr>
      <w:r>
        <w:rPr>
          <w:rFonts w:ascii="Arial" w:cs="Arial" w:eastAsia="Arial" w:hAnsi="Arial"/>
          <w:sz w:val="13"/>
          <w:szCs w:val="13"/>
          <w:color w:val="auto"/>
        </w:rPr>
        <w:t>Under the rule, the recoupment process applies only to loans first disbursed after July 1, 2023; however, the discharge process and standards apply to any pending application regardless of</w:t>
      </w:r>
    </w:p>
    <w:p>
      <w:pPr>
        <w:spacing w:after="0" w:line="2" w:lineRule="exact"/>
        <w:rPr>
          <w:sz w:val="20"/>
          <w:szCs w:val="20"/>
          <w:color w:val="auto"/>
        </w:rPr>
      </w:pPr>
    </w:p>
    <w:p>
      <w:pPr>
        <w:ind w:right="400"/>
        <w:spacing w:after="0" w:line="235" w:lineRule="auto"/>
        <w:rPr>
          <w:sz w:val="20"/>
          <w:szCs w:val="20"/>
          <w:color w:val="auto"/>
        </w:rPr>
      </w:pPr>
      <w:r>
        <w:rPr>
          <w:rFonts w:ascii="Arial" w:cs="Arial" w:eastAsia="Arial" w:hAnsi="Arial"/>
          <w:sz w:val="13"/>
          <w:szCs w:val="13"/>
          <w:color w:val="auto"/>
        </w:rPr>
        <w:t>loan date. Kaplan believes it has defenses that would bar any student discharge or school liability including that the claims are barred by the applicable statute of limitations, unproven, incomplete and fail to meet regulatory filing requirements. Kaplan expects to vigorously defend any attempt by the ED to hold Kaplan liable for any ultimate student discharges and has</w:t>
      </w:r>
    </w:p>
    <w:p>
      <w:pPr>
        <w:spacing w:after="0"/>
        <w:rPr>
          <w:sz w:val="20"/>
          <w:szCs w:val="20"/>
          <w:color w:val="auto"/>
        </w:rPr>
      </w:pPr>
      <w:r>
        <w:rPr>
          <w:rFonts w:ascii="Arial" w:cs="Arial" w:eastAsia="Arial" w:hAnsi="Arial"/>
          <w:sz w:val="13"/>
          <w:szCs w:val="13"/>
          <w:color w:val="auto"/>
        </w:rPr>
        <w:t>responded to all claims with documentary and narrative evidence to refute the allegations, demonstrate their lack of merit, and support the denial of all such claims by the ED. If the claims</w:t>
      </w:r>
    </w:p>
    <w:p>
      <w:pPr>
        <w:spacing w:after="0" w:line="2" w:lineRule="exact"/>
        <w:rPr>
          <w:sz w:val="20"/>
          <w:szCs w:val="20"/>
          <w:color w:val="auto"/>
        </w:rPr>
      </w:pPr>
    </w:p>
    <w:p>
      <w:pPr>
        <w:ind w:right="220"/>
        <w:spacing w:after="0" w:line="235" w:lineRule="auto"/>
        <w:rPr>
          <w:sz w:val="20"/>
          <w:szCs w:val="20"/>
          <w:color w:val="auto"/>
        </w:rPr>
      </w:pPr>
      <w:r>
        <w:rPr>
          <w:rFonts w:ascii="Arial" w:cs="Arial" w:eastAsia="Arial" w:hAnsi="Arial"/>
          <w:sz w:val="13"/>
          <w:szCs w:val="13"/>
          <w:color w:val="auto"/>
        </w:rPr>
        <w:t xml:space="preserve">are successful, the ED may seek reimbursement for the amount discharged from Kaplan. If the ED initiates a reimbursement action against Kaplan following approval of former students’ BDTR applications, Kaplan may be subject to significant liability. In November 2022 the Northern District of California approved the settlement agreement in the lawsuit </w:t>
      </w:r>
      <w:r>
        <w:rPr>
          <w:rFonts w:ascii="Arial" w:cs="Arial" w:eastAsia="Arial" w:hAnsi="Arial"/>
          <w:sz w:val="13"/>
          <w:szCs w:val="13"/>
          <w:i w:val="1"/>
          <w:iCs w:val="1"/>
          <w:color w:val="auto"/>
        </w:rPr>
        <w:t>Sweet v. Cardona</w:t>
      </w:r>
      <w:r>
        <w:rPr>
          <w:rFonts w:ascii="Arial" w:cs="Arial" w:eastAsia="Arial" w:hAnsi="Arial"/>
          <w:sz w:val="13"/>
          <w:szCs w:val="13"/>
          <w:color w:val="auto"/>
        </w:rPr>
        <w:t>.</w:t>
      </w:r>
    </w:p>
    <w:p>
      <w:pPr>
        <w:ind w:right="160"/>
        <w:spacing w:after="0" w:line="263" w:lineRule="auto"/>
        <w:rPr>
          <w:sz w:val="20"/>
          <w:szCs w:val="20"/>
          <w:color w:val="auto"/>
        </w:rPr>
      </w:pPr>
      <w:r>
        <w:rPr>
          <w:rFonts w:ascii="Arial" w:cs="Arial" w:eastAsia="Arial" w:hAnsi="Arial"/>
          <w:sz w:val="13"/>
          <w:szCs w:val="13"/>
          <w:color w:val="auto"/>
        </w:rPr>
        <w:t>The Plaintiffs in that lawsuit claimed that the ED failed to properly consider and decide pending BDTR claims. As part of the settlement, the ED agreed to discharge loans of borrowers who attended 150 specific schools, including schools formerly owned by Kaplan, and who had BDTR claims pending as of the June 22, 2022 settlement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t>execution date. This discharge will likely cover each of the 1,449 applications the ED sent to Kaplan and to which Kaplan responded. The ED and the Court made clear that these discharges</w:t>
      </w:r>
    </w:p>
    <w:p>
      <w:pPr>
        <w:spacing w:after="0" w:line="12" w:lineRule="exact"/>
        <w:rPr>
          <w:sz w:val="20"/>
          <w:szCs w:val="20"/>
          <w:color w:val="auto"/>
        </w:rPr>
      </w:pPr>
    </w:p>
    <w:p>
      <w:pPr>
        <w:ind w:right="60"/>
        <w:spacing w:after="0" w:line="235" w:lineRule="auto"/>
        <w:rPr>
          <w:sz w:val="20"/>
          <w:szCs w:val="20"/>
          <w:color w:val="auto"/>
        </w:rPr>
      </w:pPr>
      <w:r>
        <w:rPr>
          <w:rFonts w:ascii="Arial" w:cs="Arial" w:eastAsia="Arial" w:hAnsi="Arial"/>
          <w:sz w:val="13"/>
          <w:szCs w:val="13"/>
          <w:color w:val="auto"/>
        </w:rPr>
        <w:t>as part of a settlement are not determinations that the pending BDTR claims are valid and the fact of the settlement discharge cannot be used as evidence of any determination of wrongdoing by the institutions. However, despite the fact that the loans are discharged per the settlement, the ED may still attempt to separately adjudicate the associated BDTR claims and</w:t>
      </w:r>
    </w:p>
    <w:p>
      <w:pPr>
        <w:spacing w:after="0"/>
        <w:rPr>
          <w:sz w:val="20"/>
          <w:szCs w:val="20"/>
          <w:color w:val="auto"/>
        </w:rPr>
      </w:pPr>
      <w:r>
        <w:rPr>
          <w:rFonts w:ascii="Arial" w:cs="Arial" w:eastAsia="Arial" w:hAnsi="Arial"/>
          <w:sz w:val="13"/>
          <w:szCs w:val="13"/>
          <w:color w:val="auto"/>
        </w:rPr>
        <w:t>follow the regulatory process for seeking recoupment from the institutions for such claims. On October 27, 2022, the ED released a final rule that among other things, changes the Title IV</w:t>
      </w:r>
    </w:p>
    <w:p>
      <w:pPr>
        <w:spacing w:after="0" w:line="2" w:lineRule="exact"/>
        <w:rPr>
          <w:sz w:val="20"/>
          <w:szCs w:val="20"/>
          <w:color w:val="auto"/>
        </w:rPr>
      </w:pPr>
    </w:p>
    <w:p>
      <w:pPr>
        <w:jc w:val="both"/>
        <w:ind w:right="260"/>
        <w:spacing w:after="0" w:line="247" w:lineRule="auto"/>
        <w:rPr>
          <w:sz w:val="20"/>
          <w:szCs w:val="20"/>
          <w:color w:val="auto"/>
        </w:rPr>
      </w:pPr>
      <w:r>
        <w:rPr>
          <w:rFonts w:ascii="Arial" w:cs="Arial" w:eastAsia="Arial" w:hAnsi="Arial"/>
          <w:sz w:val="13"/>
          <w:szCs w:val="13"/>
          <w:color w:val="auto"/>
        </w:rPr>
        <w:t>definition of “Nonprofit” institution to generally exclude from that definition any institution that is an obligor on a debt owed to a former owner of the institution or that maintains a revenue-based service agreement with a former owner of the institution. The final rule had an effective date of July 1, 2023 and could subject Purdue Global to additional regulatory requirements.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695"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auto"/>
        </w:rPr>
        <w:t>15. BUSINESS SEGMENTS</w:t>
      </w:r>
    </w:p>
    <w:p>
      <w:pPr>
        <w:spacing w:after="0" w:line="129" w:lineRule="exact"/>
        <w:rPr>
          <w:sz w:val="20"/>
          <w:szCs w:val="20"/>
          <w:color w:val="auto"/>
        </w:rPr>
      </w:pPr>
    </w:p>
    <w:p>
      <w:pPr>
        <w:ind w:right="340"/>
        <w:spacing w:after="0" w:line="263" w:lineRule="auto"/>
        <w:rPr>
          <w:sz w:val="20"/>
          <w:szCs w:val="20"/>
          <w:color w:val="auto"/>
        </w:rPr>
      </w:pPr>
      <w:r>
        <w:rPr>
          <w:rFonts w:ascii="Arial" w:cs="Arial" w:eastAsia="Arial" w:hAnsi="Arial"/>
          <w:sz w:val="13"/>
          <w:szCs w:val="13"/>
          <w:color w:val="auto"/>
        </w:rPr>
        <w:t>In the second quarter of 2023, Kaplan modified its segment reporting for Kaplan India, a shared services center that supports Higher Education. Kaplan India was previously included in Kaplan corporate and other. Certain amounts in previously issued financial statements have been reclassified to conform to the current presentation.</w:t>
      </w:r>
    </w:p>
    <w:p>
      <w:pPr>
        <w:spacing w:after="0" w:line="87" w:lineRule="exact"/>
        <w:rPr>
          <w:sz w:val="20"/>
          <w:szCs w:val="20"/>
          <w:color w:val="auto"/>
        </w:rPr>
      </w:pPr>
    </w:p>
    <w:p>
      <w:pPr>
        <w:ind w:right="280"/>
        <w:spacing w:after="0" w:line="279" w:lineRule="auto"/>
        <w:rPr>
          <w:sz w:val="20"/>
          <w:szCs w:val="20"/>
          <w:color w:val="auto"/>
        </w:rPr>
      </w:pPr>
      <w:r>
        <w:rPr>
          <w:rFonts w:ascii="Arial" w:cs="Arial" w:eastAsia="Arial" w:hAnsi="Arial"/>
          <w:sz w:val="13"/>
          <w:szCs w:val="13"/>
          <w:color w:val="auto"/>
        </w:rPr>
        <w:t>The Company has seven reportable segments: Kaplan International, Kaplan Higher Education, Kaplan Supplemental Education, Television Broadcasting, Manufacturing, Healthcare and Automotive.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summarize the financial information related to each of the Company’s business segments: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color w:val="auto"/>
                <w:w w:val="97"/>
              </w:rPr>
              <w:t>2022</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63"/>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60" w:type="dxa"/>
            <w:vAlign w:val="bottom"/>
          </w:tcPr>
          <w:p>
            <w:pPr>
              <w:ind w:left="16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402,227</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353,013</w:t>
            </w:r>
          </w:p>
        </w:tc>
        <w:tc>
          <w:tcPr>
            <w:tcW w:w="34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780,268</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711,025</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118,829</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122,386</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231,706</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245,805</w:t>
            </w:r>
          </w:p>
        </w:tc>
        <w:tc>
          <w:tcPr>
            <w:tcW w:w="0" w:type="dxa"/>
            <w:vAlign w:val="bottom"/>
          </w:tcPr>
          <w:p>
            <w:pPr>
              <w:spacing w:after="0"/>
              <w:rPr>
                <w:sz w:val="1"/>
                <w:szCs w:val="1"/>
                <w:color w:val="auto"/>
              </w:rPr>
            </w:pPr>
          </w:p>
        </w:tc>
      </w:tr>
      <w:tr>
        <w:trPr>
          <w:trHeight w:val="182"/>
        </w:trPr>
        <w:tc>
          <w:tcPr>
            <w:tcW w:w="6160" w:type="dxa"/>
            <w:vAlign w:val="bottom"/>
          </w:tcPr>
          <w:p>
            <w:pPr>
              <w:ind w:left="160"/>
              <w:spacing w:after="0"/>
              <w:rPr>
                <w:sz w:val="20"/>
                <w:szCs w:val="20"/>
                <w:color w:val="auto"/>
              </w:rPr>
            </w:pPr>
            <w:r>
              <w:rPr>
                <w:rFonts w:ascii="Arial" w:cs="Arial" w:eastAsia="Arial" w:hAnsi="Arial"/>
                <w:sz w:val="12"/>
                <w:szCs w:val="12"/>
                <w:color w:val="auto"/>
              </w:rPr>
              <w:t>Manufacturing</w:t>
            </w:r>
          </w:p>
        </w:tc>
        <w:tc>
          <w:tcPr>
            <w:tcW w:w="280" w:type="dxa"/>
            <w:vAlign w:val="bottom"/>
          </w:tcPr>
          <w:p>
            <w:pPr>
              <w:spacing w:after="0"/>
              <w:rPr>
                <w:sz w:val="15"/>
                <w:szCs w:val="15"/>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120,082</w:t>
            </w:r>
          </w:p>
        </w:tc>
        <w:tc>
          <w:tcPr>
            <w:tcW w:w="52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127,062</w:t>
            </w:r>
          </w:p>
        </w:tc>
        <w:tc>
          <w:tcPr>
            <w:tcW w:w="340" w:type="dxa"/>
            <w:vAlign w:val="bottom"/>
          </w:tcPr>
          <w:p>
            <w:pPr>
              <w:spacing w:after="0"/>
              <w:rPr>
                <w:sz w:val="15"/>
                <w:szCs w:val="15"/>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234,666</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243,002</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Healthcare</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113,282</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76,385</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215,341</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143,640</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Automotive</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260,672</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147,602</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493,233</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298,569</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90,449</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107,326</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182,457</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206,943</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Corporate office</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850</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850</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6160" w:type="dxa"/>
            <w:vAlign w:val="bottom"/>
          </w:tcPr>
          <w:p>
            <w:pPr>
              <w:ind w:left="160"/>
              <w:spacing w:after="0"/>
              <w:rPr>
                <w:sz w:val="20"/>
                <w:szCs w:val="20"/>
                <w:color w:val="auto"/>
              </w:rPr>
            </w:pPr>
            <w:r>
              <w:rPr>
                <w:rFonts w:ascii="Arial" w:cs="Arial" w:eastAsia="Arial" w:hAnsi="Arial"/>
                <w:sz w:val="12"/>
                <w:szCs w:val="12"/>
                <w:color w:val="auto"/>
              </w:rPr>
              <w:t>Intersegment elimination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(1,392)</w:t>
            </w: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(1,976)</w:t>
            </w: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(961)</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1,104,999</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933,302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2,136,545</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1,848,023</w:t>
            </w:r>
          </w:p>
        </w:tc>
        <w:tc>
          <w:tcPr>
            <w:tcW w:w="0" w:type="dxa"/>
            <w:vAlign w:val="bottom"/>
          </w:tcPr>
          <w:p>
            <w:pPr>
              <w:spacing w:after="0"/>
              <w:rPr>
                <w:sz w:val="1"/>
                <w:szCs w:val="1"/>
                <w:color w:val="auto"/>
              </w:rPr>
            </w:pPr>
          </w:p>
        </w:tc>
      </w:tr>
      <w:tr>
        <w:trPr>
          <w:trHeight w:val="123"/>
        </w:trPr>
        <w:tc>
          <w:tcPr>
            <w:tcW w:w="616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Income (Loss) from Operations before Amortization of Intangible Assets and Impairment of Long-Lived</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Arial" w:cs="Arial" w:eastAsia="Arial" w:hAnsi="Arial"/>
                <w:sz w:val="12"/>
                <w:szCs w:val="12"/>
                <w:b w:val="1"/>
                <w:bCs w:val="1"/>
                <w:color w:val="auto"/>
              </w:rPr>
              <w:t>Assets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34,100</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22,769</w:t>
            </w:r>
          </w:p>
        </w:tc>
        <w:tc>
          <w:tcPr>
            <w:tcW w:w="34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61,556</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47,327</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34,553</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41,042</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64,498</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82,300</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Manufacturing</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16,314</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9,666</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28,504</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24,804</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Healthcare</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9,259</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7,250</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13,149</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14,538</w:t>
            </w:r>
          </w:p>
        </w:tc>
        <w:tc>
          <w:tcPr>
            <w:tcW w:w="0" w:type="dxa"/>
            <w:vAlign w:val="bottom"/>
          </w:tcPr>
          <w:p>
            <w:pPr>
              <w:spacing w:after="0"/>
              <w:rPr>
                <w:sz w:val="1"/>
                <w:szCs w:val="1"/>
                <w:color w:val="auto"/>
              </w:rPr>
            </w:pPr>
          </w:p>
        </w:tc>
      </w:tr>
      <w:tr>
        <w:trPr>
          <w:trHeight w:val="182"/>
        </w:trPr>
        <w:tc>
          <w:tcPr>
            <w:tcW w:w="6160" w:type="dxa"/>
            <w:vAlign w:val="bottom"/>
          </w:tcPr>
          <w:p>
            <w:pPr>
              <w:ind w:left="160"/>
              <w:spacing w:after="0"/>
              <w:rPr>
                <w:sz w:val="20"/>
                <w:szCs w:val="20"/>
                <w:color w:val="auto"/>
              </w:rPr>
            </w:pPr>
            <w:r>
              <w:rPr>
                <w:rFonts w:ascii="Arial" w:cs="Arial" w:eastAsia="Arial" w:hAnsi="Arial"/>
                <w:sz w:val="12"/>
                <w:szCs w:val="12"/>
                <w:color w:val="auto"/>
              </w:rPr>
              <w:t>Automotive</w:t>
            </w:r>
          </w:p>
        </w:tc>
        <w:tc>
          <w:tcPr>
            <w:tcW w:w="280" w:type="dxa"/>
            <w:vAlign w:val="bottom"/>
          </w:tcPr>
          <w:p>
            <w:pPr>
              <w:spacing w:after="0"/>
              <w:rPr>
                <w:sz w:val="15"/>
                <w:szCs w:val="15"/>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9,460</w:t>
            </w:r>
          </w:p>
        </w:tc>
        <w:tc>
          <w:tcPr>
            <w:tcW w:w="52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7,365</w:t>
            </w:r>
          </w:p>
        </w:tc>
        <w:tc>
          <w:tcPr>
            <w:tcW w:w="340" w:type="dxa"/>
            <w:vAlign w:val="bottom"/>
          </w:tcPr>
          <w:p>
            <w:pPr>
              <w:spacing w:after="0"/>
              <w:rPr>
                <w:sz w:val="15"/>
                <w:szCs w:val="15"/>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20,303</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14,443</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b w:val="1"/>
                <w:bCs w:val="1"/>
                <w:color w:val="auto"/>
              </w:rPr>
              <w:t>(21,118)</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(23,031)</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(49,024)</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(50,461)</w:t>
            </w:r>
          </w:p>
        </w:tc>
        <w:tc>
          <w:tcPr>
            <w:tcW w:w="0" w:type="dxa"/>
            <w:vAlign w:val="bottom"/>
          </w:tcPr>
          <w:p>
            <w:pPr>
              <w:spacing w:after="0"/>
              <w:rPr>
                <w:sz w:val="1"/>
                <w:szCs w:val="1"/>
                <w:color w:val="auto"/>
              </w:rPr>
            </w:pPr>
          </w:p>
        </w:tc>
      </w:tr>
      <w:tr>
        <w:trPr>
          <w:trHeight w:val="175"/>
        </w:trPr>
        <w:tc>
          <w:tcPr>
            <w:tcW w:w="6160" w:type="dxa"/>
            <w:vAlign w:val="bottom"/>
          </w:tcPr>
          <w:p>
            <w:pPr>
              <w:ind w:left="16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(11,209)</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(10,844)</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(25,282)</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(23,851)</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71,359</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54,217</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113,704</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109,100</w:t>
            </w:r>
          </w:p>
        </w:tc>
        <w:tc>
          <w:tcPr>
            <w:tcW w:w="0" w:type="dxa"/>
            <w:vAlign w:val="bottom"/>
          </w:tcPr>
          <w:p>
            <w:pPr>
              <w:spacing w:after="0"/>
              <w:rPr>
                <w:sz w:val="1"/>
                <w:szCs w:val="1"/>
                <w:color w:val="auto"/>
              </w:rPr>
            </w:pPr>
          </w:p>
        </w:tc>
      </w:tr>
      <w:tr>
        <w:trPr>
          <w:trHeight w:val="159"/>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Amortization of Intangible Assets and Impairment of Long-Lived Assets</w:t>
            </w:r>
          </w:p>
        </w:tc>
        <w:tc>
          <w:tcPr>
            <w:tcW w:w="28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3,984</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8,400</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Education</w:t>
            </w:r>
          </w:p>
        </w:tc>
        <w:tc>
          <w:tcPr>
            <w:tcW w:w="2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4,064</w:t>
            </w:r>
          </w:p>
        </w:tc>
        <w:tc>
          <w:tcPr>
            <w:tcW w:w="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8,210</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1,363</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1,360</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2,725</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2,720</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Manufacturing</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4,332</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5,164</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9,194</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10,327</w:t>
            </w:r>
          </w:p>
        </w:tc>
        <w:tc>
          <w:tcPr>
            <w:tcW w:w="0" w:type="dxa"/>
            <w:vAlign w:val="bottom"/>
          </w:tcPr>
          <w:p>
            <w:pPr>
              <w:spacing w:after="0"/>
              <w:rPr>
                <w:sz w:val="1"/>
                <w:szCs w:val="1"/>
                <w:color w:val="auto"/>
              </w:rPr>
            </w:pPr>
          </w:p>
        </w:tc>
      </w:tr>
      <w:tr>
        <w:trPr>
          <w:trHeight w:val="182"/>
        </w:trPr>
        <w:tc>
          <w:tcPr>
            <w:tcW w:w="6160" w:type="dxa"/>
            <w:vAlign w:val="bottom"/>
          </w:tcPr>
          <w:p>
            <w:pPr>
              <w:ind w:left="160"/>
              <w:spacing w:after="0"/>
              <w:rPr>
                <w:sz w:val="20"/>
                <w:szCs w:val="20"/>
                <w:color w:val="auto"/>
              </w:rPr>
            </w:pPr>
            <w:r>
              <w:rPr>
                <w:rFonts w:ascii="Arial" w:cs="Arial" w:eastAsia="Arial" w:hAnsi="Arial"/>
                <w:sz w:val="12"/>
                <w:szCs w:val="12"/>
                <w:color w:val="auto"/>
              </w:rPr>
              <w:t>Healthcare</w:t>
            </w:r>
          </w:p>
        </w:tc>
        <w:tc>
          <w:tcPr>
            <w:tcW w:w="280" w:type="dxa"/>
            <w:vAlign w:val="bottom"/>
          </w:tcPr>
          <w:p>
            <w:pPr>
              <w:spacing w:after="0"/>
              <w:rPr>
                <w:sz w:val="15"/>
                <w:szCs w:val="15"/>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882</w:t>
            </w:r>
          </w:p>
        </w:tc>
        <w:tc>
          <w:tcPr>
            <w:tcW w:w="52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988</w:t>
            </w:r>
          </w:p>
        </w:tc>
        <w:tc>
          <w:tcPr>
            <w:tcW w:w="340" w:type="dxa"/>
            <w:vAlign w:val="bottom"/>
          </w:tcPr>
          <w:p>
            <w:pPr>
              <w:spacing w:after="0"/>
              <w:rPr>
                <w:sz w:val="15"/>
                <w:szCs w:val="15"/>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1,836</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1,917</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Automotive</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2,743</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3,313</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5,838</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6,627</w:t>
            </w:r>
          </w:p>
        </w:tc>
        <w:tc>
          <w:tcPr>
            <w:tcW w:w="0" w:type="dxa"/>
            <w:vAlign w:val="bottom"/>
          </w:tcPr>
          <w:p>
            <w:pPr>
              <w:spacing w:after="0"/>
              <w:rPr>
                <w:sz w:val="1"/>
                <w:szCs w:val="1"/>
                <w:color w:val="auto"/>
              </w:rPr>
            </w:pPr>
          </w:p>
        </w:tc>
      </w:tr>
      <w:tr>
        <w:trPr>
          <w:trHeight w:val="176"/>
        </w:trPr>
        <w:tc>
          <w:tcPr>
            <w:tcW w:w="6160" w:type="dxa"/>
            <w:vAlign w:val="bottom"/>
          </w:tcPr>
          <w:p>
            <w:pPr>
              <w:ind w:left="16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616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13,304</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14,889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27,993</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29,801</w:t>
            </w:r>
          </w:p>
        </w:tc>
        <w:tc>
          <w:tcPr>
            <w:tcW w:w="0" w:type="dxa"/>
            <w:vAlign w:val="bottom"/>
          </w:tcPr>
          <w:p>
            <w:pPr>
              <w:spacing w:after="0"/>
              <w:rPr>
                <w:sz w:val="1"/>
                <w:szCs w:val="1"/>
                <w:color w:val="auto"/>
              </w:rPr>
            </w:pPr>
          </w:p>
        </w:tc>
      </w:tr>
      <w:tr>
        <w:trPr>
          <w:trHeight w:val="155"/>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Income (Loss) from Operations</w:t>
            </w:r>
          </w:p>
        </w:tc>
        <w:tc>
          <w:tcPr>
            <w:tcW w:w="28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30,116</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53,156</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Education</w:t>
            </w:r>
          </w:p>
        </w:tc>
        <w:tc>
          <w:tcPr>
            <w:tcW w:w="2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18,705</w:t>
            </w:r>
          </w:p>
        </w:tc>
        <w:tc>
          <w:tcPr>
            <w:tcW w:w="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39,117</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33,190</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39,682</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61,773</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79,580</w:t>
            </w:r>
          </w:p>
        </w:tc>
        <w:tc>
          <w:tcPr>
            <w:tcW w:w="0" w:type="dxa"/>
            <w:vAlign w:val="bottom"/>
          </w:tcPr>
          <w:p>
            <w:pPr>
              <w:spacing w:after="0"/>
              <w:rPr>
                <w:sz w:val="1"/>
                <w:szCs w:val="1"/>
                <w:color w:val="auto"/>
              </w:rPr>
            </w:pPr>
          </w:p>
        </w:tc>
      </w:tr>
      <w:tr>
        <w:trPr>
          <w:trHeight w:val="182"/>
        </w:trPr>
        <w:tc>
          <w:tcPr>
            <w:tcW w:w="6160" w:type="dxa"/>
            <w:vAlign w:val="bottom"/>
          </w:tcPr>
          <w:p>
            <w:pPr>
              <w:ind w:left="160"/>
              <w:spacing w:after="0"/>
              <w:rPr>
                <w:sz w:val="20"/>
                <w:szCs w:val="20"/>
                <w:color w:val="auto"/>
              </w:rPr>
            </w:pPr>
            <w:r>
              <w:rPr>
                <w:rFonts w:ascii="Arial" w:cs="Arial" w:eastAsia="Arial" w:hAnsi="Arial"/>
                <w:sz w:val="12"/>
                <w:szCs w:val="12"/>
                <w:color w:val="auto"/>
              </w:rPr>
              <w:t>Manufacturing</w:t>
            </w:r>
          </w:p>
        </w:tc>
        <w:tc>
          <w:tcPr>
            <w:tcW w:w="280" w:type="dxa"/>
            <w:vAlign w:val="bottom"/>
          </w:tcPr>
          <w:p>
            <w:pPr>
              <w:spacing w:after="0"/>
              <w:rPr>
                <w:sz w:val="15"/>
                <w:szCs w:val="15"/>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11,982</w:t>
            </w:r>
          </w:p>
        </w:tc>
        <w:tc>
          <w:tcPr>
            <w:tcW w:w="52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4,502</w:t>
            </w:r>
          </w:p>
        </w:tc>
        <w:tc>
          <w:tcPr>
            <w:tcW w:w="340" w:type="dxa"/>
            <w:vAlign w:val="bottom"/>
          </w:tcPr>
          <w:p>
            <w:pPr>
              <w:spacing w:after="0"/>
              <w:rPr>
                <w:sz w:val="15"/>
                <w:szCs w:val="15"/>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19,310</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14,477</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Healthcare</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8,377</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6,262</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11,313</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12,621</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Automotive</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9,460</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7,365</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20,303</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14,443</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b w:val="1"/>
                <w:bCs w:val="1"/>
                <w:color w:val="auto"/>
              </w:rPr>
              <w:t>(23,861)</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(26,344)</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(54,862)</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(57,088)</w:t>
            </w:r>
          </w:p>
        </w:tc>
        <w:tc>
          <w:tcPr>
            <w:tcW w:w="0" w:type="dxa"/>
            <w:vAlign w:val="bottom"/>
          </w:tcPr>
          <w:p>
            <w:pPr>
              <w:spacing w:after="0"/>
              <w:rPr>
                <w:sz w:val="1"/>
                <w:szCs w:val="1"/>
                <w:color w:val="auto"/>
              </w:rPr>
            </w:pPr>
          </w:p>
        </w:tc>
      </w:tr>
      <w:tr>
        <w:trPr>
          <w:trHeight w:val="181"/>
        </w:trPr>
        <w:tc>
          <w:tcPr>
            <w:tcW w:w="6160" w:type="dxa"/>
            <w:vAlign w:val="bottom"/>
          </w:tcPr>
          <w:p>
            <w:pPr>
              <w:ind w:left="16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(11,209)</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(10,844)</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(25,282)</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(23,851)</w:t>
            </w: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58,055</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39,328</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85,711</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79,299</w:t>
            </w:r>
          </w:p>
        </w:tc>
        <w:tc>
          <w:tcPr>
            <w:tcW w:w="0" w:type="dxa"/>
            <w:vAlign w:val="bottom"/>
          </w:tcPr>
          <w:p>
            <w:pPr>
              <w:spacing w:after="0"/>
              <w:rPr>
                <w:sz w:val="1"/>
                <w:szCs w:val="1"/>
                <w:color w:val="auto"/>
              </w:rPr>
            </w:pPr>
          </w:p>
        </w:tc>
      </w:tr>
      <w:tr>
        <w:trPr>
          <w:trHeight w:val="162"/>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Equity in (Losses) Earnings of Affiliates, Net</w:t>
            </w:r>
          </w:p>
        </w:tc>
        <w:tc>
          <w:tcPr>
            <w:tcW w:w="2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b w:val="1"/>
                <w:bCs w:val="1"/>
                <w:color w:val="auto"/>
              </w:rPr>
              <w:t>(6,115)</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1,427</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(1,454)</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4,031</w:t>
            </w:r>
          </w:p>
        </w:tc>
        <w:tc>
          <w:tcPr>
            <w:tcW w:w="0" w:type="dxa"/>
            <w:vAlign w:val="bottom"/>
          </w:tcPr>
          <w:p>
            <w:pPr>
              <w:spacing w:after="0"/>
              <w:rPr>
                <w:sz w:val="1"/>
                <w:szCs w:val="1"/>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Interest Expense, Net</w:t>
            </w:r>
          </w:p>
        </w:tc>
        <w:tc>
          <w:tcPr>
            <w:tcW w:w="28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b w:val="1"/>
                <w:bCs w:val="1"/>
                <w:color w:val="auto"/>
              </w:rPr>
              <w:t>(10,226)</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(15,277)</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(23,316)</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(25,979)</w:t>
            </w:r>
          </w:p>
        </w:tc>
        <w:tc>
          <w:tcPr>
            <w:tcW w:w="0" w:type="dxa"/>
            <w:vAlign w:val="bottom"/>
          </w:tcPr>
          <w:p>
            <w:pPr>
              <w:spacing w:after="0"/>
              <w:rPr>
                <w:sz w:val="1"/>
                <w:szCs w:val="1"/>
                <w:color w:val="auto"/>
              </w:rPr>
            </w:pPr>
          </w:p>
        </w:tc>
      </w:tr>
      <w:tr>
        <w:trPr>
          <w:trHeight w:val="172"/>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Non-Operating Pension and Postretirement Benefit Income, Net</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29,815</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50,871</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61,660</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101,376</w:t>
            </w:r>
          </w:p>
        </w:tc>
        <w:tc>
          <w:tcPr>
            <w:tcW w:w="0" w:type="dxa"/>
            <w:vAlign w:val="bottom"/>
          </w:tcPr>
          <w:p>
            <w:pPr>
              <w:spacing w:after="0"/>
              <w:rPr>
                <w:sz w:val="1"/>
                <w:szCs w:val="1"/>
                <w:color w:val="auto"/>
              </w:rPr>
            </w:pPr>
          </w:p>
        </w:tc>
      </w:tr>
      <w:tr>
        <w:trPr>
          <w:trHeight w:val="172"/>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Gain (Loss) on Marketable Equity Securities, Net</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78,648</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(165,540)</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96,670</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(118,628)</w:t>
            </w:r>
          </w:p>
        </w:tc>
        <w:tc>
          <w:tcPr>
            <w:tcW w:w="0" w:type="dxa"/>
            <w:vAlign w:val="bottom"/>
          </w:tcPr>
          <w:p>
            <w:pPr>
              <w:spacing w:after="0"/>
              <w:rPr>
                <w:sz w:val="1"/>
                <w:szCs w:val="1"/>
                <w:color w:val="auto"/>
              </w:rPr>
            </w:pPr>
          </w:p>
        </w:tc>
      </w:tr>
      <w:tr>
        <w:trPr>
          <w:trHeight w:val="185"/>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Other Income, Net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15,794</w:t>
            </w: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1,176</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18,877</w:t>
            </w: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4,052</w:t>
            </w:r>
          </w:p>
        </w:tc>
        <w:tc>
          <w:tcPr>
            <w:tcW w:w="0" w:type="dxa"/>
            <w:vAlign w:val="bottom"/>
          </w:tcPr>
          <w:p>
            <w:pPr>
              <w:spacing w:after="0"/>
              <w:rPr>
                <w:sz w:val="1"/>
                <w:szCs w:val="1"/>
                <w:color w:val="auto"/>
              </w:rPr>
            </w:pPr>
          </w:p>
        </w:tc>
      </w:tr>
      <w:tr>
        <w:trPr>
          <w:trHeight w:val="165"/>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Income (Loss) Before Income Taxes</w:t>
            </w: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165,971</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(88,015)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238,148</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44,151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26"/>
        </w:trPr>
        <w:tc>
          <w:tcPr>
            <w:tcW w:w="6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tcPr>
          <w:p>
            <w:pPr>
              <w:jc w:val="right"/>
              <w:ind w:right="221"/>
              <w:spacing w:after="0"/>
              <w:rPr>
                <w:sz w:val="20"/>
                <w:szCs w:val="20"/>
                <w:color w:val="auto"/>
              </w:rPr>
            </w:pPr>
            <w:r>
              <w:rPr>
                <w:rFonts w:ascii="Arial" w:cs="Arial" w:eastAsia="Arial" w:hAnsi="Arial"/>
                <w:sz w:val="11"/>
                <w:szCs w:val="11"/>
                <w:b w:val="1"/>
                <w:bCs w:val="1"/>
                <w:color w:val="auto"/>
              </w:rPr>
              <w:t>Three Months Ended</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1"/>
                <w:szCs w:val="11"/>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1"/>
                <w:szCs w:val="11"/>
                <w:b w:val="1"/>
                <w:bCs w:val="1"/>
                <w:color w:val="auto"/>
              </w:rPr>
              <w:t>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63"/>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Depreciation of Property, Plant and Equipment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60" w:type="dxa"/>
            <w:vAlign w:val="bottom"/>
          </w:tcPr>
          <w:p>
            <w:pPr>
              <w:ind w:left="160"/>
              <w:spacing w:after="0"/>
              <w:rPr>
                <w:sz w:val="20"/>
                <w:szCs w:val="20"/>
                <w:color w:val="auto"/>
              </w:rPr>
            </w:pPr>
            <w:r>
              <w:rPr>
                <w:rFonts w:ascii="Arial" w:cs="Arial" w:eastAsia="Arial" w:hAnsi="Arial"/>
                <w:sz w:val="12"/>
                <w:szCs w:val="12"/>
                <w:color w:val="auto"/>
              </w:rPr>
              <w:t>Education</w:t>
            </w:r>
          </w:p>
        </w:tc>
        <w:tc>
          <w:tcPr>
            <w:tcW w:w="300" w:type="dxa"/>
            <w:vAlign w:val="bottom"/>
          </w:tcPr>
          <w:p>
            <w:pPr>
              <w:jc w:val="right"/>
              <w:ind w:right="159"/>
              <w:spacing w:after="0"/>
              <w:rPr>
                <w:sz w:val="20"/>
                <w:szCs w:val="20"/>
                <w:color w:val="auto"/>
              </w:rPr>
            </w:pPr>
            <w:r>
              <w:rPr>
                <w:rFonts w:ascii="Arial" w:cs="Arial" w:eastAsia="Arial" w:hAnsi="Arial"/>
                <w:sz w:val="12"/>
                <w:szCs w:val="12"/>
                <w:b w:val="1"/>
                <w:bCs w:val="1"/>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9,460</w:t>
            </w:r>
          </w:p>
        </w:tc>
        <w:tc>
          <w:tcPr>
            <w:tcW w:w="820" w:type="dxa"/>
            <w:vAlign w:val="bottom"/>
          </w:tcPr>
          <w:p>
            <w:pPr>
              <w:jc w:val="right"/>
              <w:ind w:right="601"/>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8,531</w:t>
            </w:r>
          </w:p>
        </w:tc>
        <w:tc>
          <w:tcPr>
            <w:tcW w:w="36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18,428</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17,036</w:t>
            </w:r>
          </w:p>
        </w:tc>
        <w:tc>
          <w:tcPr>
            <w:tcW w:w="0" w:type="dxa"/>
            <w:vAlign w:val="bottom"/>
          </w:tcPr>
          <w:p>
            <w:pPr>
              <w:spacing w:after="0"/>
              <w:rPr>
                <w:sz w:val="1"/>
                <w:szCs w:val="1"/>
                <w:color w:val="auto"/>
              </w:rPr>
            </w:pPr>
          </w:p>
        </w:tc>
      </w:tr>
      <w:tr>
        <w:trPr>
          <w:trHeight w:val="182"/>
        </w:trPr>
        <w:tc>
          <w:tcPr>
            <w:tcW w:w="6160" w:type="dxa"/>
            <w:vAlign w:val="bottom"/>
          </w:tcPr>
          <w:p>
            <w:pPr>
              <w:ind w:left="160"/>
              <w:spacing w:after="0"/>
              <w:rPr>
                <w:sz w:val="20"/>
                <w:szCs w:val="20"/>
                <w:color w:val="auto"/>
              </w:rPr>
            </w:pPr>
            <w:r>
              <w:rPr>
                <w:rFonts w:ascii="Arial" w:cs="Arial" w:eastAsia="Arial" w:hAnsi="Arial"/>
                <w:sz w:val="12"/>
                <w:szCs w:val="12"/>
                <w:color w:val="auto"/>
              </w:rPr>
              <w:t>Television broadcasting</w:t>
            </w:r>
          </w:p>
        </w:tc>
        <w:tc>
          <w:tcPr>
            <w:tcW w:w="300" w:type="dxa"/>
            <w:vAlign w:val="bottom"/>
          </w:tcPr>
          <w:p>
            <w:pPr>
              <w:spacing w:after="0"/>
              <w:rPr>
                <w:sz w:val="15"/>
                <w:szCs w:val="15"/>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3,087</w:t>
            </w:r>
          </w:p>
        </w:tc>
        <w:tc>
          <w:tcPr>
            <w:tcW w:w="820" w:type="dxa"/>
            <w:vAlign w:val="bottom"/>
          </w:tcPr>
          <w:p>
            <w:pPr>
              <w:spacing w:after="0"/>
              <w:rPr>
                <w:sz w:val="15"/>
                <w:szCs w:val="15"/>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3,085</w:t>
            </w:r>
          </w:p>
        </w:tc>
        <w:tc>
          <w:tcPr>
            <w:tcW w:w="360" w:type="dxa"/>
            <w:vAlign w:val="bottom"/>
          </w:tcPr>
          <w:p>
            <w:pPr>
              <w:spacing w:after="0"/>
              <w:rPr>
                <w:sz w:val="15"/>
                <w:szCs w:val="15"/>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6,123</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6,374</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Manufacturing</w:t>
            </w:r>
          </w:p>
        </w:tc>
        <w:tc>
          <w:tcPr>
            <w:tcW w:w="3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2,287</w:t>
            </w:r>
          </w:p>
        </w:tc>
        <w:tc>
          <w:tcPr>
            <w:tcW w:w="8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2,323</w:t>
            </w:r>
          </w:p>
        </w:tc>
        <w:tc>
          <w:tcPr>
            <w:tcW w:w="36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4,569</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4,751</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Healthcare</w:t>
            </w:r>
          </w:p>
        </w:tc>
        <w:tc>
          <w:tcPr>
            <w:tcW w:w="3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1,287</w:t>
            </w:r>
          </w:p>
        </w:tc>
        <w:tc>
          <w:tcPr>
            <w:tcW w:w="8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455</w:t>
            </w:r>
          </w:p>
        </w:tc>
        <w:tc>
          <w:tcPr>
            <w:tcW w:w="36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2,391</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865</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Automotive</w:t>
            </w:r>
          </w:p>
        </w:tc>
        <w:tc>
          <w:tcPr>
            <w:tcW w:w="3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1,148</w:t>
            </w:r>
          </w:p>
        </w:tc>
        <w:tc>
          <w:tcPr>
            <w:tcW w:w="8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752</w:t>
            </w:r>
          </w:p>
        </w:tc>
        <w:tc>
          <w:tcPr>
            <w:tcW w:w="36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2,261</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1,529</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Other businesses</w:t>
            </w:r>
          </w:p>
        </w:tc>
        <w:tc>
          <w:tcPr>
            <w:tcW w:w="3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3,681</w:t>
            </w:r>
          </w:p>
        </w:tc>
        <w:tc>
          <w:tcPr>
            <w:tcW w:w="8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4,114</w:t>
            </w:r>
          </w:p>
        </w:tc>
        <w:tc>
          <w:tcPr>
            <w:tcW w:w="36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7,050</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8,029</w:t>
            </w:r>
          </w:p>
        </w:tc>
        <w:tc>
          <w:tcPr>
            <w:tcW w:w="0" w:type="dxa"/>
            <w:vAlign w:val="bottom"/>
          </w:tcPr>
          <w:p>
            <w:pPr>
              <w:spacing w:after="0"/>
              <w:rPr>
                <w:sz w:val="1"/>
                <w:szCs w:val="1"/>
                <w:color w:val="auto"/>
              </w:rPr>
            </w:pPr>
          </w:p>
        </w:tc>
      </w:tr>
      <w:tr>
        <w:trPr>
          <w:trHeight w:val="181"/>
        </w:trPr>
        <w:tc>
          <w:tcPr>
            <w:tcW w:w="6160" w:type="dxa"/>
            <w:vAlign w:val="bottom"/>
          </w:tcPr>
          <w:p>
            <w:pPr>
              <w:ind w:left="160"/>
              <w:spacing w:after="0"/>
              <w:rPr>
                <w:sz w:val="20"/>
                <w:szCs w:val="20"/>
                <w:color w:val="auto"/>
              </w:rPr>
            </w:pPr>
            <w:r>
              <w:rPr>
                <w:rFonts w:ascii="Arial" w:cs="Arial" w:eastAsia="Arial" w:hAnsi="Arial"/>
                <w:sz w:val="12"/>
                <w:szCs w:val="12"/>
                <w:color w:val="auto"/>
              </w:rPr>
              <w:t>Corporate office</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153</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153</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306</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w:t>
            </w: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21,103</w:t>
            </w:r>
          </w:p>
        </w:tc>
        <w:tc>
          <w:tcPr>
            <w:tcW w:w="82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19,413</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41,128</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38,888</w:t>
            </w:r>
          </w:p>
        </w:tc>
        <w:tc>
          <w:tcPr>
            <w:tcW w:w="0" w:type="dxa"/>
            <w:vAlign w:val="bottom"/>
          </w:tcPr>
          <w:p>
            <w:pPr>
              <w:spacing w:after="0"/>
              <w:rPr>
                <w:sz w:val="1"/>
                <w:szCs w:val="1"/>
                <w:color w:val="auto"/>
              </w:rPr>
            </w:pPr>
          </w:p>
        </w:tc>
      </w:tr>
      <w:tr>
        <w:trPr>
          <w:trHeight w:val="159"/>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Pension Service Cost</w:t>
            </w:r>
          </w:p>
        </w:tc>
        <w:tc>
          <w:tcPr>
            <w:tcW w:w="30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w w:val="89"/>
              </w:rPr>
              <w:t>$</w:t>
            </w:r>
          </w:p>
        </w:tc>
        <w:tc>
          <w:tcPr>
            <w:tcW w:w="94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2,256</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4,454</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Education</w:t>
            </w: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jc w:val="right"/>
              <w:ind w:right="601"/>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1,931</w:t>
            </w: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4,467</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Television broadcasting</w:t>
            </w:r>
          </w:p>
        </w:tc>
        <w:tc>
          <w:tcPr>
            <w:tcW w:w="3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805</w:t>
            </w:r>
          </w:p>
        </w:tc>
        <w:tc>
          <w:tcPr>
            <w:tcW w:w="8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856</w:t>
            </w:r>
          </w:p>
        </w:tc>
        <w:tc>
          <w:tcPr>
            <w:tcW w:w="36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1,665</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1,782</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Manufacturing</w:t>
            </w:r>
          </w:p>
        </w:tc>
        <w:tc>
          <w:tcPr>
            <w:tcW w:w="3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281</w:t>
            </w:r>
          </w:p>
        </w:tc>
        <w:tc>
          <w:tcPr>
            <w:tcW w:w="8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224</w:t>
            </w:r>
          </w:p>
        </w:tc>
        <w:tc>
          <w:tcPr>
            <w:tcW w:w="36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556</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182"/>
        </w:trPr>
        <w:tc>
          <w:tcPr>
            <w:tcW w:w="6160" w:type="dxa"/>
            <w:vAlign w:val="bottom"/>
          </w:tcPr>
          <w:p>
            <w:pPr>
              <w:ind w:left="160"/>
              <w:spacing w:after="0"/>
              <w:rPr>
                <w:sz w:val="20"/>
                <w:szCs w:val="20"/>
                <w:color w:val="auto"/>
              </w:rPr>
            </w:pPr>
            <w:r>
              <w:rPr>
                <w:rFonts w:ascii="Arial" w:cs="Arial" w:eastAsia="Arial" w:hAnsi="Arial"/>
                <w:sz w:val="12"/>
                <w:szCs w:val="12"/>
                <w:color w:val="auto"/>
              </w:rPr>
              <w:t>Healthcare</w:t>
            </w:r>
          </w:p>
        </w:tc>
        <w:tc>
          <w:tcPr>
            <w:tcW w:w="300" w:type="dxa"/>
            <w:vAlign w:val="bottom"/>
          </w:tcPr>
          <w:p>
            <w:pPr>
              <w:spacing w:after="0"/>
              <w:rPr>
                <w:sz w:val="15"/>
                <w:szCs w:val="15"/>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2,685</w:t>
            </w:r>
          </w:p>
        </w:tc>
        <w:tc>
          <w:tcPr>
            <w:tcW w:w="820" w:type="dxa"/>
            <w:vAlign w:val="bottom"/>
          </w:tcPr>
          <w:p>
            <w:pPr>
              <w:spacing w:after="0"/>
              <w:rPr>
                <w:sz w:val="15"/>
                <w:szCs w:val="15"/>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93</w:t>
            </w:r>
          </w:p>
        </w:tc>
        <w:tc>
          <w:tcPr>
            <w:tcW w:w="360" w:type="dxa"/>
            <w:vAlign w:val="bottom"/>
          </w:tcPr>
          <w:p>
            <w:pPr>
              <w:spacing w:after="0"/>
              <w:rPr>
                <w:sz w:val="15"/>
                <w:szCs w:val="15"/>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7,042</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279</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Automotive</w:t>
            </w:r>
          </w:p>
        </w:tc>
        <w:tc>
          <w:tcPr>
            <w:tcW w:w="3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5</w:t>
            </w:r>
          </w:p>
        </w:tc>
        <w:tc>
          <w:tcPr>
            <w:tcW w:w="8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5</w:t>
            </w:r>
          </w:p>
        </w:tc>
        <w:tc>
          <w:tcPr>
            <w:tcW w:w="36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Other businesses</w:t>
            </w:r>
          </w:p>
        </w:tc>
        <w:tc>
          <w:tcPr>
            <w:tcW w:w="3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613</w:t>
            </w:r>
          </w:p>
        </w:tc>
        <w:tc>
          <w:tcPr>
            <w:tcW w:w="82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2"/>
                <w:szCs w:val="12"/>
                <w:color w:val="auto"/>
              </w:rPr>
              <w:t>477</w:t>
            </w:r>
          </w:p>
        </w:tc>
        <w:tc>
          <w:tcPr>
            <w:tcW w:w="36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1,185</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997</w:t>
            </w:r>
          </w:p>
        </w:tc>
        <w:tc>
          <w:tcPr>
            <w:tcW w:w="0" w:type="dxa"/>
            <w:vAlign w:val="bottom"/>
          </w:tcPr>
          <w:p>
            <w:pPr>
              <w:spacing w:after="0"/>
              <w:rPr>
                <w:sz w:val="1"/>
                <w:szCs w:val="1"/>
                <w:color w:val="auto"/>
              </w:rPr>
            </w:pPr>
          </w:p>
        </w:tc>
      </w:tr>
      <w:tr>
        <w:trPr>
          <w:trHeight w:val="176"/>
        </w:trPr>
        <w:tc>
          <w:tcPr>
            <w:tcW w:w="6160" w:type="dxa"/>
            <w:vAlign w:val="bottom"/>
          </w:tcPr>
          <w:p>
            <w:pPr>
              <w:ind w:left="160"/>
              <w:spacing w:after="0"/>
              <w:rPr>
                <w:sz w:val="20"/>
                <w:szCs w:val="20"/>
                <w:color w:val="auto"/>
              </w:rPr>
            </w:pPr>
            <w:r>
              <w:rPr>
                <w:rFonts w:ascii="Arial" w:cs="Arial" w:eastAsia="Arial" w:hAnsi="Arial"/>
                <w:sz w:val="12"/>
                <w:szCs w:val="12"/>
                <w:color w:val="auto"/>
              </w:rPr>
              <w:t>Corporate office</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928</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1,407</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1,904</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2,936</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3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7,573</w:t>
            </w:r>
          </w:p>
        </w:tc>
        <w:tc>
          <w:tcPr>
            <w:tcW w:w="82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4,993</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16,816</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11,024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Asset information for the Company’s business segments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As of</w:t>
            </w:r>
          </w:p>
        </w:tc>
        <w:tc>
          <w:tcPr>
            <w:tcW w:w="1140" w:type="dxa"/>
            <w:vAlign w:val="bottom"/>
            <w:tcBorders>
              <w:bottom w:val="single" w:sz="8" w:color="auto"/>
            </w:tcBorders>
          </w:tcPr>
          <w:p>
            <w:pPr>
              <w:spacing w:after="0"/>
              <w:rPr>
                <w:sz w:val="13"/>
                <w:szCs w:val="13"/>
                <w:color w:val="auto"/>
              </w:rPr>
            </w:pPr>
          </w:p>
        </w:tc>
      </w:tr>
      <w:tr>
        <w:trPr>
          <w:trHeight w:val="147"/>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0"/>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color w:val="auto"/>
                <w:w w:val="99"/>
              </w:rPr>
              <w:t>December 31, 2022</w:t>
            </w:r>
          </w:p>
        </w:tc>
      </w:tr>
      <w:tr>
        <w:trPr>
          <w:trHeight w:val="158"/>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Identifiable Assets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9"/>
        </w:trPr>
        <w:tc>
          <w:tcPr>
            <w:tcW w:w="8620" w:type="dxa"/>
            <w:vAlign w:val="bottom"/>
          </w:tcPr>
          <w:p>
            <w:pPr>
              <w:ind w:left="160"/>
              <w:spacing w:after="0"/>
              <w:rPr>
                <w:sz w:val="20"/>
                <w:szCs w:val="20"/>
                <w:color w:val="auto"/>
              </w:rPr>
            </w:pPr>
            <w:r>
              <w:rPr>
                <w:rFonts w:ascii="Arial" w:cs="Arial" w:eastAsia="Arial" w:hAnsi="Arial"/>
                <w:sz w:val="12"/>
                <w:szCs w:val="12"/>
                <w:color w:val="auto"/>
              </w:rPr>
              <w:t>Education</w:t>
            </w:r>
          </w:p>
        </w:tc>
        <w:tc>
          <w:tcPr>
            <w:tcW w:w="20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1,925,946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1,987,042</w:t>
            </w:r>
          </w:p>
        </w:tc>
      </w:tr>
      <w:tr>
        <w:trPr>
          <w:trHeight w:val="182"/>
        </w:trPr>
        <w:tc>
          <w:tcPr>
            <w:tcW w:w="8620" w:type="dxa"/>
            <w:vAlign w:val="bottom"/>
          </w:tcPr>
          <w:p>
            <w:pPr>
              <w:ind w:left="160"/>
              <w:spacing w:after="0"/>
              <w:rPr>
                <w:sz w:val="20"/>
                <w:szCs w:val="20"/>
                <w:color w:val="auto"/>
              </w:rPr>
            </w:pPr>
            <w:r>
              <w:rPr>
                <w:rFonts w:ascii="Arial" w:cs="Arial" w:eastAsia="Arial" w:hAnsi="Arial"/>
                <w:sz w:val="12"/>
                <w:szCs w:val="12"/>
                <w:color w:val="auto"/>
              </w:rPr>
              <w:t>Television broadcasting</w:t>
            </w:r>
          </w:p>
        </w:tc>
        <w:tc>
          <w:tcPr>
            <w:tcW w:w="20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420,915</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431,084</w:t>
            </w:r>
          </w:p>
        </w:tc>
      </w:tr>
      <w:tr>
        <w:trPr>
          <w:trHeight w:val="172"/>
        </w:trPr>
        <w:tc>
          <w:tcPr>
            <w:tcW w:w="8620" w:type="dxa"/>
            <w:vAlign w:val="bottom"/>
          </w:tcPr>
          <w:p>
            <w:pPr>
              <w:ind w:left="160"/>
              <w:spacing w:after="0"/>
              <w:rPr>
                <w:sz w:val="20"/>
                <w:szCs w:val="20"/>
                <w:color w:val="auto"/>
              </w:rPr>
            </w:pPr>
            <w:r>
              <w:rPr>
                <w:rFonts w:ascii="Arial" w:cs="Arial" w:eastAsia="Arial" w:hAnsi="Arial"/>
                <w:sz w:val="12"/>
                <w:szCs w:val="12"/>
                <w:color w:val="auto"/>
              </w:rPr>
              <w:t>Manufacturing</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483,495</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486,487</w:t>
            </w:r>
          </w:p>
        </w:tc>
      </w:tr>
      <w:tr>
        <w:trPr>
          <w:trHeight w:val="172"/>
        </w:trPr>
        <w:tc>
          <w:tcPr>
            <w:tcW w:w="8620" w:type="dxa"/>
            <w:vAlign w:val="bottom"/>
          </w:tcPr>
          <w:p>
            <w:pPr>
              <w:ind w:left="160"/>
              <w:spacing w:after="0"/>
              <w:rPr>
                <w:sz w:val="20"/>
                <w:szCs w:val="20"/>
                <w:color w:val="auto"/>
              </w:rPr>
            </w:pPr>
            <w:r>
              <w:rPr>
                <w:rFonts w:ascii="Arial" w:cs="Arial" w:eastAsia="Arial" w:hAnsi="Arial"/>
                <w:sz w:val="12"/>
                <w:szCs w:val="12"/>
                <w:color w:val="auto"/>
              </w:rPr>
              <w:t>Healthcare</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258,435</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249,845</w:t>
            </w:r>
          </w:p>
        </w:tc>
      </w:tr>
      <w:tr>
        <w:trPr>
          <w:trHeight w:val="172"/>
        </w:trPr>
        <w:tc>
          <w:tcPr>
            <w:tcW w:w="8620" w:type="dxa"/>
            <w:vAlign w:val="bottom"/>
          </w:tcPr>
          <w:p>
            <w:pPr>
              <w:ind w:left="160"/>
              <w:spacing w:after="0"/>
              <w:rPr>
                <w:sz w:val="20"/>
                <w:szCs w:val="20"/>
                <w:color w:val="auto"/>
              </w:rPr>
            </w:pPr>
            <w:r>
              <w:rPr>
                <w:rFonts w:ascii="Arial" w:cs="Arial" w:eastAsia="Arial" w:hAnsi="Arial"/>
                <w:sz w:val="12"/>
                <w:szCs w:val="12"/>
                <w:color w:val="auto"/>
              </w:rPr>
              <w:t>Automotive</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461,630</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427,221</w:t>
            </w:r>
          </w:p>
        </w:tc>
      </w:tr>
      <w:tr>
        <w:trPr>
          <w:trHeight w:val="172"/>
        </w:trPr>
        <w:tc>
          <w:tcPr>
            <w:tcW w:w="8620" w:type="dxa"/>
            <w:vAlign w:val="bottom"/>
          </w:tcPr>
          <w:p>
            <w:pPr>
              <w:ind w:left="160"/>
              <w:spacing w:after="0"/>
              <w:rPr>
                <w:sz w:val="20"/>
                <w:szCs w:val="20"/>
                <w:color w:val="auto"/>
              </w:rPr>
            </w:pPr>
            <w:r>
              <w:rPr>
                <w:rFonts w:ascii="Arial" w:cs="Arial" w:eastAsia="Arial" w:hAnsi="Arial"/>
                <w:sz w:val="12"/>
                <w:szCs w:val="12"/>
                <w:color w:val="auto"/>
              </w:rPr>
              <w:t>Other businesses</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424,718</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475,583</w:t>
            </w:r>
          </w:p>
        </w:tc>
      </w:tr>
      <w:tr>
        <w:trPr>
          <w:trHeight w:val="185"/>
        </w:trPr>
        <w:tc>
          <w:tcPr>
            <w:tcW w:w="8620" w:type="dxa"/>
            <w:vAlign w:val="bottom"/>
          </w:tcPr>
          <w:p>
            <w:pPr>
              <w:ind w:left="160"/>
              <w:spacing w:after="0"/>
              <w:rPr>
                <w:sz w:val="20"/>
                <w:szCs w:val="20"/>
                <w:color w:val="auto"/>
              </w:rPr>
            </w:pPr>
            <w:r>
              <w:rPr>
                <w:rFonts w:ascii="Arial" w:cs="Arial" w:eastAsia="Arial" w:hAnsi="Arial"/>
                <w:sz w:val="12"/>
                <w:szCs w:val="12"/>
                <w:color w:val="auto"/>
              </w:rPr>
              <w:t>Corporate office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96,888</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70,567</w:t>
            </w:r>
          </w:p>
        </w:tc>
      </w:tr>
      <w:tr>
        <w:trPr>
          <w:trHeight w:val="161"/>
        </w:trPr>
        <w:tc>
          <w:tcPr>
            <w:tcW w:w="8620" w:type="dxa"/>
            <w:vAlign w:val="bottom"/>
          </w:tcPr>
          <w:p>
            <w:pPr>
              <w:spacing w:after="0"/>
              <w:rPr>
                <w:sz w:val="14"/>
                <w:szCs w:val="14"/>
                <w:color w:val="auto"/>
              </w:rPr>
            </w:pPr>
          </w:p>
        </w:tc>
        <w:tc>
          <w:tcPr>
            <w:tcW w:w="2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4,072,027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4,127,829</w:t>
            </w:r>
          </w:p>
        </w:tc>
      </w:tr>
      <w:tr>
        <w:trPr>
          <w:trHeight w:val="162"/>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Investments in Marketable Equity Securities</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648,756</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609,921</w:t>
            </w:r>
          </w:p>
        </w:tc>
      </w:tr>
      <w:tr>
        <w:trPr>
          <w:trHeight w:val="169"/>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Investments in Affiliates</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198,261</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186,419</w:t>
            </w:r>
          </w:p>
        </w:tc>
      </w:tr>
      <w:tr>
        <w:trPr>
          <w:trHeight w:val="178"/>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Prepaid Pension Cost</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1,684,914</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1,658,046</w:t>
            </w:r>
          </w:p>
        </w:tc>
      </w:tr>
      <w:tr>
        <w:trPr>
          <w:trHeight w:val="170"/>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Total Assets</w:t>
            </w:r>
          </w:p>
        </w:tc>
        <w:tc>
          <w:tcPr>
            <w:tcW w:w="2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6,603,958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6,582,215</w:t>
            </w: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The Company’s education division comprises the following operating segments: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color w:val="auto"/>
                <w:w w:val="97"/>
              </w:rPr>
              <w:t>2022</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58"/>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160" w:type="dxa"/>
            <w:vAlign w:val="bottom"/>
          </w:tcPr>
          <w:p>
            <w:pPr>
              <w:ind w:left="160"/>
              <w:spacing w:after="0"/>
              <w:rPr>
                <w:sz w:val="20"/>
                <w:szCs w:val="20"/>
                <w:color w:val="auto"/>
              </w:rPr>
            </w:pPr>
            <w:r>
              <w:rPr>
                <w:rFonts w:ascii="Arial" w:cs="Arial" w:eastAsia="Arial" w:hAnsi="Arial"/>
                <w:sz w:val="12"/>
                <w:szCs w:val="12"/>
                <w:color w:val="auto"/>
              </w:rPr>
              <w:t>Kaplan international</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237,663</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200,871</w:t>
            </w:r>
          </w:p>
        </w:tc>
        <w:tc>
          <w:tcPr>
            <w:tcW w:w="34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464,739</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405,384</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Higher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90,291</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74,427</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168,632</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151,676</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Supplemental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74,616</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77,546</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148,203</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153,850</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Kaplan corporate and other</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2,887</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2,445</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5,259</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4,798</w:t>
            </w:r>
          </w:p>
        </w:tc>
        <w:tc>
          <w:tcPr>
            <w:tcW w:w="0" w:type="dxa"/>
            <w:vAlign w:val="bottom"/>
          </w:tcPr>
          <w:p>
            <w:pPr>
              <w:spacing w:after="0"/>
              <w:rPr>
                <w:sz w:val="1"/>
                <w:szCs w:val="1"/>
                <w:color w:val="auto"/>
              </w:rPr>
            </w:pPr>
          </w:p>
        </w:tc>
      </w:tr>
      <w:tr>
        <w:trPr>
          <w:trHeight w:val="176"/>
        </w:trPr>
        <w:tc>
          <w:tcPr>
            <w:tcW w:w="6160" w:type="dxa"/>
            <w:vAlign w:val="bottom"/>
          </w:tcPr>
          <w:p>
            <w:pPr>
              <w:ind w:left="160"/>
              <w:spacing w:after="0"/>
              <w:rPr>
                <w:sz w:val="20"/>
                <w:szCs w:val="20"/>
                <w:color w:val="auto"/>
              </w:rPr>
            </w:pPr>
            <w:r>
              <w:rPr>
                <w:rFonts w:ascii="Arial" w:cs="Arial" w:eastAsia="Arial" w:hAnsi="Arial"/>
                <w:sz w:val="12"/>
                <w:szCs w:val="12"/>
                <w:color w:val="auto"/>
              </w:rPr>
              <w:t>Intersegment elimination</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(3,230)</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(2,276)</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(6,565)</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(4,683)</w:t>
            </w:r>
          </w:p>
        </w:tc>
        <w:tc>
          <w:tcPr>
            <w:tcW w:w="0" w:type="dxa"/>
            <w:vAlign w:val="bottom"/>
          </w:tcPr>
          <w:p>
            <w:pPr>
              <w:spacing w:after="0"/>
              <w:rPr>
                <w:sz w:val="1"/>
                <w:szCs w:val="1"/>
                <w:color w:val="auto"/>
              </w:rPr>
            </w:pPr>
          </w:p>
        </w:tc>
      </w:tr>
      <w:tr>
        <w:trPr>
          <w:trHeight w:val="160"/>
        </w:trPr>
        <w:tc>
          <w:tcPr>
            <w:tcW w:w="6160" w:type="dxa"/>
            <w:vAlign w:val="bottom"/>
          </w:tcPr>
          <w:p>
            <w:pPr>
              <w:spacing w:after="0"/>
              <w:rPr>
                <w:sz w:val="13"/>
                <w:szCs w:val="13"/>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402,227</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353,013</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780,268</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711,025</w:t>
            </w:r>
          </w:p>
        </w:tc>
        <w:tc>
          <w:tcPr>
            <w:tcW w:w="0" w:type="dxa"/>
            <w:vAlign w:val="bottom"/>
          </w:tcPr>
          <w:p>
            <w:pPr>
              <w:spacing w:after="0"/>
              <w:rPr>
                <w:sz w:val="1"/>
                <w:szCs w:val="1"/>
                <w:color w:val="auto"/>
              </w:rPr>
            </w:pPr>
          </w:p>
        </w:tc>
      </w:tr>
      <w:tr>
        <w:trPr>
          <w:trHeight w:val="123"/>
        </w:trPr>
        <w:tc>
          <w:tcPr>
            <w:tcW w:w="616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Income (Loss) From Operations before Amortization of Intangible Assets and Impairment of Long-Lived</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Arial" w:cs="Arial" w:eastAsia="Arial" w:hAnsi="Arial"/>
                <w:sz w:val="12"/>
                <w:szCs w:val="12"/>
                <w:b w:val="1"/>
                <w:bCs w:val="1"/>
                <w:color w:val="auto"/>
              </w:rPr>
              <w:t>Assets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Kaplan international</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20,751</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19,063</w:t>
            </w:r>
          </w:p>
        </w:tc>
        <w:tc>
          <w:tcPr>
            <w:tcW w:w="34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42,052</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39,627</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Higher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17,795</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3,012</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24,878</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8,359</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Supplemental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3,512</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4,829</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7,263</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8,200</w:t>
            </w:r>
          </w:p>
        </w:tc>
        <w:tc>
          <w:tcPr>
            <w:tcW w:w="0" w:type="dxa"/>
            <w:vAlign w:val="bottom"/>
          </w:tcPr>
          <w:p>
            <w:pPr>
              <w:spacing w:after="0"/>
              <w:rPr>
                <w:sz w:val="1"/>
                <w:szCs w:val="1"/>
                <w:color w:val="auto"/>
              </w:rPr>
            </w:pPr>
          </w:p>
        </w:tc>
      </w:tr>
      <w:tr>
        <w:trPr>
          <w:trHeight w:val="182"/>
        </w:trPr>
        <w:tc>
          <w:tcPr>
            <w:tcW w:w="6160" w:type="dxa"/>
            <w:vAlign w:val="bottom"/>
          </w:tcPr>
          <w:p>
            <w:pPr>
              <w:ind w:left="160"/>
              <w:spacing w:after="0"/>
              <w:rPr>
                <w:sz w:val="20"/>
                <w:szCs w:val="20"/>
                <w:color w:val="auto"/>
              </w:rPr>
            </w:pPr>
            <w:r>
              <w:rPr>
                <w:rFonts w:ascii="Arial" w:cs="Arial" w:eastAsia="Arial" w:hAnsi="Arial"/>
                <w:sz w:val="12"/>
                <w:szCs w:val="12"/>
                <w:color w:val="auto"/>
              </w:rPr>
              <w:t>Kaplan corporate and other</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(7,824)</w:t>
            </w: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(4,079)</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(12,662)</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(8,822)</w:t>
            </w:r>
          </w:p>
        </w:tc>
        <w:tc>
          <w:tcPr>
            <w:tcW w:w="0" w:type="dxa"/>
            <w:vAlign w:val="bottom"/>
          </w:tcPr>
          <w:p>
            <w:pPr>
              <w:spacing w:after="0"/>
              <w:rPr>
                <w:sz w:val="1"/>
                <w:szCs w:val="1"/>
                <w:color w:val="auto"/>
              </w:rPr>
            </w:pPr>
          </w:p>
        </w:tc>
      </w:tr>
      <w:tr>
        <w:trPr>
          <w:trHeight w:val="175"/>
        </w:trPr>
        <w:tc>
          <w:tcPr>
            <w:tcW w:w="6160" w:type="dxa"/>
            <w:vAlign w:val="bottom"/>
          </w:tcPr>
          <w:p>
            <w:pPr>
              <w:ind w:left="160"/>
              <w:spacing w:after="0"/>
              <w:rPr>
                <w:sz w:val="20"/>
                <w:szCs w:val="20"/>
                <w:color w:val="auto"/>
              </w:rPr>
            </w:pPr>
            <w:r>
              <w:rPr>
                <w:rFonts w:ascii="Arial" w:cs="Arial" w:eastAsia="Arial" w:hAnsi="Arial"/>
                <w:sz w:val="12"/>
                <w:szCs w:val="12"/>
                <w:color w:val="auto"/>
              </w:rPr>
              <w:t>Intersegment elimination</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(134)</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25</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34,100</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22,769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61,556</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47,327</w:t>
            </w:r>
          </w:p>
        </w:tc>
        <w:tc>
          <w:tcPr>
            <w:tcW w:w="0" w:type="dxa"/>
            <w:vAlign w:val="bottom"/>
          </w:tcPr>
          <w:p>
            <w:pPr>
              <w:spacing w:after="0"/>
              <w:rPr>
                <w:sz w:val="1"/>
                <w:szCs w:val="1"/>
                <w:color w:val="auto"/>
              </w:rPr>
            </w:pPr>
          </w:p>
        </w:tc>
      </w:tr>
      <w:tr>
        <w:trPr>
          <w:trHeight w:val="162"/>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Amortization of Intangible Assets</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3,984</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4,064</w:t>
            </w:r>
          </w:p>
        </w:tc>
        <w:tc>
          <w:tcPr>
            <w:tcW w:w="34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7,923</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8,210</w:t>
            </w:r>
          </w:p>
        </w:tc>
        <w:tc>
          <w:tcPr>
            <w:tcW w:w="0" w:type="dxa"/>
            <w:vAlign w:val="bottom"/>
          </w:tcPr>
          <w:p>
            <w:pPr>
              <w:spacing w:after="0"/>
              <w:rPr>
                <w:sz w:val="1"/>
                <w:szCs w:val="1"/>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Impairment of Long-Lived Assets</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477</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2"/>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Income (Loss) from Operations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Kaplan international</w:t>
            </w:r>
          </w:p>
        </w:tc>
        <w:tc>
          <w:tcPr>
            <w:tcW w:w="280" w:type="dxa"/>
            <w:vAlign w:val="bottom"/>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20,751</w:t>
            </w: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19,063</w:t>
            </w:r>
          </w:p>
        </w:tc>
        <w:tc>
          <w:tcPr>
            <w:tcW w:w="340" w:type="dxa"/>
            <w:vAlign w:val="bottom"/>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42,052</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39,627</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Higher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17,795</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3,012</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24,878</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8,359</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Supplemental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3,512</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4,829</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7,263</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8,200</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Kaplan corporate and other</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(11,808)</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(8,143)</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(21,062)</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(17,032)</w:t>
            </w:r>
          </w:p>
        </w:tc>
        <w:tc>
          <w:tcPr>
            <w:tcW w:w="0" w:type="dxa"/>
            <w:vAlign w:val="bottom"/>
          </w:tcPr>
          <w:p>
            <w:pPr>
              <w:spacing w:after="0"/>
              <w:rPr>
                <w:sz w:val="1"/>
                <w:szCs w:val="1"/>
                <w:color w:val="auto"/>
              </w:rPr>
            </w:pPr>
          </w:p>
        </w:tc>
      </w:tr>
      <w:tr>
        <w:trPr>
          <w:trHeight w:val="181"/>
        </w:trPr>
        <w:tc>
          <w:tcPr>
            <w:tcW w:w="6160" w:type="dxa"/>
            <w:vAlign w:val="bottom"/>
          </w:tcPr>
          <w:p>
            <w:pPr>
              <w:ind w:left="160"/>
              <w:spacing w:after="0"/>
              <w:rPr>
                <w:sz w:val="20"/>
                <w:szCs w:val="20"/>
                <w:color w:val="auto"/>
              </w:rPr>
            </w:pPr>
            <w:r>
              <w:rPr>
                <w:rFonts w:ascii="Arial" w:cs="Arial" w:eastAsia="Arial" w:hAnsi="Arial"/>
                <w:sz w:val="12"/>
                <w:szCs w:val="12"/>
                <w:color w:val="auto"/>
              </w:rPr>
              <w:t>Intersegment elimination</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(134)</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25</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30,116</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18,705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53,156</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39,117</w:t>
            </w:r>
          </w:p>
        </w:tc>
        <w:tc>
          <w:tcPr>
            <w:tcW w:w="0" w:type="dxa"/>
            <w:vAlign w:val="bottom"/>
          </w:tcPr>
          <w:p>
            <w:pPr>
              <w:spacing w:after="0"/>
              <w:rPr>
                <w:sz w:val="1"/>
                <w:szCs w:val="1"/>
                <w:color w:val="auto"/>
              </w:rPr>
            </w:pPr>
          </w:p>
        </w:tc>
      </w:tr>
      <w:tr>
        <w:trPr>
          <w:trHeight w:val="159"/>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Depreciation of Property, Plant and Equipment</w:t>
            </w:r>
          </w:p>
        </w:tc>
        <w:tc>
          <w:tcPr>
            <w:tcW w:w="28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6,903</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13,233</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Kaplan international</w:t>
            </w:r>
          </w:p>
        </w:tc>
        <w:tc>
          <w:tcPr>
            <w:tcW w:w="2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5,794</w:t>
            </w:r>
          </w:p>
        </w:tc>
        <w:tc>
          <w:tcPr>
            <w:tcW w:w="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11,549</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Higher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1,071</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1,127</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2,173</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2,206</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Supplemental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1,461</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1,578</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2,970</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3,217</w:t>
            </w:r>
          </w:p>
        </w:tc>
        <w:tc>
          <w:tcPr>
            <w:tcW w:w="0" w:type="dxa"/>
            <w:vAlign w:val="bottom"/>
          </w:tcPr>
          <w:p>
            <w:pPr>
              <w:spacing w:after="0"/>
              <w:rPr>
                <w:sz w:val="1"/>
                <w:szCs w:val="1"/>
                <w:color w:val="auto"/>
              </w:rPr>
            </w:pPr>
          </w:p>
        </w:tc>
      </w:tr>
      <w:tr>
        <w:trPr>
          <w:trHeight w:val="185"/>
        </w:trPr>
        <w:tc>
          <w:tcPr>
            <w:tcW w:w="6160" w:type="dxa"/>
            <w:vAlign w:val="bottom"/>
          </w:tcPr>
          <w:p>
            <w:pPr>
              <w:ind w:left="160"/>
              <w:spacing w:after="0"/>
              <w:rPr>
                <w:sz w:val="20"/>
                <w:szCs w:val="20"/>
                <w:color w:val="auto"/>
              </w:rPr>
            </w:pPr>
            <w:r>
              <w:rPr>
                <w:rFonts w:ascii="Arial" w:cs="Arial" w:eastAsia="Arial" w:hAnsi="Arial"/>
                <w:sz w:val="12"/>
                <w:szCs w:val="12"/>
                <w:color w:val="auto"/>
              </w:rPr>
              <w:t>Kaplan corporate and other</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25</w:t>
            </w: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32</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52</w:t>
            </w: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9,460</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8,531</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18,428</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17,036</w:t>
            </w:r>
          </w:p>
        </w:tc>
        <w:tc>
          <w:tcPr>
            <w:tcW w:w="0" w:type="dxa"/>
            <w:vAlign w:val="bottom"/>
          </w:tcPr>
          <w:p>
            <w:pPr>
              <w:spacing w:after="0"/>
              <w:rPr>
                <w:sz w:val="1"/>
                <w:szCs w:val="1"/>
                <w:color w:val="auto"/>
              </w:rPr>
            </w:pPr>
          </w:p>
        </w:tc>
      </w:tr>
      <w:tr>
        <w:trPr>
          <w:trHeight w:val="155"/>
        </w:trPr>
        <w:tc>
          <w:tcPr>
            <w:tcW w:w="6160" w:type="dxa"/>
            <w:vAlign w:val="bottom"/>
          </w:tcPr>
          <w:p>
            <w:pPr>
              <w:ind w:left="20"/>
              <w:spacing w:after="0"/>
              <w:rPr>
                <w:sz w:val="20"/>
                <w:szCs w:val="20"/>
                <w:color w:val="auto"/>
              </w:rPr>
            </w:pPr>
            <w:r>
              <w:rPr>
                <w:rFonts w:ascii="Arial" w:cs="Arial" w:eastAsia="Arial" w:hAnsi="Arial"/>
                <w:sz w:val="12"/>
                <w:szCs w:val="12"/>
                <w:b w:val="1"/>
                <w:bCs w:val="1"/>
                <w:color w:val="auto"/>
              </w:rPr>
              <w:t>Pension Service Cost</w:t>
            </w:r>
          </w:p>
        </w:tc>
        <w:tc>
          <w:tcPr>
            <w:tcW w:w="28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81</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161</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160" w:type="dxa"/>
            <w:vAlign w:val="bottom"/>
          </w:tcPr>
          <w:p>
            <w:pPr>
              <w:ind w:left="160"/>
              <w:spacing w:after="0"/>
              <w:rPr>
                <w:sz w:val="20"/>
                <w:szCs w:val="20"/>
                <w:color w:val="auto"/>
              </w:rPr>
            </w:pPr>
            <w:r>
              <w:rPr>
                <w:rFonts w:ascii="Arial" w:cs="Arial" w:eastAsia="Arial" w:hAnsi="Arial"/>
                <w:sz w:val="12"/>
                <w:szCs w:val="12"/>
                <w:color w:val="auto"/>
              </w:rPr>
              <w:t>Kaplan international</w:t>
            </w:r>
          </w:p>
        </w:tc>
        <w:tc>
          <w:tcPr>
            <w:tcW w:w="2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63</w:t>
            </w:r>
          </w:p>
        </w:tc>
        <w:tc>
          <w:tcPr>
            <w:tcW w:w="3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Higher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923</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820</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1,845</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1,901</w:t>
            </w:r>
          </w:p>
        </w:tc>
        <w:tc>
          <w:tcPr>
            <w:tcW w:w="0" w:type="dxa"/>
            <w:vAlign w:val="bottom"/>
          </w:tcPr>
          <w:p>
            <w:pPr>
              <w:spacing w:after="0"/>
              <w:rPr>
                <w:sz w:val="1"/>
                <w:szCs w:val="1"/>
                <w:color w:val="auto"/>
              </w:rPr>
            </w:pPr>
          </w:p>
        </w:tc>
      </w:tr>
      <w:tr>
        <w:trPr>
          <w:trHeight w:val="172"/>
        </w:trPr>
        <w:tc>
          <w:tcPr>
            <w:tcW w:w="6160" w:type="dxa"/>
            <w:vAlign w:val="bottom"/>
          </w:tcPr>
          <w:p>
            <w:pPr>
              <w:ind w:left="160"/>
              <w:spacing w:after="0"/>
              <w:rPr>
                <w:sz w:val="20"/>
                <w:szCs w:val="20"/>
                <w:color w:val="auto"/>
              </w:rPr>
            </w:pPr>
            <w:r>
              <w:rPr>
                <w:rFonts w:ascii="Arial" w:cs="Arial" w:eastAsia="Arial" w:hAnsi="Arial"/>
                <w:sz w:val="12"/>
                <w:szCs w:val="12"/>
                <w:color w:val="auto"/>
              </w:rPr>
              <w:t>Supplemental education</w:t>
            </w:r>
          </w:p>
        </w:tc>
        <w:tc>
          <w:tcPr>
            <w:tcW w:w="28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b w:val="1"/>
                <w:bCs w:val="1"/>
                <w:color w:val="auto"/>
              </w:rPr>
              <w:t>1,023</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895</w:t>
            </w:r>
          </w:p>
        </w:tc>
        <w:tc>
          <w:tcPr>
            <w:tcW w:w="34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b w:val="1"/>
                <w:bCs w:val="1"/>
                <w:color w:val="auto"/>
              </w:rPr>
              <w:t>2,047</w:t>
            </w: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2,077</w:t>
            </w:r>
          </w:p>
        </w:tc>
        <w:tc>
          <w:tcPr>
            <w:tcW w:w="0" w:type="dxa"/>
            <w:vAlign w:val="bottom"/>
          </w:tcPr>
          <w:p>
            <w:pPr>
              <w:spacing w:after="0"/>
              <w:rPr>
                <w:sz w:val="1"/>
                <w:szCs w:val="1"/>
                <w:color w:val="auto"/>
              </w:rPr>
            </w:pPr>
          </w:p>
        </w:tc>
      </w:tr>
      <w:tr>
        <w:trPr>
          <w:trHeight w:val="176"/>
        </w:trPr>
        <w:tc>
          <w:tcPr>
            <w:tcW w:w="6160" w:type="dxa"/>
            <w:vAlign w:val="bottom"/>
          </w:tcPr>
          <w:p>
            <w:pPr>
              <w:ind w:left="160"/>
              <w:spacing w:after="0"/>
              <w:rPr>
                <w:sz w:val="20"/>
                <w:szCs w:val="20"/>
                <w:color w:val="auto"/>
              </w:rPr>
            </w:pPr>
            <w:r>
              <w:rPr>
                <w:rFonts w:ascii="Arial" w:cs="Arial" w:eastAsia="Arial" w:hAnsi="Arial"/>
                <w:sz w:val="12"/>
                <w:szCs w:val="12"/>
                <w:color w:val="auto"/>
              </w:rPr>
              <w:t>Kaplan corporate and other</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229</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153</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401</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w:t>
            </w:r>
          </w:p>
        </w:tc>
        <w:tc>
          <w:tcPr>
            <w:tcW w:w="0" w:type="dxa"/>
            <w:vAlign w:val="bottom"/>
          </w:tcPr>
          <w:p>
            <w:pPr>
              <w:spacing w:after="0"/>
              <w:rPr>
                <w:sz w:val="1"/>
                <w:szCs w:val="1"/>
                <w:color w:val="auto"/>
              </w:rPr>
            </w:pPr>
          </w:p>
        </w:tc>
      </w:tr>
      <w:tr>
        <w:trPr>
          <w:trHeight w:val="167"/>
        </w:trPr>
        <w:tc>
          <w:tcPr>
            <w:tcW w:w="616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2,256</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1,931</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4,454</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4,467</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Asset information for the Company’s education division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As of</w:t>
            </w:r>
          </w:p>
        </w:tc>
        <w:tc>
          <w:tcPr>
            <w:tcW w:w="1140" w:type="dxa"/>
            <w:vAlign w:val="bottom"/>
            <w:tcBorders>
              <w:bottom w:val="single" w:sz="8" w:color="auto"/>
            </w:tcBorders>
          </w:tcPr>
          <w:p>
            <w:pPr>
              <w:spacing w:after="0"/>
              <w:rPr>
                <w:sz w:val="13"/>
                <w:szCs w:val="13"/>
                <w:color w:val="auto"/>
              </w:rPr>
            </w:pPr>
          </w:p>
        </w:tc>
      </w:tr>
      <w:tr>
        <w:trPr>
          <w:trHeight w:val="147"/>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color w:val="auto"/>
                <w:w w:val="99"/>
              </w:rPr>
              <w:t>December 31, 2022</w:t>
            </w:r>
          </w:p>
        </w:tc>
      </w:tr>
      <w:tr>
        <w:trPr>
          <w:trHeight w:val="163"/>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Identifiable Assets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8620" w:type="dxa"/>
            <w:vAlign w:val="bottom"/>
          </w:tcPr>
          <w:p>
            <w:pPr>
              <w:ind w:left="160"/>
              <w:spacing w:after="0"/>
              <w:rPr>
                <w:sz w:val="20"/>
                <w:szCs w:val="20"/>
                <w:color w:val="auto"/>
              </w:rPr>
            </w:pPr>
            <w:r>
              <w:rPr>
                <w:rFonts w:ascii="Arial" w:cs="Arial" w:eastAsia="Arial" w:hAnsi="Arial"/>
                <w:sz w:val="12"/>
                <w:szCs w:val="12"/>
                <w:color w:val="auto"/>
              </w:rPr>
              <w:t>Kaplan international</w:t>
            </w:r>
          </w:p>
        </w:tc>
        <w:tc>
          <w:tcPr>
            <w:tcW w:w="20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1,416,815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1,479,833</w:t>
            </w:r>
          </w:p>
        </w:tc>
      </w:tr>
      <w:tr>
        <w:trPr>
          <w:trHeight w:val="172"/>
        </w:trPr>
        <w:tc>
          <w:tcPr>
            <w:tcW w:w="8620" w:type="dxa"/>
            <w:vAlign w:val="bottom"/>
          </w:tcPr>
          <w:p>
            <w:pPr>
              <w:ind w:left="160"/>
              <w:spacing w:after="0"/>
              <w:rPr>
                <w:sz w:val="20"/>
                <w:szCs w:val="20"/>
                <w:color w:val="auto"/>
              </w:rPr>
            </w:pPr>
            <w:r>
              <w:rPr>
                <w:rFonts w:ascii="Arial" w:cs="Arial" w:eastAsia="Arial" w:hAnsi="Arial"/>
                <w:sz w:val="12"/>
                <w:szCs w:val="12"/>
                <w:color w:val="auto"/>
              </w:rPr>
              <w:t>Higher education</w:t>
            </w:r>
          </w:p>
        </w:tc>
        <w:tc>
          <w:tcPr>
            <w:tcW w:w="200" w:type="dxa"/>
            <w:vAlign w:val="bottom"/>
          </w:tcPr>
          <w:p>
            <w:pPr>
              <w:spacing w:after="0"/>
              <w:rPr>
                <w:sz w:val="14"/>
                <w:szCs w:val="14"/>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207,928</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187,034</w:t>
            </w:r>
          </w:p>
        </w:tc>
      </w:tr>
      <w:tr>
        <w:trPr>
          <w:trHeight w:val="172"/>
        </w:trPr>
        <w:tc>
          <w:tcPr>
            <w:tcW w:w="8620" w:type="dxa"/>
            <w:vAlign w:val="bottom"/>
          </w:tcPr>
          <w:p>
            <w:pPr>
              <w:ind w:left="160"/>
              <w:spacing w:after="0"/>
              <w:rPr>
                <w:sz w:val="20"/>
                <w:szCs w:val="20"/>
                <w:color w:val="auto"/>
              </w:rPr>
            </w:pPr>
            <w:r>
              <w:rPr>
                <w:rFonts w:ascii="Arial" w:cs="Arial" w:eastAsia="Arial" w:hAnsi="Arial"/>
                <w:sz w:val="12"/>
                <w:szCs w:val="12"/>
                <w:color w:val="auto"/>
              </w:rPr>
              <w:t>Supplemental education</w:t>
            </w:r>
          </w:p>
        </w:tc>
        <w:tc>
          <w:tcPr>
            <w:tcW w:w="200" w:type="dxa"/>
            <w:vAlign w:val="bottom"/>
          </w:tcPr>
          <w:p>
            <w:pPr>
              <w:spacing w:after="0"/>
              <w:rPr>
                <w:sz w:val="14"/>
                <w:szCs w:val="14"/>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b w:val="1"/>
                <w:bCs w:val="1"/>
                <w:color w:val="auto"/>
              </w:rPr>
              <w:t>249,206</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268,499</w:t>
            </w:r>
          </w:p>
        </w:tc>
      </w:tr>
      <w:tr>
        <w:trPr>
          <w:trHeight w:val="185"/>
        </w:trPr>
        <w:tc>
          <w:tcPr>
            <w:tcW w:w="8620" w:type="dxa"/>
            <w:vAlign w:val="bottom"/>
          </w:tcPr>
          <w:p>
            <w:pPr>
              <w:ind w:left="160"/>
              <w:spacing w:after="0"/>
              <w:rPr>
                <w:sz w:val="20"/>
                <w:szCs w:val="20"/>
                <w:color w:val="auto"/>
              </w:rPr>
            </w:pPr>
            <w:r>
              <w:rPr>
                <w:rFonts w:ascii="Arial" w:cs="Arial" w:eastAsia="Arial" w:hAnsi="Arial"/>
                <w:sz w:val="12"/>
                <w:szCs w:val="12"/>
                <w:color w:val="auto"/>
              </w:rPr>
              <w:t>Kaplan corporate and other</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51,997</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51,676</w:t>
            </w:r>
          </w:p>
        </w:tc>
      </w:tr>
      <w:tr>
        <w:trPr>
          <w:trHeight w:val="163"/>
        </w:trPr>
        <w:tc>
          <w:tcPr>
            <w:tcW w:w="8620" w:type="dxa"/>
            <w:vAlign w:val="bottom"/>
          </w:tcPr>
          <w:p>
            <w:pPr>
              <w:spacing w:after="0"/>
              <w:rPr>
                <w:sz w:val="14"/>
                <w:szCs w:val="14"/>
                <w:color w:val="auto"/>
              </w:rPr>
            </w:pPr>
          </w:p>
        </w:tc>
        <w:tc>
          <w:tcPr>
            <w:tcW w:w="2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1,925,946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1,987,042</w:t>
            </w: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Item 2. Management’s Discussion and Analysis of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This analysis should be read in conjunction with the condensed consolidated financial statements and the notes thereto.</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Results of Operations</w:t>
      </w:r>
    </w:p>
    <w:p>
      <w:pPr>
        <w:spacing w:after="0" w:line="129" w:lineRule="exact"/>
        <w:rPr>
          <w:sz w:val="20"/>
          <w:szCs w:val="20"/>
          <w:color w:val="auto"/>
        </w:rPr>
      </w:pPr>
    </w:p>
    <w:p>
      <w:pPr>
        <w:ind w:right="180"/>
        <w:spacing w:after="0" w:line="279" w:lineRule="auto"/>
        <w:rPr>
          <w:sz w:val="20"/>
          <w:szCs w:val="20"/>
          <w:color w:val="auto"/>
        </w:rPr>
      </w:pPr>
      <w:r>
        <w:rPr>
          <w:rFonts w:ascii="Arial" w:cs="Arial" w:eastAsia="Arial" w:hAnsi="Arial"/>
          <w:sz w:val="13"/>
          <w:szCs w:val="13"/>
          <w:color w:val="auto"/>
        </w:rPr>
        <w:t>The Company reported net income attributable to common shares of $122.8 million ($25.89 per share) for the second quarter of 2023, compared to a net loss of $67.5 million ($13.95 per share) for the second quarter of 2022.</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Items included in the Company’s net income for the second quarter of 2023:</w:t>
      </w:r>
    </w:p>
    <w:p>
      <w:pPr>
        <w:spacing w:after="0" w:line="123" w:lineRule="exact"/>
        <w:rPr>
          <w:sz w:val="20"/>
          <w:szCs w:val="20"/>
          <w:color w:val="auto"/>
        </w:rPr>
      </w:pPr>
    </w:p>
    <w:p>
      <w:pPr>
        <w:ind w:left="120" w:hanging="119"/>
        <w:spacing w:after="0"/>
        <w:tabs>
          <w:tab w:leader="none" w:pos="1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$4.3 million net credit related to a fair value change in contingent consideration from a prior acquisition at Corporate (after-tax impact of $4.2 million, or $0.89 per share);</w:t>
      </w:r>
    </w:p>
    <w:p>
      <w:pPr>
        <w:spacing w:after="0" w:line="123" w:lineRule="exact"/>
        <w:rPr>
          <w:rFonts w:ascii="Arial" w:cs="Arial" w:eastAsia="Arial" w:hAnsi="Arial"/>
          <w:sz w:val="13"/>
          <w:szCs w:val="13"/>
          <w:color w:val="auto"/>
        </w:rPr>
      </w:pPr>
    </w:p>
    <w:p>
      <w:pPr>
        <w:ind w:left="120" w:right="200" w:hanging="119"/>
        <w:spacing w:after="0" w:line="263" w:lineRule="auto"/>
        <w:tabs>
          <w:tab w:leader="none" w:pos="120" w:val="left"/>
        </w:tabs>
        <w:numPr>
          <w:ilvl w:val="0"/>
          <w:numId w:val="8"/>
        </w:numPr>
        <w:rPr>
          <w:rFonts w:ascii="Arial" w:cs="Arial" w:eastAsia="Arial" w:hAnsi="Arial"/>
          <w:sz w:val="13"/>
          <w:szCs w:val="13"/>
          <w:color w:val="auto"/>
        </w:rPr>
      </w:pPr>
      <w:r>
        <w:rPr>
          <w:rFonts w:ascii="Arial" w:cs="Arial" w:eastAsia="Arial" w:hAnsi="Arial"/>
          <w:sz w:val="13"/>
          <w:szCs w:val="13"/>
          <w:color w:val="auto"/>
        </w:rPr>
        <w:t>$5.5 million in expenses related to non-operating Separation Incentive Programs (SIPs) at other businesses and the education and television broadcasting divisions (after-tax impact of $4.1 million, or $0.86 per share);</w:t>
      </w:r>
    </w:p>
    <w:p>
      <w:pPr>
        <w:spacing w:after="0" w:line="86" w:lineRule="exact"/>
        <w:rPr>
          <w:rFonts w:ascii="Arial" w:cs="Arial" w:eastAsia="Arial" w:hAnsi="Arial"/>
          <w:sz w:val="13"/>
          <w:szCs w:val="13"/>
          <w:color w:val="auto"/>
        </w:rPr>
      </w:pPr>
    </w:p>
    <w:p>
      <w:pPr>
        <w:ind w:left="120" w:hanging="119"/>
        <w:spacing w:after="0"/>
        <w:tabs>
          <w:tab w:leader="none" w:pos="120" w:val="left"/>
        </w:tabs>
        <w:numPr>
          <w:ilvl w:val="0"/>
          <w:numId w:val="8"/>
        </w:numPr>
        <w:rPr>
          <w:rFonts w:ascii="Arial" w:cs="Arial" w:eastAsia="Arial" w:hAnsi="Arial"/>
          <w:sz w:val="13"/>
          <w:szCs w:val="13"/>
          <w:color w:val="auto"/>
        </w:rPr>
      </w:pPr>
      <w:r>
        <w:rPr>
          <w:rFonts w:ascii="Arial" w:cs="Arial" w:eastAsia="Arial" w:hAnsi="Arial"/>
          <w:sz w:val="13"/>
          <w:szCs w:val="13"/>
          <w:color w:val="auto"/>
        </w:rPr>
        <w:t>$78.6 million in net gains on marketable equity securities (after-tax impact of $57.9 million, or $12.22 per share);</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8"/>
        </w:numPr>
        <w:rPr>
          <w:rFonts w:ascii="Arial" w:cs="Arial" w:eastAsia="Arial" w:hAnsi="Arial"/>
          <w:sz w:val="13"/>
          <w:szCs w:val="13"/>
          <w:color w:val="auto"/>
        </w:rPr>
      </w:pPr>
      <w:r>
        <w:rPr>
          <w:rFonts w:ascii="Arial" w:cs="Arial" w:eastAsia="Arial" w:hAnsi="Arial"/>
          <w:sz w:val="13"/>
          <w:szCs w:val="13"/>
          <w:color w:val="auto"/>
        </w:rPr>
        <w:t>$8.6 million in net losses of affiliates whose operations are not managed by the Company (after-tax impact of $6.4 million, or $1.34 per share);</w:t>
      </w:r>
    </w:p>
    <w:p>
      <w:pPr>
        <w:spacing w:after="0" w:line="113" w:lineRule="exact"/>
        <w:rPr>
          <w:rFonts w:ascii="Arial" w:cs="Arial" w:eastAsia="Arial" w:hAnsi="Arial"/>
          <w:sz w:val="13"/>
          <w:szCs w:val="13"/>
          <w:color w:val="auto"/>
        </w:rPr>
      </w:pPr>
    </w:p>
    <w:p>
      <w:pPr>
        <w:ind w:left="120" w:hanging="119"/>
        <w:spacing w:after="0"/>
        <w:tabs>
          <w:tab w:leader="none" w:pos="1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non-operating gain of $10.0 million on the sale of Pinna (after-tax-impact of $7.4 million, or $1.56 per share);</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non-operating gain of $1.3 million from the write-up and sale of cost method investments (after-tax impact of $1.0 million, or $0.21 per share); and</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$1.2 million credit to interest expense to adjust the fair value of the mandatorily redeemable noncontrolling interest (after-tax impact of $1.2 million, or $0.24 per share).</w:t>
      </w:r>
    </w:p>
    <w:p>
      <w:pPr>
        <w:spacing w:after="0" w:line="386" w:lineRule="exact"/>
        <w:rPr>
          <w:sz w:val="20"/>
          <w:szCs w:val="20"/>
          <w:color w:val="auto"/>
        </w:rPr>
      </w:pPr>
    </w:p>
    <w:p>
      <w:pPr>
        <w:ind w:left="120" w:hanging="119"/>
        <w:spacing w:after="0"/>
        <w:tabs>
          <w:tab w:leader="none" w:pos="1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$3.2 million net credit related to a fair value change in contingent consideration from a prior acquisition at Corporate (after-tax impact of $3.2 million, or $0.66 per share);</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9"/>
        </w:numPr>
        <w:rPr>
          <w:rFonts w:ascii="Arial" w:cs="Arial" w:eastAsia="Arial" w:hAnsi="Arial"/>
          <w:sz w:val="13"/>
          <w:szCs w:val="13"/>
          <w:color w:val="auto"/>
        </w:rPr>
      </w:pPr>
      <w:r>
        <w:rPr>
          <w:rFonts w:ascii="Arial" w:cs="Arial" w:eastAsia="Arial" w:hAnsi="Arial"/>
          <w:sz w:val="13"/>
          <w:szCs w:val="13"/>
          <w:color w:val="auto"/>
        </w:rPr>
        <w:t>$165.5 million in net losses on marketable equity securities (after-tax impact of $122.4 million, or $25.05 per share);</w:t>
      </w:r>
    </w:p>
    <w:p>
      <w:pPr>
        <w:spacing w:after="0" w:line="113" w:lineRule="exact"/>
        <w:rPr>
          <w:rFonts w:ascii="Arial" w:cs="Arial" w:eastAsia="Arial" w:hAnsi="Arial"/>
          <w:sz w:val="13"/>
          <w:szCs w:val="13"/>
          <w:color w:val="auto"/>
        </w:rPr>
      </w:pPr>
    </w:p>
    <w:p>
      <w:pPr>
        <w:ind w:left="120" w:hanging="119"/>
        <w:spacing w:after="0"/>
        <w:tabs>
          <w:tab w:leader="none" w:pos="120" w:val="left"/>
        </w:tabs>
        <w:numPr>
          <w:ilvl w:val="0"/>
          <w:numId w:val="9"/>
        </w:numPr>
        <w:rPr>
          <w:rFonts w:ascii="Arial" w:cs="Arial" w:eastAsia="Arial" w:hAnsi="Arial"/>
          <w:sz w:val="13"/>
          <w:szCs w:val="13"/>
          <w:color w:val="auto"/>
        </w:rPr>
      </w:pPr>
      <w:r>
        <w:rPr>
          <w:rFonts w:ascii="Arial" w:cs="Arial" w:eastAsia="Arial" w:hAnsi="Arial"/>
          <w:sz w:val="13"/>
          <w:szCs w:val="13"/>
          <w:color w:val="auto"/>
        </w:rPr>
        <w:t>$0.4 million in net losses of affiliates whose operations are not managed by the Company (after-tax impact of $0.3 million, or $0.07 per share); and</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9"/>
        </w:numPr>
        <w:rPr>
          <w:rFonts w:ascii="Arial" w:cs="Arial" w:eastAsia="Arial" w:hAnsi="Arial"/>
          <w:sz w:val="13"/>
          <w:szCs w:val="13"/>
          <w:color w:val="auto"/>
        </w:rPr>
      </w:pPr>
      <w:r>
        <w:rPr>
          <w:rFonts w:ascii="Arial" w:cs="Arial" w:eastAsia="Arial" w:hAnsi="Arial"/>
          <w:sz w:val="13"/>
          <w:szCs w:val="13"/>
          <w:color w:val="auto"/>
        </w:rPr>
        <w:t>$8.0 million in interest expense to adjust the fair value of the mandatorily redeemable noncontrolling interest (after-tax impact of $7.6 million, or $1.56 per share).</w:t>
      </w:r>
    </w:p>
    <w:p>
      <w:pPr>
        <w:spacing w:after="0" w:line="113" w:lineRule="exact"/>
        <w:rPr>
          <w:sz w:val="20"/>
          <w:szCs w:val="20"/>
          <w:color w:val="auto"/>
        </w:rPr>
      </w:pPr>
    </w:p>
    <w:p>
      <w:pPr>
        <w:ind w:right="320"/>
        <w:spacing w:after="0" w:line="251" w:lineRule="auto"/>
        <w:rPr>
          <w:sz w:val="20"/>
          <w:szCs w:val="20"/>
          <w:color w:val="auto"/>
        </w:rPr>
      </w:pPr>
      <w:r>
        <w:rPr>
          <w:rFonts w:ascii="Arial" w:cs="Arial" w:eastAsia="Arial" w:hAnsi="Arial"/>
          <w:sz w:val="13"/>
          <w:szCs w:val="13"/>
          <w:color w:val="auto"/>
        </w:rPr>
        <w:t>Revenue for the second quarter of 2023 was $1,105.0 million, up 18% from $933.3 million in the second quarter of 2022. Revenues increased at education, healthcare and automotive, partially offset by declines at television broadcasting, manufacturing and other businesses. The Company reported operating income of $58.1 million for the second quarter of 2023,</w:t>
      </w:r>
    </w:p>
    <w:p>
      <w:pPr>
        <w:spacing w:after="0" w:line="247" w:lineRule="auto"/>
        <w:rPr>
          <w:sz w:val="20"/>
          <w:szCs w:val="20"/>
          <w:color w:val="auto"/>
        </w:rPr>
      </w:pPr>
      <w:r>
        <w:rPr>
          <w:rFonts w:ascii="Arial" w:cs="Arial" w:eastAsia="Arial" w:hAnsi="Arial"/>
          <w:sz w:val="13"/>
          <w:szCs w:val="13"/>
          <w:color w:val="auto"/>
        </w:rPr>
        <w:t>compared to $39.3 million for the second quarter of 2022. Operating results increased at education, manufacturing, healthcare, automotive and other businesses, partially offset by a decline at television broadcasting.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00" w:top="689" w:right="379" w:bottom="1440" w:gutter="0" w:footer="0" w:header="0"/>
        </w:sectPr>
      </w:pPr>
    </w:p>
    <w:bookmarkStart w:id="28" w:name="page29"/>
    <w:bookmarkEnd w:id="28"/>
    <w:p>
      <w:pPr>
        <w:ind w:right="160"/>
        <w:spacing w:after="0" w:line="279" w:lineRule="auto"/>
        <w:rPr>
          <w:sz w:val="20"/>
          <w:szCs w:val="20"/>
          <w:color w:val="auto"/>
        </w:rPr>
      </w:pPr>
      <w:r>
        <w:rPr>
          <w:rFonts w:ascii="Arial" w:cs="Arial" w:eastAsia="Arial" w:hAnsi="Arial"/>
          <w:sz w:val="13"/>
          <w:szCs w:val="13"/>
          <w:color w:val="auto"/>
        </w:rPr>
        <w:t>For the first six months of 2023, the Company recorded net income attributable to common shares of $175.1 million ($36.67 per share), compared to $28.1 million ($5.74 per share) for the first six months of 2022.</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Items included in the Company’s net income for the first six months of 2023:</w:t>
      </w:r>
    </w:p>
    <w:p>
      <w:pPr>
        <w:spacing w:after="0" w:line="123" w:lineRule="exact"/>
        <w:rPr>
          <w:sz w:val="20"/>
          <w:szCs w:val="20"/>
          <w:color w:val="auto"/>
        </w:rPr>
      </w:pPr>
    </w:p>
    <w:p>
      <w:pPr>
        <w:ind w:left="120" w:hanging="119"/>
        <w:spacing w:after="0"/>
        <w:tabs>
          <w:tab w:leader="none" w:pos="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$4.2 million net credit related to a fair value change in contingent consideration from a prior acquisition at Corporate (after-tax impact of $4.1 million, or $0.86 per share);</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$9.6 million in expenses related to non-operating SIPs at other businesses and the education and television broadcasting divisions (after-tax impact of $7.2 million, or $1.50 per share);</w:t>
      </w:r>
    </w:p>
    <w:p>
      <w:pPr>
        <w:spacing w:after="0" w:line="113" w:lineRule="exact"/>
        <w:rPr>
          <w:rFonts w:ascii="Arial" w:cs="Arial" w:eastAsia="Arial" w:hAnsi="Arial"/>
          <w:sz w:val="13"/>
          <w:szCs w:val="13"/>
          <w:color w:val="auto"/>
        </w:rPr>
      </w:pPr>
    </w:p>
    <w:p>
      <w:pPr>
        <w:ind w:left="120" w:hanging="119"/>
        <w:spacing w:after="0"/>
        <w:tabs>
          <w:tab w:leader="none" w:pos="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$96.7 million in net gains on marketable equity securities (after-tax impact of $71.2 million, or $14.92 per share);</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$6.8 million in net losses of affiliates whose operations are not managed by the Company (after-tax impact of $5.0 million, or $1.05 per share);</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non-operating gain of $10.0 million on the sale of Pinna (after-tax-impact of $7.4 million, or $1.55 per share);</w:t>
      </w:r>
    </w:p>
    <w:p>
      <w:pPr>
        <w:spacing w:after="0" w:line="113" w:lineRule="exact"/>
        <w:rPr>
          <w:rFonts w:ascii="Arial" w:cs="Arial" w:eastAsia="Arial" w:hAnsi="Arial"/>
          <w:sz w:val="13"/>
          <w:szCs w:val="13"/>
          <w:color w:val="auto"/>
        </w:rPr>
      </w:pPr>
    </w:p>
    <w:p>
      <w:pPr>
        <w:ind w:left="120" w:hanging="119"/>
        <w:spacing w:after="0"/>
        <w:tabs>
          <w:tab w:leader="none" w:pos="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non-operating gain of $3.9 million from the write-up and sales of cost method investments (after-tax impact of $2.9 million, or $0.61 per share); and</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$0.3 million in interest expense to adjust the fair value of the mandatorily redeemable noncontrolling interest (after-tax impact of $0.2 million, or $0.05 per share).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Items included in the Company’s net income for the first six months of 2022:</w:t>
      </w:r>
    </w:p>
    <w:p>
      <w:pPr>
        <w:spacing w:after="0" w:line="113" w:lineRule="exact"/>
        <w:rPr>
          <w:sz w:val="20"/>
          <w:szCs w:val="20"/>
          <w:color w:val="auto"/>
        </w:rPr>
      </w:pPr>
    </w:p>
    <w:p>
      <w:pPr>
        <w:ind w:left="120" w:hanging="119"/>
        <w:spacing w:after="0"/>
        <w:tabs>
          <w:tab w:leader="none" w:pos="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 $3.2 million net credit related to a fair value change in contingent consideration from a prior acquisition at Corporate (after-tax impact of $3.1 million, or $0.64 per share);</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$118.6 million in net losses on marketable equity securities (after-tax impact of $87.7 million, or $17.90 per share);</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$0.1 million in net losses of affiliates whose operations are not managed by the Company (after-tax impact of $0.1 million, or $0.01 per share);</w:t>
      </w:r>
    </w:p>
    <w:p>
      <w:pPr>
        <w:spacing w:after="0" w:line="113" w:lineRule="exact"/>
        <w:rPr>
          <w:rFonts w:ascii="Arial" w:cs="Arial" w:eastAsia="Arial" w:hAnsi="Arial"/>
          <w:sz w:val="13"/>
          <w:szCs w:val="13"/>
          <w:color w:val="auto"/>
        </w:rPr>
      </w:pPr>
    </w:p>
    <w:p>
      <w:pPr>
        <w:ind w:left="120" w:hanging="119"/>
        <w:spacing w:after="0"/>
        <w:tabs>
          <w:tab w:leader="none" w:pos="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Non-operating gain of $1.7 million from sales of an equity method and cost method investment (after-tax impact of $1.3 million, or $0.26 per share); and</w:t>
      </w:r>
    </w:p>
    <w:p>
      <w:pPr>
        <w:spacing w:after="0" w:line="123" w:lineRule="exact"/>
        <w:rPr>
          <w:rFonts w:ascii="Arial" w:cs="Arial" w:eastAsia="Arial" w:hAnsi="Arial"/>
          <w:sz w:val="13"/>
          <w:szCs w:val="13"/>
          <w:color w:val="auto"/>
        </w:rPr>
      </w:pPr>
    </w:p>
    <w:p>
      <w:pPr>
        <w:ind w:left="120" w:hanging="119"/>
        <w:spacing w:after="0"/>
        <w:tabs>
          <w:tab w:leader="none" w:pos="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$11.4 million in interest expense to adjust the fair value of the mandatorily redeemable noncontrolling interest (after-tax impact of $10.9 million, or $2.23 per share).</w:t>
      </w:r>
    </w:p>
    <w:p>
      <w:pPr>
        <w:spacing w:after="0" w:line="123" w:lineRule="exact"/>
        <w:rPr>
          <w:sz w:val="20"/>
          <w:szCs w:val="20"/>
          <w:color w:val="auto"/>
        </w:rPr>
      </w:pPr>
    </w:p>
    <w:p>
      <w:pPr>
        <w:ind w:right="240"/>
        <w:spacing w:after="0" w:line="243" w:lineRule="auto"/>
        <w:rPr>
          <w:sz w:val="20"/>
          <w:szCs w:val="20"/>
          <w:color w:val="auto"/>
        </w:rPr>
      </w:pPr>
      <w:r>
        <w:rPr>
          <w:rFonts w:ascii="Arial" w:cs="Arial" w:eastAsia="Arial" w:hAnsi="Arial"/>
          <w:sz w:val="13"/>
          <w:szCs w:val="13"/>
          <w:color w:val="auto"/>
        </w:rPr>
        <w:t>Revenue for the first six months of 2023 was $2,136.5 million, up 16% from $1,848.0 million in the first six months of 2022. Revenues increased at education, healthcare and automotive, partially offset by declines at television broadcasting, manufacturing and other businesses. The Company reported operating income of $85.7 million for the first six months of 2023,</w:t>
      </w:r>
    </w:p>
    <w:p>
      <w:pPr>
        <w:ind w:right="40"/>
        <w:spacing w:after="0" w:line="247" w:lineRule="auto"/>
        <w:rPr>
          <w:sz w:val="20"/>
          <w:szCs w:val="20"/>
          <w:color w:val="auto"/>
        </w:rPr>
      </w:pPr>
      <w:r>
        <w:rPr>
          <w:rFonts w:ascii="Arial" w:cs="Arial" w:eastAsia="Arial" w:hAnsi="Arial"/>
          <w:sz w:val="13"/>
          <w:szCs w:val="13"/>
          <w:color w:val="auto"/>
        </w:rPr>
        <w:t>compared to $79.3 million for the first six months of 2022. Operating results increased at education, manufacturing, automotive and other businesses, partially offset by declines at television broadcasting and healthcare.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Division Results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Education</w:t>
      </w:r>
    </w:p>
    <w:p>
      <w:pPr>
        <w:spacing w:after="0" w:line="119"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Education division revenue totaled $402.2 million for the second quarter of 2023, up 14% from $353.0 million for the same period of 2022. Kaplan reported operating income of $30.1 million for the second quarter of 2023, compared to $18.7 million for the second quarter of 2022.</w:t>
      </w:r>
    </w:p>
    <w:p>
      <w:pPr>
        <w:spacing w:after="0" w:line="77"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For the first six months of 2023, education division revenue totaled $780.3 million, up 10% from $711.0 million for the same period of 2022. Kaplan reported operating income of $53.2 million for the first six months of 2023, compared to $39.1 million for the first six months of 2022.</w:t>
      </w:r>
    </w:p>
    <w:p>
      <w:pPr>
        <w:spacing w:after="0" w:line="87"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In the second quarter of 2023, Kaplan modified its segment reporting for Kaplan India, a shared services center that supports Higher Education (previously included in Kaplan corporate and other); prior periods have been reclassified to conform with the current presentation.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695"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A summary of Kaplan’s operating results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tcPr>
          <w:p>
            <w:pPr>
              <w:jc w:val="right"/>
              <w:ind w:right="560"/>
              <w:spacing w:after="0"/>
              <w:rPr>
                <w:sz w:val="20"/>
                <w:szCs w:val="20"/>
                <w:color w:val="auto"/>
              </w:rPr>
            </w:pPr>
            <w:r>
              <w:rPr>
                <w:rFonts w:ascii="Arial" w:cs="Arial" w:eastAsia="Arial" w:hAnsi="Arial"/>
                <w:sz w:val="11"/>
                <w:szCs w:val="11"/>
                <w:b w:val="1"/>
                <w:bCs w:val="1"/>
                <w:color w:val="auto"/>
              </w:rPr>
              <w:t>Three Months Ended</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1"/>
                <w:szCs w:val="11"/>
                <w:b w:val="1"/>
                <w:bCs w:val="1"/>
                <w:color w:val="auto"/>
              </w:rPr>
              <w:t>June 30</w:t>
            </w:r>
          </w:p>
        </w:tc>
        <w:tc>
          <w:tcPr>
            <w:tcW w:w="68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color w:val="auto"/>
              </w:rPr>
              <w:t>2022</w:t>
            </w:r>
          </w:p>
        </w:tc>
        <w:tc>
          <w:tcPr>
            <w:tcW w:w="130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color w:val="auto"/>
              </w:rPr>
              <w:t>% Change</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color w:val="auto"/>
                <w:w w:val="97"/>
              </w:rPr>
              <w:t>2022</w:t>
            </w: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163"/>
        </w:trPr>
        <w:tc>
          <w:tcPr>
            <w:tcW w:w="4180" w:type="dxa"/>
            <w:vAlign w:val="bottom"/>
          </w:tcPr>
          <w:p>
            <w:pPr>
              <w:ind w:left="20"/>
              <w:spacing w:after="0"/>
              <w:rPr>
                <w:sz w:val="20"/>
                <w:szCs w:val="20"/>
                <w:color w:val="auto"/>
              </w:rPr>
            </w:pPr>
            <w:r>
              <w:rPr>
                <w:rFonts w:ascii="Arial" w:cs="Arial" w:eastAsia="Arial" w:hAnsi="Arial"/>
                <w:sz w:val="12"/>
                <w:szCs w:val="12"/>
                <w:b w:val="1"/>
                <w:bCs w:val="1"/>
                <w:color w:val="auto"/>
              </w:rPr>
              <w:t>Revenue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tcPr>
          <w:p>
            <w:pPr>
              <w:ind w:left="160"/>
              <w:spacing w:after="0"/>
              <w:rPr>
                <w:sz w:val="20"/>
                <w:szCs w:val="20"/>
                <w:color w:val="auto"/>
              </w:rPr>
            </w:pPr>
            <w:r>
              <w:rPr>
                <w:rFonts w:ascii="Arial" w:cs="Arial" w:eastAsia="Arial" w:hAnsi="Arial"/>
                <w:sz w:val="12"/>
                <w:szCs w:val="12"/>
                <w:color w:val="auto"/>
              </w:rPr>
              <w:t>Kaplan international</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237,663</w:t>
            </w:r>
          </w:p>
        </w:tc>
        <w:tc>
          <w:tcPr>
            <w:tcW w:w="36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200,871</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18</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2"/>
                <w:szCs w:val="12"/>
                <w:b w:val="1"/>
                <w:bCs w:val="1"/>
                <w:color w:val="auto"/>
              </w:rPr>
              <w:t>464,739</w:t>
            </w:r>
          </w:p>
        </w:tc>
        <w:tc>
          <w:tcPr>
            <w:tcW w:w="460" w:type="dxa"/>
            <w:vAlign w:val="bottom"/>
          </w:tcPr>
          <w:p>
            <w:pPr>
              <w:jc w:val="right"/>
              <w:ind w:right="279"/>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405,384</w:t>
            </w:r>
          </w:p>
        </w:tc>
        <w:tc>
          <w:tcPr>
            <w:tcW w:w="120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72"/>
        </w:trPr>
        <w:tc>
          <w:tcPr>
            <w:tcW w:w="4180" w:type="dxa"/>
            <w:vAlign w:val="bottom"/>
          </w:tcPr>
          <w:p>
            <w:pPr>
              <w:ind w:left="160"/>
              <w:spacing w:after="0"/>
              <w:rPr>
                <w:sz w:val="20"/>
                <w:szCs w:val="20"/>
                <w:color w:val="auto"/>
              </w:rPr>
            </w:pPr>
            <w:r>
              <w:rPr>
                <w:rFonts w:ascii="Arial" w:cs="Arial" w:eastAsia="Arial" w:hAnsi="Arial"/>
                <w:sz w:val="12"/>
                <w:szCs w:val="12"/>
                <w:color w:val="auto"/>
              </w:rPr>
              <w:t>Higher education</w:t>
            </w:r>
          </w:p>
        </w:tc>
        <w:tc>
          <w:tcPr>
            <w:tcW w:w="2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90,291</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74,427</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2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b w:val="1"/>
                <w:bCs w:val="1"/>
                <w:color w:val="auto"/>
              </w:rPr>
              <w:t>168,632</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151,676</w:t>
            </w:r>
          </w:p>
        </w:tc>
        <w:tc>
          <w:tcPr>
            <w:tcW w:w="120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72"/>
        </w:trPr>
        <w:tc>
          <w:tcPr>
            <w:tcW w:w="4180" w:type="dxa"/>
            <w:vAlign w:val="bottom"/>
          </w:tcPr>
          <w:p>
            <w:pPr>
              <w:ind w:left="160"/>
              <w:spacing w:after="0"/>
              <w:rPr>
                <w:sz w:val="20"/>
                <w:szCs w:val="20"/>
                <w:color w:val="auto"/>
              </w:rPr>
            </w:pPr>
            <w:r>
              <w:rPr>
                <w:rFonts w:ascii="Arial" w:cs="Arial" w:eastAsia="Arial" w:hAnsi="Arial"/>
                <w:sz w:val="12"/>
                <w:szCs w:val="12"/>
                <w:color w:val="auto"/>
              </w:rPr>
              <w:t>Supplemental education</w:t>
            </w:r>
          </w:p>
        </w:tc>
        <w:tc>
          <w:tcPr>
            <w:tcW w:w="2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74,616</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77,546</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2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b w:val="1"/>
                <w:bCs w:val="1"/>
                <w:color w:val="auto"/>
              </w:rPr>
              <w:t>148,203</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153,850</w:t>
            </w:r>
          </w:p>
        </w:tc>
        <w:tc>
          <w:tcPr>
            <w:tcW w:w="120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82"/>
        </w:trPr>
        <w:tc>
          <w:tcPr>
            <w:tcW w:w="4180" w:type="dxa"/>
            <w:vAlign w:val="bottom"/>
          </w:tcPr>
          <w:p>
            <w:pPr>
              <w:ind w:left="160"/>
              <w:spacing w:after="0"/>
              <w:rPr>
                <w:sz w:val="20"/>
                <w:szCs w:val="20"/>
                <w:color w:val="auto"/>
              </w:rPr>
            </w:pPr>
            <w:r>
              <w:rPr>
                <w:rFonts w:ascii="Arial" w:cs="Arial" w:eastAsia="Arial" w:hAnsi="Arial"/>
                <w:sz w:val="12"/>
                <w:szCs w:val="12"/>
                <w:color w:val="auto"/>
              </w:rPr>
              <w:t>Kaplan corporate and other</w:t>
            </w:r>
          </w:p>
        </w:tc>
        <w:tc>
          <w:tcPr>
            <w:tcW w:w="260" w:type="dxa"/>
            <w:vAlign w:val="bottom"/>
          </w:tcPr>
          <w:p>
            <w:pPr>
              <w:spacing w:after="0"/>
              <w:rPr>
                <w:sz w:val="15"/>
                <w:szCs w:val="15"/>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2,887</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2,445</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b w:val="1"/>
                <w:bCs w:val="1"/>
                <w:color w:val="auto"/>
              </w:rPr>
              <w:t>5,259</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4,798</w:t>
            </w:r>
          </w:p>
        </w:tc>
        <w:tc>
          <w:tcPr>
            <w:tcW w:w="120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5"/>
        </w:trPr>
        <w:tc>
          <w:tcPr>
            <w:tcW w:w="4180" w:type="dxa"/>
            <w:vAlign w:val="bottom"/>
          </w:tcPr>
          <w:p>
            <w:pPr>
              <w:ind w:left="160"/>
              <w:spacing w:after="0"/>
              <w:rPr>
                <w:sz w:val="20"/>
                <w:szCs w:val="20"/>
                <w:color w:val="auto"/>
              </w:rPr>
            </w:pPr>
            <w:r>
              <w:rPr>
                <w:rFonts w:ascii="Arial" w:cs="Arial" w:eastAsia="Arial" w:hAnsi="Arial"/>
                <w:sz w:val="12"/>
                <w:szCs w:val="12"/>
                <w:color w:val="auto"/>
              </w:rPr>
              <w:t>Intersegment elimination</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(3,230)</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(2,276)</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(6,565)</w:t>
            </w: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(4,683)</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4"/>
                <w:szCs w:val="1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402,227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353,013</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14</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780,268</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711,025</w:t>
            </w:r>
          </w:p>
        </w:tc>
        <w:tc>
          <w:tcPr>
            <w:tcW w:w="120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80" w:type="dxa"/>
            <w:vAlign w:val="bottom"/>
            <w:vMerge w:val="continue"/>
          </w:tcPr>
          <w:p>
            <w:pPr>
              <w:spacing w:after="0"/>
              <w:rPr>
                <w:sz w:val="12"/>
                <w:szCs w:val="12"/>
                <w:color w:val="auto"/>
              </w:rPr>
            </w:pPr>
          </w:p>
        </w:tc>
        <w:tc>
          <w:tcPr>
            <w:tcW w:w="260" w:type="dxa"/>
            <w:vAlign w:val="bottom"/>
            <w:vMerge w:val="restart"/>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vMerge w:val="restart"/>
          </w:tcPr>
          <w:p>
            <w:pPr>
              <w:jc w:val="right"/>
              <w:ind w:right="41"/>
              <w:spacing w:after="0"/>
              <w:rPr>
                <w:sz w:val="20"/>
                <w:szCs w:val="20"/>
                <w:color w:val="auto"/>
              </w:rPr>
            </w:pPr>
            <w:r>
              <w:rPr>
                <w:rFonts w:ascii="Arial" w:cs="Arial" w:eastAsia="Arial" w:hAnsi="Arial"/>
                <w:sz w:val="12"/>
                <w:szCs w:val="12"/>
                <w:b w:val="1"/>
                <w:bCs w:val="1"/>
                <w:color w:val="auto"/>
              </w:rPr>
              <w:t>20,751</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vMerge w:val="restart"/>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900" w:type="dxa"/>
            <w:vAlign w:val="bottom"/>
            <w:vMerge w:val="restart"/>
          </w:tcPr>
          <w:p>
            <w:pPr>
              <w:jc w:val="right"/>
              <w:ind w:right="61"/>
              <w:spacing w:after="0"/>
              <w:rPr>
                <w:sz w:val="20"/>
                <w:szCs w:val="20"/>
                <w:color w:val="auto"/>
              </w:rPr>
            </w:pPr>
            <w:r>
              <w:rPr>
                <w:rFonts w:ascii="Arial" w:cs="Arial" w:eastAsia="Arial" w:hAnsi="Arial"/>
                <w:sz w:val="12"/>
                <w:szCs w:val="12"/>
                <w:b w:val="1"/>
                <w:bCs w:val="1"/>
                <w:color w:val="auto"/>
              </w:rPr>
              <w:t>42,052</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80" w:type="dxa"/>
            <w:vAlign w:val="bottom"/>
          </w:tcPr>
          <w:p>
            <w:pPr>
              <w:ind w:left="160"/>
              <w:spacing w:after="0"/>
              <w:rPr>
                <w:sz w:val="20"/>
                <w:szCs w:val="20"/>
                <w:color w:val="auto"/>
              </w:rPr>
            </w:pPr>
            <w:r>
              <w:rPr>
                <w:rFonts w:ascii="Arial" w:cs="Arial" w:eastAsia="Arial" w:hAnsi="Arial"/>
                <w:sz w:val="12"/>
                <w:szCs w:val="12"/>
                <w:color w:val="auto"/>
              </w:rPr>
              <w:t>Kaplan international</w:t>
            </w: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19,063</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9</w:t>
            </w:r>
          </w:p>
        </w:tc>
        <w:tc>
          <w:tcPr>
            <w:tcW w:w="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60" w:type="dxa"/>
            <w:vAlign w:val="bottom"/>
          </w:tcPr>
          <w:p>
            <w:pPr>
              <w:jc w:val="right"/>
              <w:ind w:right="279"/>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39,627</w:t>
            </w:r>
          </w:p>
        </w:tc>
        <w:tc>
          <w:tcPr>
            <w:tcW w:w="12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82"/>
        </w:trPr>
        <w:tc>
          <w:tcPr>
            <w:tcW w:w="4180" w:type="dxa"/>
            <w:vAlign w:val="bottom"/>
          </w:tcPr>
          <w:p>
            <w:pPr>
              <w:ind w:left="160"/>
              <w:spacing w:after="0"/>
              <w:rPr>
                <w:sz w:val="20"/>
                <w:szCs w:val="20"/>
                <w:color w:val="auto"/>
              </w:rPr>
            </w:pPr>
            <w:r>
              <w:rPr>
                <w:rFonts w:ascii="Arial" w:cs="Arial" w:eastAsia="Arial" w:hAnsi="Arial"/>
                <w:sz w:val="12"/>
                <w:szCs w:val="12"/>
                <w:color w:val="auto"/>
              </w:rPr>
              <w:t>Higher education</w:t>
            </w:r>
          </w:p>
        </w:tc>
        <w:tc>
          <w:tcPr>
            <w:tcW w:w="260" w:type="dxa"/>
            <w:vAlign w:val="bottom"/>
          </w:tcPr>
          <w:p>
            <w:pPr>
              <w:spacing w:after="0"/>
              <w:rPr>
                <w:sz w:val="15"/>
                <w:szCs w:val="15"/>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17,795</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3,012</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b w:val="1"/>
                <w:bCs w:val="1"/>
                <w:color w:val="auto"/>
              </w:rPr>
              <w:t>24,878</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8,359</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180" w:type="dxa"/>
            <w:vAlign w:val="bottom"/>
          </w:tcPr>
          <w:p>
            <w:pPr>
              <w:ind w:left="160"/>
              <w:spacing w:after="0"/>
              <w:rPr>
                <w:sz w:val="20"/>
                <w:szCs w:val="20"/>
                <w:color w:val="auto"/>
              </w:rPr>
            </w:pPr>
            <w:r>
              <w:rPr>
                <w:rFonts w:ascii="Arial" w:cs="Arial" w:eastAsia="Arial" w:hAnsi="Arial"/>
                <w:sz w:val="12"/>
                <w:szCs w:val="12"/>
                <w:color w:val="auto"/>
              </w:rPr>
              <w:t>Supplemental education</w:t>
            </w:r>
          </w:p>
        </w:tc>
        <w:tc>
          <w:tcPr>
            <w:tcW w:w="2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3,512</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4,829</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(27)</w:t>
            </w:r>
          </w:p>
        </w:tc>
        <w:tc>
          <w:tcPr>
            <w:tcW w:w="2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b w:val="1"/>
                <w:bCs w:val="1"/>
                <w:color w:val="auto"/>
              </w:rPr>
              <w:t>7,263</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8,200</w:t>
            </w:r>
          </w:p>
        </w:tc>
        <w:tc>
          <w:tcPr>
            <w:tcW w:w="120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72"/>
        </w:trPr>
        <w:tc>
          <w:tcPr>
            <w:tcW w:w="4180" w:type="dxa"/>
            <w:vAlign w:val="bottom"/>
          </w:tcPr>
          <w:p>
            <w:pPr>
              <w:ind w:left="160"/>
              <w:spacing w:after="0"/>
              <w:rPr>
                <w:sz w:val="20"/>
                <w:szCs w:val="20"/>
                <w:color w:val="auto"/>
              </w:rPr>
            </w:pPr>
            <w:r>
              <w:rPr>
                <w:rFonts w:ascii="Arial" w:cs="Arial" w:eastAsia="Arial" w:hAnsi="Arial"/>
                <w:sz w:val="12"/>
                <w:szCs w:val="12"/>
                <w:color w:val="auto"/>
              </w:rPr>
              <w:t>Kaplan corporate and other</w:t>
            </w:r>
          </w:p>
        </w:tc>
        <w:tc>
          <w:tcPr>
            <w:tcW w:w="26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(7,824)</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(4,079)</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(92)</w:t>
            </w:r>
          </w:p>
        </w:tc>
        <w:tc>
          <w:tcPr>
            <w:tcW w:w="26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b w:val="1"/>
                <w:bCs w:val="1"/>
                <w:color w:val="auto"/>
              </w:rPr>
              <w:t>(12,662)</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(8,822)</w:t>
            </w:r>
          </w:p>
        </w:tc>
        <w:tc>
          <w:tcPr>
            <w:tcW w:w="1200" w:type="dxa"/>
            <w:vAlign w:val="bottom"/>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72"/>
        </w:trPr>
        <w:tc>
          <w:tcPr>
            <w:tcW w:w="4180" w:type="dxa"/>
            <w:vAlign w:val="bottom"/>
          </w:tcPr>
          <w:p>
            <w:pPr>
              <w:ind w:left="160"/>
              <w:spacing w:after="0"/>
              <w:rPr>
                <w:sz w:val="20"/>
                <w:szCs w:val="20"/>
                <w:color w:val="auto"/>
              </w:rPr>
            </w:pPr>
            <w:r>
              <w:rPr>
                <w:rFonts w:ascii="Arial" w:cs="Arial" w:eastAsia="Arial" w:hAnsi="Arial"/>
                <w:sz w:val="12"/>
                <w:szCs w:val="12"/>
                <w:color w:val="auto"/>
              </w:rPr>
              <w:t>Amortization of intangible assets</w:t>
            </w:r>
          </w:p>
        </w:tc>
        <w:tc>
          <w:tcPr>
            <w:tcW w:w="260" w:type="dxa"/>
            <w:vAlign w:val="bottom"/>
          </w:tcPr>
          <w:p>
            <w:pPr>
              <w:spacing w:after="0"/>
              <w:rPr>
                <w:sz w:val="14"/>
                <w:szCs w:val="14"/>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(3,984)</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(4,064)</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26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b w:val="1"/>
                <w:bCs w:val="1"/>
                <w:color w:val="auto"/>
              </w:rPr>
              <w:t>(7,923)</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(8,210)</w:t>
            </w:r>
          </w:p>
        </w:tc>
        <w:tc>
          <w:tcPr>
            <w:tcW w:w="12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72"/>
        </w:trPr>
        <w:tc>
          <w:tcPr>
            <w:tcW w:w="4180" w:type="dxa"/>
            <w:vAlign w:val="bottom"/>
          </w:tcPr>
          <w:p>
            <w:pPr>
              <w:ind w:left="160"/>
              <w:spacing w:after="0"/>
              <w:rPr>
                <w:sz w:val="20"/>
                <w:szCs w:val="20"/>
                <w:color w:val="auto"/>
              </w:rPr>
            </w:pPr>
            <w:r>
              <w:rPr>
                <w:rFonts w:ascii="Arial" w:cs="Arial" w:eastAsia="Arial" w:hAnsi="Arial"/>
                <w:sz w:val="12"/>
                <w:szCs w:val="12"/>
                <w:color w:val="auto"/>
              </w:rPr>
              <w:t>Impairment of long-lived assets</w:t>
            </w:r>
          </w:p>
        </w:tc>
        <w:tc>
          <w:tcPr>
            <w:tcW w:w="2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b w:val="1"/>
                <w:bCs w:val="1"/>
                <w:color w:val="auto"/>
              </w:rPr>
              <w:t>(477)</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4180" w:type="dxa"/>
            <w:vAlign w:val="bottom"/>
          </w:tcPr>
          <w:p>
            <w:pPr>
              <w:ind w:left="160"/>
              <w:spacing w:after="0"/>
              <w:rPr>
                <w:sz w:val="20"/>
                <w:szCs w:val="20"/>
                <w:color w:val="auto"/>
              </w:rPr>
            </w:pPr>
            <w:r>
              <w:rPr>
                <w:rFonts w:ascii="Arial" w:cs="Arial" w:eastAsia="Arial" w:hAnsi="Arial"/>
                <w:sz w:val="12"/>
                <w:szCs w:val="12"/>
                <w:color w:val="auto"/>
              </w:rPr>
              <w:t>Intersegment elimination</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(134)</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25</w:t>
            </w: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30,116</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18,705</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61</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53,156</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39,117</w:t>
            </w:r>
          </w:p>
        </w:tc>
        <w:tc>
          <w:tcPr>
            <w:tcW w:w="1200" w:type="dxa"/>
            <w:vAlign w:val="bottom"/>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Kaplan International includes postsecondary education, professional training and language training businesses largely outside the United States. Kaplan International revenue increased</w:t>
      </w:r>
    </w:p>
    <w:p>
      <w:pPr>
        <w:spacing w:after="0" w:line="12" w:lineRule="exact"/>
        <w:rPr>
          <w:sz w:val="20"/>
          <w:szCs w:val="20"/>
          <w:color w:val="auto"/>
        </w:rPr>
      </w:pPr>
    </w:p>
    <w:p>
      <w:pPr>
        <w:jc w:val="both"/>
        <w:ind w:right="60"/>
        <w:spacing w:after="0" w:line="232" w:lineRule="auto"/>
        <w:rPr>
          <w:sz w:val="20"/>
          <w:szCs w:val="20"/>
          <w:color w:val="auto"/>
        </w:rPr>
      </w:pPr>
      <w:r>
        <w:rPr>
          <w:rFonts w:ascii="Arial" w:cs="Arial" w:eastAsia="Arial" w:hAnsi="Arial"/>
          <w:sz w:val="13"/>
          <w:szCs w:val="13"/>
          <w:color w:val="auto"/>
        </w:rPr>
        <w:t>18% and 15% for the second quarter and first six months of 2023, respectively (increases of 19% each on a constant currency basis). The increases are due largely to growth at Pathways, Australia and Languages, partially offset by a decline at Singapore. Kaplan International reported operating income of $ 20.8 million in the second quarter of 2023, compared to $19.1 million in the second quarter of 2022. Operating income increased to $42.1 million in the first six months of 2023, compared to $39.6 million in the first six months of 2022. The improved results are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due largely to improved results at Pathways and Australia, partially offset by declines at UK Professional and Singapore.</w:t>
      </w:r>
    </w:p>
    <w:p>
      <w:pPr>
        <w:spacing w:after="0" w:line="103"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Higher Education includes the results of Kaplan as a service provider to higher education institutions. In the second quarter and first six months of 2023, Higher Education revenue increased 21% and 11%, respectively, due to an increase in the Purdue Global fee recorded. For the second quarter and first six months of 2023 and 2022, Kaplan recorded a portion of the fee with</w:t>
      </w:r>
    </w:p>
    <w:p>
      <w:pPr>
        <w:spacing w:after="0"/>
        <w:rPr>
          <w:sz w:val="20"/>
          <w:szCs w:val="20"/>
          <w:color w:val="auto"/>
        </w:rPr>
      </w:pPr>
      <w:r>
        <w:rPr>
          <w:rFonts w:ascii="Arial" w:cs="Arial" w:eastAsia="Arial" w:hAnsi="Arial"/>
          <w:sz w:val="13"/>
          <w:szCs w:val="13"/>
          <w:color w:val="auto"/>
        </w:rPr>
        <w:t>Purdue Global based on an assessment of its collectability under the TOSA. Enrollments at Purdue Global for the first half of 2023 increased 2% compared to the first half of 2022. The</w:t>
      </w:r>
    </w:p>
    <w:p>
      <w:pPr>
        <w:spacing w:after="0" w:line="2" w:lineRule="exact"/>
        <w:rPr>
          <w:sz w:val="20"/>
          <w:szCs w:val="20"/>
          <w:color w:val="auto"/>
        </w:rPr>
      </w:pPr>
    </w:p>
    <w:p>
      <w:pPr>
        <w:ind w:right="200"/>
        <w:spacing w:after="0" w:line="235" w:lineRule="auto"/>
        <w:rPr>
          <w:sz w:val="20"/>
          <w:szCs w:val="20"/>
          <w:color w:val="auto"/>
        </w:rPr>
      </w:pPr>
      <w:r>
        <w:rPr>
          <w:rFonts w:ascii="Arial" w:cs="Arial" w:eastAsia="Arial" w:hAnsi="Arial"/>
          <w:sz w:val="13"/>
          <w:szCs w:val="13"/>
          <w:color w:val="auto"/>
        </w:rPr>
        <w:t>Company will continue to assess the collectability of the fee with Purdue Global on a quarterly basis to make a determination as to whether to record all or part of the fee in the future and whether to make adjustments to fee amounts recognized in earlier periods. Higher Education results increased in the second quarter and first six months of 2023 due to an increase in the</w:t>
      </w:r>
    </w:p>
    <w:p>
      <w:pPr>
        <w:spacing w:after="0"/>
        <w:rPr>
          <w:sz w:val="20"/>
          <w:szCs w:val="20"/>
          <w:color w:val="auto"/>
        </w:rPr>
      </w:pPr>
      <w:r>
        <w:rPr>
          <w:rFonts w:ascii="Arial" w:cs="Arial" w:eastAsia="Arial" w:hAnsi="Arial"/>
          <w:sz w:val="13"/>
          <w:szCs w:val="13"/>
          <w:color w:val="auto"/>
        </w:rPr>
        <w:t>Purdue Global fee recorded, and a decline in investment costs incurred related to other university agreements and other higher education development costs.</w:t>
      </w:r>
    </w:p>
    <w:p>
      <w:pPr>
        <w:spacing w:after="0" w:line="113"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As of June 30, 2023, Kaplan had a total outstanding accounts receivable balance of $113.3 million from Purdue Global related to amounts due for reimbursements for services, fees earned and a deferred fee. Included in this total, Kaplan has a $19.5 million long-term receivable balance due from Purdue Global at June 30, 2023, related to the advance of $20 million during the</w:t>
      </w:r>
    </w:p>
    <w:p>
      <w:pPr>
        <w:spacing w:after="0"/>
        <w:rPr>
          <w:sz w:val="20"/>
          <w:szCs w:val="20"/>
          <w:color w:val="auto"/>
        </w:rPr>
      </w:pPr>
      <w:r>
        <w:rPr>
          <w:rFonts w:ascii="Arial" w:cs="Arial" w:eastAsia="Arial" w:hAnsi="Arial"/>
          <w:sz w:val="13"/>
          <w:szCs w:val="13"/>
          <w:color w:val="auto"/>
        </w:rPr>
        <w:t>initial KU Transaction.</w:t>
      </w:r>
    </w:p>
    <w:p>
      <w:pPr>
        <w:spacing w:after="0" w:line="113"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Supplemental Education includes Kaplan’s standardized test preparation programs and domestic professional and other continuing education businesses. Supplemental Education revenue declined 4% for the second quarter and first six months of 2023, driven mostly by softness in Real Estate, Securities and Medical Licensure test preparation, offset in part by growth in CFP</w:t>
      </w:r>
    </w:p>
    <w:p>
      <w:pPr>
        <w:spacing w:after="0"/>
        <w:rPr>
          <w:sz w:val="20"/>
          <w:szCs w:val="20"/>
          <w:color w:val="auto"/>
        </w:rPr>
      </w:pPr>
      <w:r>
        <w:rPr>
          <w:rFonts w:ascii="Arial" w:cs="Arial" w:eastAsia="Arial" w:hAnsi="Arial"/>
          <w:sz w:val="13"/>
          <w:szCs w:val="13"/>
          <w:color w:val="auto"/>
        </w:rPr>
        <w:t>and MCAT test preparation and publishing activities. Overall, demand for graduate and pre-college test preparation programs has declined due to the strength of U.S. employment markets</w:t>
      </w:r>
    </w:p>
    <w:p>
      <w:pPr>
        <w:spacing w:after="0" w:line="2" w:lineRule="exact"/>
        <w:rPr>
          <w:sz w:val="20"/>
          <w:szCs w:val="20"/>
          <w:color w:val="auto"/>
        </w:rPr>
      </w:pPr>
    </w:p>
    <w:p>
      <w:pPr>
        <w:ind w:right="60"/>
        <w:spacing w:after="0" w:line="247" w:lineRule="auto"/>
        <w:rPr>
          <w:sz w:val="20"/>
          <w:szCs w:val="20"/>
          <w:color w:val="auto"/>
        </w:rPr>
      </w:pPr>
      <w:r>
        <w:rPr>
          <w:rFonts w:ascii="Arial" w:cs="Arial" w:eastAsia="Arial" w:hAnsi="Arial"/>
          <w:sz w:val="13"/>
          <w:szCs w:val="13"/>
          <w:color w:val="auto"/>
        </w:rPr>
        <w:t>and the decline in test-takers, while demand for professional programs remained stable. Operating results declined in the second quarter and first six months of 2023 due to lower revenues, partially offset by savings from reduced headcount.</w:t>
      </w:r>
    </w:p>
    <w:p>
      <w:pPr>
        <w:spacing w:after="0" w:line="97" w:lineRule="exact"/>
        <w:rPr>
          <w:sz w:val="20"/>
          <w:szCs w:val="20"/>
          <w:color w:val="auto"/>
        </w:rPr>
      </w:pPr>
    </w:p>
    <w:p>
      <w:pPr>
        <w:ind w:right="180"/>
        <w:spacing w:after="0" w:line="279" w:lineRule="auto"/>
        <w:rPr>
          <w:sz w:val="20"/>
          <w:szCs w:val="20"/>
          <w:color w:val="auto"/>
        </w:rPr>
      </w:pPr>
      <w:r>
        <w:rPr>
          <w:rFonts w:ascii="Arial" w:cs="Arial" w:eastAsia="Arial" w:hAnsi="Arial"/>
          <w:sz w:val="13"/>
          <w:szCs w:val="13"/>
          <w:color w:val="auto"/>
        </w:rPr>
        <w:t>Kaplan corporate and other represents unallocated expenses of Kaplan, Inc.’s corporate office, other minor businesses and certain shared activities. Kaplan corporate and other expenses increased in the second quarter and first six months of 2023, largely due to increased incentive compensation costs.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i w:val="1"/>
          <w:iCs w:val="1"/>
          <w:color w:val="auto"/>
        </w:rPr>
        <w:t>Television Broadcasting</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A summary of television broadcasting’s operating results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tcPr>
          <w:p>
            <w:pPr>
              <w:jc w:val="center"/>
              <w:ind w:right="202"/>
              <w:spacing w:after="0"/>
              <w:rPr>
                <w:sz w:val="20"/>
                <w:szCs w:val="20"/>
                <w:color w:val="auto"/>
              </w:rPr>
            </w:pPr>
            <w:r>
              <w:rPr>
                <w:rFonts w:ascii="Arial" w:cs="Arial" w:eastAsia="Arial" w:hAnsi="Arial"/>
                <w:sz w:val="11"/>
                <w:szCs w:val="11"/>
                <w:b w:val="1"/>
                <w:bCs w:val="1"/>
                <w:color w:val="auto"/>
                <w:w w:val="97"/>
              </w:rPr>
              <w:t>Three Months Ended</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left="363"/>
              <w:spacing w:after="0"/>
              <w:rPr>
                <w:sz w:val="20"/>
                <w:szCs w:val="20"/>
                <w:color w:val="auto"/>
              </w:rPr>
            </w:pPr>
            <w:r>
              <w:rPr>
                <w:rFonts w:ascii="Arial" w:cs="Arial" w:eastAsia="Arial" w:hAnsi="Arial"/>
                <w:sz w:val="11"/>
                <w:szCs w:val="11"/>
                <w:b w:val="1"/>
                <w:bCs w:val="1"/>
                <w:color w:val="auto"/>
                <w:w w:val="98"/>
              </w:rPr>
              <w:t>Six Months Ended</w:t>
            </w: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7"/>
        </w:trPr>
        <w:tc>
          <w:tcPr>
            <w:tcW w:w="4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left="483"/>
              <w:spacing w:after="0"/>
              <w:rPr>
                <w:sz w:val="20"/>
                <w:szCs w:val="20"/>
                <w:color w:val="auto"/>
              </w:rPr>
            </w:pPr>
            <w:r>
              <w:rPr>
                <w:rFonts w:ascii="Arial" w:cs="Arial" w:eastAsia="Arial" w:hAnsi="Arial"/>
                <w:sz w:val="11"/>
                <w:szCs w:val="11"/>
                <w:b w:val="1"/>
                <w:bCs w:val="1"/>
                <w:color w:val="auto"/>
                <w:w w:val="97"/>
              </w:rPr>
              <w:t>June 30</w:t>
            </w:r>
          </w:p>
        </w:tc>
        <w:tc>
          <w:tcPr>
            <w:tcW w:w="82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1"/>
                <w:szCs w:val="11"/>
                <w:b w:val="1"/>
                <w:bCs w:val="1"/>
                <w:color w:val="auto"/>
                <w:w w:val="97"/>
              </w:rPr>
              <w:t>June 30</w:t>
            </w:r>
          </w:p>
        </w:tc>
        <w:tc>
          <w:tcPr>
            <w:tcW w:w="68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14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color w:val="auto"/>
              </w:rPr>
              <w:t>2022</w:t>
            </w:r>
          </w:p>
        </w:tc>
        <w:tc>
          <w:tcPr>
            <w:tcW w:w="130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color w:val="auto"/>
              </w:rPr>
              <w:t>% Change</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color w:val="auto"/>
                <w:w w:val="97"/>
              </w:rPr>
              <w:t>2022</w:t>
            </w: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 Change</w:t>
            </w:r>
          </w:p>
        </w:tc>
      </w:tr>
      <w:tr>
        <w:trPr>
          <w:trHeight w:val="158"/>
        </w:trPr>
        <w:tc>
          <w:tcPr>
            <w:tcW w:w="4180" w:type="dxa"/>
            <w:vAlign w:val="bottom"/>
          </w:tcPr>
          <w:p>
            <w:pPr>
              <w:ind w:left="20"/>
              <w:spacing w:after="0"/>
              <w:rPr>
                <w:sz w:val="20"/>
                <w:szCs w:val="20"/>
                <w:color w:val="auto"/>
              </w:rPr>
            </w:pPr>
            <w:r>
              <w:rPr>
                <w:rFonts w:ascii="Arial" w:cs="Arial" w:eastAsia="Arial" w:hAnsi="Arial"/>
                <w:sz w:val="12"/>
                <w:szCs w:val="12"/>
                <w:color w:val="auto"/>
              </w:rPr>
              <w:t>Revenue</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118,829</w:t>
            </w:r>
          </w:p>
        </w:tc>
        <w:tc>
          <w:tcPr>
            <w:tcW w:w="36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122,386</w:t>
            </w: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2"/>
                <w:szCs w:val="12"/>
                <w:b w:val="1"/>
                <w:bCs w:val="1"/>
                <w:color w:val="auto"/>
              </w:rPr>
              <w:t>231,706</w:t>
            </w:r>
          </w:p>
        </w:tc>
        <w:tc>
          <w:tcPr>
            <w:tcW w:w="480" w:type="dxa"/>
            <w:vAlign w:val="bottom"/>
          </w:tcPr>
          <w:p>
            <w:pPr>
              <w:jc w:val="right"/>
              <w:ind w:right="2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245,805</w:t>
            </w:r>
          </w:p>
        </w:tc>
        <w:tc>
          <w:tcPr>
            <w:tcW w:w="12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79"/>
        </w:trPr>
        <w:tc>
          <w:tcPr>
            <w:tcW w:w="4180" w:type="dxa"/>
            <w:vAlign w:val="bottom"/>
          </w:tcPr>
          <w:p>
            <w:pPr>
              <w:ind w:left="20"/>
              <w:spacing w:after="0"/>
              <w:rPr>
                <w:sz w:val="20"/>
                <w:szCs w:val="20"/>
                <w:color w:val="auto"/>
              </w:rPr>
            </w:pPr>
            <w:r>
              <w:rPr>
                <w:rFonts w:ascii="Arial" w:cs="Arial" w:eastAsia="Arial" w:hAnsi="Arial"/>
                <w:sz w:val="12"/>
                <w:szCs w:val="12"/>
                <w:color w:val="auto"/>
              </w:rPr>
              <w:t>Operating Income</w:t>
            </w:r>
          </w:p>
        </w:tc>
        <w:tc>
          <w:tcPr>
            <w:tcW w:w="260" w:type="dxa"/>
            <w:vAlign w:val="bottom"/>
          </w:tcPr>
          <w:p>
            <w:pPr>
              <w:spacing w:after="0"/>
              <w:rPr>
                <w:sz w:val="15"/>
                <w:szCs w:val="15"/>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33,190</w:t>
            </w:r>
          </w:p>
        </w:tc>
        <w:tc>
          <w:tcPr>
            <w:tcW w:w="36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39,682</w:t>
            </w: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260" w:type="dxa"/>
            <w:vAlign w:val="bottom"/>
          </w:tcPr>
          <w:p>
            <w:pPr>
              <w:spacing w:after="0"/>
              <w:rPr>
                <w:sz w:val="15"/>
                <w:szCs w:val="15"/>
                <w:color w:val="auto"/>
              </w:rPr>
            </w:pPr>
          </w:p>
        </w:tc>
        <w:tc>
          <w:tcPr>
            <w:tcW w:w="880" w:type="dxa"/>
            <w:vAlign w:val="bottom"/>
          </w:tcPr>
          <w:p>
            <w:pPr>
              <w:jc w:val="right"/>
              <w:ind w:right="43"/>
              <w:spacing w:after="0"/>
              <w:rPr>
                <w:sz w:val="20"/>
                <w:szCs w:val="20"/>
                <w:color w:val="auto"/>
              </w:rPr>
            </w:pPr>
            <w:r>
              <w:rPr>
                <w:rFonts w:ascii="Arial" w:cs="Arial" w:eastAsia="Arial" w:hAnsi="Arial"/>
                <w:sz w:val="12"/>
                <w:szCs w:val="12"/>
                <w:b w:val="1"/>
                <w:bCs w:val="1"/>
                <w:color w:val="auto"/>
              </w:rPr>
              <w:t>61,773</w:t>
            </w:r>
          </w:p>
        </w:tc>
        <w:tc>
          <w:tcPr>
            <w:tcW w:w="48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79,580</w:t>
            </w:r>
          </w:p>
        </w:tc>
        <w:tc>
          <w:tcPr>
            <w:tcW w:w="1200" w:type="dxa"/>
            <w:vAlign w:val="bottom"/>
          </w:tcPr>
          <w:p>
            <w:pPr>
              <w:jc w:val="right"/>
              <w:spacing w:after="0"/>
              <w:rPr>
                <w:sz w:val="20"/>
                <w:szCs w:val="20"/>
                <w:color w:val="auto"/>
              </w:rPr>
            </w:pPr>
            <w:r>
              <w:rPr>
                <w:rFonts w:ascii="Arial" w:cs="Arial" w:eastAsia="Arial" w:hAnsi="Arial"/>
                <w:sz w:val="12"/>
                <w:szCs w:val="12"/>
                <w:color w:val="auto"/>
              </w:rPr>
              <w:t>(22)</w:t>
            </w:r>
          </w:p>
        </w:tc>
      </w:tr>
    </w:tbl>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Graham Media Group, Inc. owns seven television stations located in Houston, TX; Detroit, MI; Orlando, FL; San Antonio, TX; Jacksonville, FL; and Roanoke, VA, as well as SocialNewsDesk, a provider of social media management tools designed to connect newsrooms with their users. Revenue at the television broadcasting division decreased 3% to $118.8 million in the second</w:t>
      </w:r>
    </w:p>
    <w:p>
      <w:pPr>
        <w:ind w:right="140"/>
        <w:spacing w:after="0" w:line="235" w:lineRule="auto"/>
        <w:rPr>
          <w:sz w:val="20"/>
          <w:szCs w:val="20"/>
          <w:color w:val="auto"/>
        </w:rPr>
      </w:pPr>
      <w:r>
        <w:rPr>
          <w:rFonts w:ascii="Arial" w:cs="Arial" w:eastAsia="Arial" w:hAnsi="Arial"/>
          <w:sz w:val="13"/>
          <w:szCs w:val="13"/>
          <w:color w:val="auto"/>
        </w:rPr>
        <w:t>quarter of 2023, from $122.4 million in the same period of 2022. The revenue decline is due primarily to a $2.5 million decline in political advertising revenue and a decline in national advertising revenue, partially offset by modest increases in digital advertising and retransmission revenues. Operating income for the second quarter of 2023 declined 16% to $33.2 million,</w:t>
      </w:r>
    </w:p>
    <w:p>
      <w:pPr>
        <w:spacing w:after="0"/>
        <w:rPr>
          <w:sz w:val="20"/>
          <w:szCs w:val="20"/>
          <w:color w:val="auto"/>
        </w:rPr>
      </w:pPr>
      <w:r>
        <w:rPr>
          <w:rFonts w:ascii="Arial" w:cs="Arial" w:eastAsia="Arial" w:hAnsi="Arial"/>
          <w:sz w:val="13"/>
          <w:szCs w:val="13"/>
          <w:color w:val="auto"/>
        </w:rPr>
        <w:t>from $39.7 million in the same period of 2022, due to reduced revenues and higher network fees.</w:t>
      </w:r>
    </w:p>
    <w:p>
      <w:pPr>
        <w:spacing w:after="0" w:line="113"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Revenue at the television broadcasting division decreased 6% to $231.7 million in the first six months of 2023, from $245.8 million in the same period of 2022. The revenue decline is due primarily to winter Olympics and Super Bowl advertising at the Company’s NBC affiliates in the first quarter of 2022, a $3.5 million decline in political advertising revenue as well as modest</w:t>
      </w:r>
    </w:p>
    <w:p>
      <w:pPr>
        <w:spacing w:after="0"/>
        <w:rPr>
          <w:sz w:val="20"/>
          <w:szCs w:val="20"/>
          <w:color w:val="auto"/>
        </w:rPr>
      </w:pPr>
      <w:r>
        <w:rPr>
          <w:rFonts w:ascii="Arial" w:cs="Arial" w:eastAsia="Arial" w:hAnsi="Arial"/>
          <w:sz w:val="13"/>
          <w:szCs w:val="13"/>
          <w:color w:val="auto"/>
        </w:rPr>
        <w:t>declines in retransmission and digital advertising revenues. Operating income for the first six months of 2023 declined 22% to $61.8 million, from $79.6 million in the same period of 2022,</w:t>
      </w:r>
    </w:p>
    <w:p>
      <w:pPr>
        <w:spacing w:after="0" w:line="2" w:lineRule="exact"/>
        <w:rPr>
          <w:sz w:val="20"/>
          <w:szCs w:val="20"/>
          <w:color w:val="auto"/>
        </w:rPr>
      </w:pPr>
    </w:p>
    <w:p>
      <w:pPr>
        <w:ind w:right="280"/>
        <w:spacing w:after="0" w:line="247" w:lineRule="auto"/>
        <w:rPr>
          <w:sz w:val="20"/>
          <w:szCs w:val="20"/>
          <w:color w:val="auto"/>
        </w:rPr>
      </w:pPr>
      <w:r>
        <w:rPr>
          <w:rFonts w:ascii="Arial" w:cs="Arial" w:eastAsia="Arial" w:hAnsi="Arial"/>
          <w:sz w:val="13"/>
          <w:szCs w:val="13"/>
          <w:color w:val="auto"/>
        </w:rPr>
        <w:t>due to reduced revenues and higher network fees. While per subscriber rates from cable, satellite and OTT providers have grown, overall cable and satellite subscribers are down due to cord cutting, resulting in retransmission revenue net of network fees in 2023 expected to be similar compared with 2022.</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Manufacturing</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A summary of manufacturing’s operating results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tcPr>
          <w:p>
            <w:pPr>
              <w:jc w:val="center"/>
              <w:ind w:right="202"/>
              <w:spacing w:after="0"/>
              <w:rPr>
                <w:sz w:val="20"/>
                <w:szCs w:val="20"/>
                <w:color w:val="auto"/>
              </w:rPr>
            </w:pPr>
            <w:r>
              <w:rPr>
                <w:rFonts w:ascii="Arial" w:cs="Arial" w:eastAsia="Arial" w:hAnsi="Arial"/>
                <w:sz w:val="11"/>
                <w:szCs w:val="11"/>
                <w:b w:val="1"/>
                <w:bCs w:val="1"/>
                <w:color w:val="auto"/>
                <w:w w:val="97"/>
              </w:rPr>
              <w:t>Three Months Ended</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left="363"/>
              <w:spacing w:after="0"/>
              <w:rPr>
                <w:sz w:val="20"/>
                <w:szCs w:val="20"/>
                <w:color w:val="auto"/>
              </w:rPr>
            </w:pPr>
            <w:r>
              <w:rPr>
                <w:rFonts w:ascii="Arial" w:cs="Arial" w:eastAsia="Arial" w:hAnsi="Arial"/>
                <w:sz w:val="11"/>
                <w:szCs w:val="11"/>
                <w:b w:val="1"/>
                <w:bCs w:val="1"/>
                <w:color w:val="auto"/>
                <w:w w:val="98"/>
              </w:rPr>
              <w:t>Six Months Ended</w:t>
            </w: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7"/>
        </w:trPr>
        <w:tc>
          <w:tcPr>
            <w:tcW w:w="4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left="483"/>
              <w:spacing w:after="0"/>
              <w:rPr>
                <w:sz w:val="20"/>
                <w:szCs w:val="20"/>
                <w:color w:val="auto"/>
              </w:rPr>
            </w:pPr>
            <w:r>
              <w:rPr>
                <w:rFonts w:ascii="Arial" w:cs="Arial" w:eastAsia="Arial" w:hAnsi="Arial"/>
                <w:sz w:val="11"/>
                <w:szCs w:val="11"/>
                <w:b w:val="1"/>
                <w:bCs w:val="1"/>
                <w:color w:val="auto"/>
                <w:w w:val="97"/>
              </w:rPr>
              <w:t>June 30</w:t>
            </w:r>
          </w:p>
        </w:tc>
        <w:tc>
          <w:tcPr>
            <w:tcW w:w="82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1"/>
                <w:szCs w:val="11"/>
                <w:b w:val="1"/>
                <w:bCs w:val="1"/>
                <w:color w:val="auto"/>
                <w:w w:val="97"/>
              </w:rPr>
              <w:t>June 30</w:t>
            </w:r>
          </w:p>
        </w:tc>
        <w:tc>
          <w:tcPr>
            <w:tcW w:w="68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15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color w:val="auto"/>
              </w:rPr>
              <w:t>2022</w:t>
            </w: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 Change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color w:val="auto"/>
                <w:w w:val="97"/>
              </w:rPr>
              <w:t>2022</w:t>
            </w: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 Change</w:t>
            </w:r>
          </w:p>
        </w:tc>
      </w:tr>
      <w:tr>
        <w:trPr>
          <w:trHeight w:val="163"/>
        </w:trPr>
        <w:tc>
          <w:tcPr>
            <w:tcW w:w="4180" w:type="dxa"/>
            <w:vAlign w:val="bottom"/>
          </w:tcPr>
          <w:p>
            <w:pPr>
              <w:ind w:left="20"/>
              <w:spacing w:after="0"/>
              <w:rPr>
                <w:sz w:val="20"/>
                <w:szCs w:val="20"/>
                <w:color w:val="auto"/>
              </w:rPr>
            </w:pPr>
            <w:r>
              <w:rPr>
                <w:rFonts w:ascii="Arial" w:cs="Arial" w:eastAsia="Arial" w:hAnsi="Arial"/>
                <w:sz w:val="12"/>
                <w:szCs w:val="12"/>
                <w:color w:val="auto"/>
              </w:rPr>
              <w:t>Revenue</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120,082</w:t>
            </w:r>
          </w:p>
        </w:tc>
        <w:tc>
          <w:tcPr>
            <w:tcW w:w="36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127,062</w:t>
            </w:r>
          </w:p>
        </w:tc>
        <w:tc>
          <w:tcPr>
            <w:tcW w:w="1300" w:type="dxa"/>
            <w:vAlign w:val="bottom"/>
          </w:tcPr>
          <w:p>
            <w:pPr>
              <w:ind w:left="1020"/>
              <w:spacing w:after="0"/>
              <w:rPr>
                <w:sz w:val="20"/>
                <w:szCs w:val="20"/>
                <w:color w:val="auto"/>
              </w:rPr>
            </w:pPr>
            <w:r>
              <w:rPr>
                <w:rFonts w:ascii="Arial" w:cs="Arial" w:eastAsia="Arial" w:hAnsi="Arial"/>
                <w:sz w:val="12"/>
                <w:szCs w:val="12"/>
                <w:color w:val="auto"/>
              </w:rPr>
              <w:t>(5)</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2"/>
                <w:szCs w:val="12"/>
                <w:b w:val="1"/>
                <w:bCs w:val="1"/>
                <w:color w:val="auto"/>
              </w:rPr>
              <w:t>234,666</w:t>
            </w:r>
          </w:p>
        </w:tc>
        <w:tc>
          <w:tcPr>
            <w:tcW w:w="480" w:type="dxa"/>
            <w:vAlign w:val="bottom"/>
          </w:tcPr>
          <w:p>
            <w:pPr>
              <w:jc w:val="right"/>
              <w:ind w:right="279"/>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243,002</w:t>
            </w:r>
          </w:p>
        </w:tc>
        <w:tc>
          <w:tcPr>
            <w:tcW w:w="120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69"/>
        </w:trPr>
        <w:tc>
          <w:tcPr>
            <w:tcW w:w="4180" w:type="dxa"/>
            <w:vAlign w:val="bottom"/>
          </w:tcPr>
          <w:p>
            <w:pPr>
              <w:ind w:left="20"/>
              <w:spacing w:after="0"/>
              <w:rPr>
                <w:sz w:val="20"/>
                <w:szCs w:val="20"/>
                <w:color w:val="auto"/>
              </w:rPr>
            </w:pPr>
            <w:r>
              <w:rPr>
                <w:rFonts w:ascii="Arial" w:cs="Arial" w:eastAsia="Arial" w:hAnsi="Arial"/>
                <w:sz w:val="12"/>
                <w:szCs w:val="12"/>
                <w:color w:val="auto"/>
              </w:rPr>
              <w:t>Operating Income</w:t>
            </w:r>
          </w:p>
        </w:tc>
        <w:tc>
          <w:tcPr>
            <w:tcW w:w="260" w:type="dxa"/>
            <w:vAlign w:val="bottom"/>
          </w:tcPr>
          <w:p>
            <w:pPr>
              <w:spacing w:after="0"/>
              <w:rPr>
                <w:sz w:val="14"/>
                <w:szCs w:val="14"/>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11,982</w:t>
            </w:r>
          </w:p>
        </w:tc>
        <w:tc>
          <w:tcPr>
            <w:tcW w:w="36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4,502</w:t>
            </w:r>
          </w:p>
        </w:tc>
        <w:tc>
          <w:tcPr>
            <w:tcW w:w="1300" w:type="dxa"/>
            <w:vAlign w:val="bottom"/>
          </w:tcPr>
          <w:p>
            <w:pPr>
              <w:ind w:left="10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43"/>
              <w:spacing w:after="0"/>
              <w:rPr>
                <w:sz w:val="20"/>
                <w:szCs w:val="20"/>
                <w:color w:val="auto"/>
              </w:rPr>
            </w:pPr>
            <w:r>
              <w:rPr>
                <w:rFonts w:ascii="Arial" w:cs="Arial" w:eastAsia="Arial" w:hAnsi="Arial"/>
                <w:sz w:val="12"/>
                <w:szCs w:val="12"/>
                <w:b w:val="1"/>
                <w:bCs w:val="1"/>
                <w:color w:val="auto"/>
              </w:rPr>
              <w:t>19,310</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14,477</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33</w:t>
            </w:r>
          </w:p>
        </w:tc>
      </w:tr>
    </w:tbl>
    <w:p>
      <w:pPr>
        <w:spacing w:after="0" w:line="178" w:lineRule="exact"/>
        <w:rPr>
          <w:sz w:val="20"/>
          <w:szCs w:val="20"/>
          <w:color w:val="auto"/>
        </w:rPr>
      </w:pPr>
    </w:p>
    <w:p>
      <w:pPr>
        <w:ind w:right="500"/>
        <w:spacing w:after="0" w:line="243" w:lineRule="auto"/>
        <w:rPr>
          <w:sz w:val="20"/>
          <w:szCs w:val="20"/>
          <w:color w:val="auto"/>
        </w:rPr>
      </w:pPr>
      <w:r>
        <w:rPr>
          <w:rFonts w:ascii="Arial" w:cs="Arial" w:eastAsia="Arial" w:hAnsi="Arial"/>
          <w:sz w:val="13"/>
          <w:szCs w:val="13"/>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w:t>
      </w:r>
    </w:p>
    <w:p>
      <w:pPr>
        <w:spacing w:after="0"/>
        <w:rPr>
          <w:sz w:val="20"/>
          <w:szCs w:val="20"/>
          <w:color w:val="auto"/>
        </w:rPr>
      </w:pPr>
      <w:r>
        <w:rPr>
          <w:rFonts w:ascii="Arial" w:cs="Arial" w:eastAsia="Arial" w:hAnsi="Arial"/>
          <w:sz w:val="13"/>
          <w:szCs w:val="13"/>
          <w:color w:val="auto"/>
        </w:rPr>
        <w:t>systems; and Forney, a global supplier of products and systems that control and monitor combustion processes in electric utility and industrial applications.</w:t>
      </w:r>
    </w:p>
    <w:p>
      <w:pPr>
        <w:spacing w:after="0" w:line="113"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Manufacturing revenues decreased 5% and 3% in the second quarter and first six months of 2023, respectively. The revenue decline in the second quarter of 2023 is due primarily to lower revenues at Hoover and Dekko, partially offset by increased revenues at Forney. The revenue decline in the first six months of 2023 is due primarily to lower revenues at Hoover and Dekko,</w:t>
      </w:r>
    </w:p>
    <w:p>
      <w:pPr>
        <w:spacing w:after="0"/>
        <w:rPr>
          <w:sz w:val="20"/>
          <w:szCs w:val="20"/>
          <w:color w:val="auto"/>
        </w:rPr>
      </w:pPr>
      <w:r>
        <w:rPr>
          <w:rFonts w:ascii="Arial" w:cs="Arial" w:eastAsia="Arial" w:hAnsi="Arial"/>
          <w:sz w:val="13"/>
          <w:szCs w:val="13"/>
          <w:color w:val="auto"/>
        </w:rPr>
        <w:t>partially offset by increased revenues at Joyce. Revenues declined at Hoover due largely to lower wood prices, partially offset by increased product demand. Revenues declined at Dekko</w:t>
      </w:r>
    </w:p>
    <w:p>
      <w:pPr>
        <w:spacing w:after="0" w:line="2"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color w:val="auto"/>
        </w:rPr>
        <w:t>due largely to lower product demand, particularly in the commercial office electrical products sector. Overall, Hoover results included wood gains on inventory sales in the first half of 2023 and 2022, with gains in the first half of 2023 lower than the prior year. For the second quarter of 2023, Hoover results included wood gains on inventory sales, compared with wood losses on</w:t>
      </w:r>
    </w:p>
    <w:p>
      <w:pPr>
        <w:ind w:right="60"/>
        <w:spacing w:after="0" w:line="247" w:lineRule="auto"/>
        <w:rPr>
          <w:sz w:val="20"/>
          <w:szCs w:val="20"/>
          <w:color w:val="auto"/>
        </w:rPr>
      </w:pPr>
      <w:r>
        <w:rPr>
          <w:rFonts w:ascii="Arial" w:cs="Arial" w:eastAsia="Arial" w:hAnsi="Arial"/>
          <w:sz w:val="13"/>
          <w:szCs w:val="13"/>
          <w:color w:val="auto"/>
        </w:rPr>
        <w:t>inventory sales in the second quarter of 2022. Manufacturing operating results increased in the second quarter of 2023, due primarily to improvements at Hoover, partially offset by a decline at Dekko. Manufacturing results increased for the first six months of 2023, due primarily to improvements at Hoover and Joyce, partially offset by declines at Dekko.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i w:val="1"/>
          <w:iCs w:val="1"/>
          <w:color w:val="auto"/>
        </w:rPr>
        <w:t>Healthcare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A summary of healthcare’s operating results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left="103"/>
              <w:spacing w:after="0"/>
              <w:rPr>
                <w:sz w:val="20"/>
                <w:szCs w:val="20"/>
                <w:color w:val="auto"/>
              </w:rPr>
            </w:pPr>
            <w:r>
              <w:rPr>
                <w:rFonts w:ascii="Arial" w:cs="Arial" w:eastAsia="Arial" w:hAnsi="Arial"/>
                <w:sz w:val="11"/>
                <w:szCs w:val="11"/>
                <w:b w:val="1"/>
                <w:bCs w:val="1"/>
                <w:color w:val="auto"/>
                <w:w w:val="97"/>
              </w:rPr>
              <w:t>Three Months Ended</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left="363"/>
              <w:spacing w:after="0"/>
              <w:rPr>
                <w:sz w:val="20"/>
                <w:szCs w:val="20"/>
                <w:color w:val="auto"/>
              </w:rPr>
            </w:pPr>
            <w:r>
              <w:rPr>
                <w:rFonts w:ascii="Arial" w:cs="Arial" w:eastAsia="Arial" w:hAnsi="Arial"/>
                <w:sz w:val="11"/>
                <w:szCs w:val="11"/>
                <w:b w:val="1"/>
                <w:bCs w:val="1"/>
                <w:color w:val="auto"/>
                <w:w w:val="98"/>
              </w:rPr>
              <w:t>Six Months Ended</w:t>
            </w: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7"/>
        </w:trPr>
        <w:tc>
          <w:tcPr>
            <w:tcW w:w="4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1"/>
                <w:szCs w:val="11"/>
                <w:b w:val="1"/>
                <w:bCs w:val="1"/>
                <w:color w:val="auto"/>
                <w:w w:val="97"/>
              </w:rPr>
              <w:t>June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1"/>
                <w:szCs w:val="11"/>
                <w:b w:val="1"/>
                <w:bCs w:val="1"/>
                <w:color w:val="auto"/>
                <w:w w:val="97"/>
              </w:rPr>
              <w:t>June 30</w:t>
            </w:r>
          </w:p>
        </w:tc>
        <w:tc>
          <w:tcPr>
            <w:tcW w:w="68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14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2022</w:t>
            </w: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1"/>
                <w:szCs w:val="11"/>
                <w:color w:val="auto"/>
              </w:rPr>
              <w:t>% Change</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color w:val="auto"/>
                <w:w w:val="97"/>
              </w:rPr>
              <w:t>2022</w:t>
            </w: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 Change</w:t>
            </w:r>
          </w:p>
        </w:tc>
      </w:tr>
      <w:tr>
        <w:trPr>
          <w:trHeight w:val="158"/>
        </w:trPr>
        <w:tc>
          <w:tcPr>
            <w:tcW w:w="4180" w:type="dxa"/>
            <w:vAlign w:val="bottom"/>
          </w:tcPr>
          <w:p>
            <w:pPr>
              <w:ind w:left="20"/>
              <w:spacing w:after="0"/>
              <w:rPr>
                <w:sz w:val="20"/>
                <w:szCs w:val="20"/>
                <w:color w:val="auto"/>
              </w:rPr>
            </w:pPr>
            <w:r>
              <w:rPr>
                <w:rFonts w:ascii="Arial" w:cs="Arial" w:eastAsia="Arial" w:hAnsi="Arial"/>
                <w:sz w:val="12"/>
                <w:szCs w:val="12"/>
                <w:color w:val="auto"/>
              </w:rPr>
              <w:t>Revenue</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113,282</w:t>
            </w:r>
          </w:p>
        </w:tc>
        <w:tc>
          <w:tcPr>
            <w:tcW w:w="760" w:type="dxa"/>
            <w:vAlign w:val="bottom"/>
          </w:tcPr>
          <w:p>
            <w:pPr>
              <w:jc w:val="right"/>
              <w:ind w:right="543"/>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76,385</w:t>
            </w:r>
          </w:p>
        </w:tc>
        <w:tc>
          <w:tcPr>
            <w:tcW w:w="960" w:type="dxa"/>
            <w:vAlign w:val="bottom"/>
          </w:tcPr>
          <w:p>
            <w:pPr>
              <w:spacing w:after="0"/>
              <w:rPr>
                <w:sz w:val="13"/>
                <w:szCs w:val="13"/>
                <w:color w:val="auto"/>
              </w:rPr>
            </w:pPr>
          </w:p>
        </w:tc>
        <w:tc>
          <w:tcPr>
            <w:tcW w:w="340" w:type="dxa"/>
            <w:vAlign w:val="bottom"/>
          </w:tcPr>
          <w:p>
            <w:pPr>
              <w:jc w:val="right"/>
              <w:ind w:right="99"/>
              <w:spacing w:after="0"/>
              <w:rPr>
                <w:sz w:val="20"/>
                <w:szCs w:val="20"/>
                <w:color w:val="auto"/>
              </w:rPr>
            </w:pPr>
            <w:r>
              <w:rPr>
                <w:rFonts w:ascii="Arial" w:cs="Arial" w:eastAsia="Arial" w:hAnsi="Arial"/>
                <w:sz w:val="12"/>
                <w:szCs w:val="12"/>
                <w:color w:val="auto"/>
              </w:rPr>
              <w:t>48</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2"/>
                <w:szCs w:val="12"/>
                <w:b w:val="1"/>
                <w:bCs w:val="1"/>
                <w:color w:val="auto"/>
              </w:rPr>
              <w:t>215,341</w:t>
            </w:r>
          </w:p>
        </w:tc>
        <w:tc>
          <w:tcPr>
            <w:tcW w:w="480" w:type="dxa"/>
            <w:vAlign w:val="bottom"/>
          </w:tcPr>
          <w:p>
            <w:pPr>
              <w:jc w:val="right"/>
              <w:ind w:right="279"/>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143,640</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50</w:t>
            </w:r>
          </w:p>
        </w:tc>
      </w:tr>
      <w:tr>
        <w:trPr>
          <w:trHeight w:val="179"/>
        </w:trPr>
        <w:tc>
          <w:tcPr>
            <w:tcW w:w="4180" w:type="dxa"/>
            <w:vAlign w:val="bottom"/>
          </w:tcPr>
          <w:p>
            <w:pPr>
              <w:ind w:left="20"/>
              <w:spacing w:after="0"/>
              <w:rPr>
                <w:sz w:val="20"/>
                <w:szCs w:val="20"/>
                <w:color w:val="auto"/>
              </w:rPr>
            </w:pPr>
            <w:r>
              <w:rPr>
                <w:rFonts w:ascii="Arial" w:cs="Arial" w:eastAsia="Arial" w:hAnsi="Arial"/>
                <w:sz w:val="12"/>
                <w:szCs w:val="12"/>
                <w:color w:val="auto"/>
              </w:rPr>
              <w:t>Operating Income</w:t>
            </w:r>
          </w:p>
        </w:tc>
        <w:tc>
          <w:tcPr>
            <w:tcW w:w="260" w:type="dxa"/>
            <w:vAlign w:val="bottom"/>
          </w:tcPr>
          <w:p>
            <w:pPr>
              <w:spacing w:after="0"/>
              <w:rPr>
                <w:sz w:val="15"/>
                <w:szCs w:val="15"/>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8,377</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6,262</w:t>
            </w:r>
          </w:p>
        </w:tc>
        <w:tc>
          <w:tcPr>
            <w:tcW w:w="960" w:type="dxa"/>
            <w:vAlign w:val="bottom"/>
          </w:tcPr>
          <w:p>
            <w:pPr>
              <w:spacing w:after="0"/>
              <w:rPr>
                <w:sz w:val="15"/>
                <w:szCs w:val="15"/>
                <w:color w:val="auto"/>
              </w:rPr>
            </w:pPr>
          </w:p>
        </w:tc>
        <w:tc>
          <w:tcPr>
            <w:tcW w:w="340" w:type="dxa"/>
            <w:vAlign w:val="bottom"/>
          </w:tcPr>
          <w:p>
            <w:pPr>
              <w:jc w:val="right"/>
              <w:ind w:right="99"/>
              <w:spacing w:after="0"/>
              <w:rPr>
                <w:sz w:val="20"/>
                <w:szCs w:val="20"/>
                <w:color w:val="auto"/>
              </w:rPr>
            </w:pPr>
            <w:r>
              <w:rPr>
                <w:rFonts w:ascii="Arial" w:cs="Arial" w:eastAsia="Arial" w:hAnsi="Arial"/>
                <w:sz w:val="12"/>
                <w:szCs w:val="12"/>
                <w:color w:val="auto"/>
              </w:rPr>
              <w:t>34</w:t>
            </w:r>
          </w:p>
        </w:tc>
        <w:tc>
          <w:tcPr>
            <w:tcW w:w="260" w:type="dxa"/>
            <w:vAlign w:val="bottom"/>
          </w:tcPr>
          <w:p>
            <w:pPr>
              <w:spacing w:after="0"/>
              <w:rPr>
                <w:sz w:val="15"/>
                <w:szCs w:val="15"/>
                <w:color w:val="auto"/>
              </w:rPr>
            </w:pPr>
          </w:p>
        </w:tc>
        <w:tc>
          <w:tcPr>
            <w:tcW w:w="880" w:type="dxa"/>
            <w:vAlign w:val="bottom"/>
          </w:tcPr>
          <w:p>
            <w:pPr>
              <w:jc w:val="right"/>
              <w:ind w:right="43"/>
              <w:spacing w:after="0"/>
              <w:rPr>
                <w:sz w:val="20"/>
                <w:szCs w:val="20"/>
                <w:color w:val="auto"/>
              </w:rPr>
            </w:pPr>
            <w:r>
              <w:rPr>
                <w:rFonts w:ascii="Arial" w:cs="Arial" w:eastAsia="Arial" w:hAnsi="Arial"/>
                <w:sz w:val="12"/>
                <w:szCs w:val="12"/>
                <w:b w:val="1"/>
                <w:bCs w:val="1"/>
                <w:color w:val="auto"/>
              </w:rPr>
              <w:t>11,313</w:t>
            </w: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12,621</w:t>
            </w:r>
          </w:p>
        </w:tc>
        <w:tc>
          <w:tcPr>
            <w:tcW w:w="1200" w:type="dxa"/>
            <w:vAlign w:val="bottom"/>
          </w:tcPr>
          <w:p>
            <w:pPr>
              <w:jc w:val="right"/>
              <w:spacing w:after="0"/>
              <w:rPr>
                <w:sz w:val="20"/>
                <w:szCs w:val="20"/>
                <w:color w:val="auto"/>
              </w:rPr>
            </w:pPr>
            <w:r>
              <w:rPr>
                <w:rFonts w:ascii="Arial" w:cs="Arial" w:eastAsia="Arial" w:hAnsi="Arial"/>
                <w:sz w:val="12"/>
                <w:szCs w:val="12"/>
                <w:color w:val="auto"/>
              </w:rPr>
              <w:t>(10)</w:t>
            </w:r>
          </w:p>
        </w:tc>
      </w:tr>
    </w:tbl>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Graham Healthcare Group (GHG) provides home health and hospice services in seven states. GHG also provides other healthcare services, including nursing care and prescription services for patients receiving in-home infusion treatments through its 76.5% interest in CSI Pharmacy Holdings Company, LLC (CSI). In May 2022, GHG acquired two small businesses, one of which</w:t>
      </w:r>
    </w:p>
    <w:p>
      <w:pPr>
        <w:ind w:right="120"/>
        <w:spacing w:after="0" w:line="235" w:lineRule="auto"/>
        <w:rPr>
          <w:sz w:val="20"/>
          <w:szCs w:val="20"/>
          <w:color w:val="auto"/>
        </w:rPr>
      </w:pPr>
      <w:r>
        <w:rPr>
          <w:rFonts w:ascii="Arial" w:cs="Arial" w:eastAsia="Arial" w:hAnsi="Arial"/>
          <w:sz w:val="13"/>
          <w:szCs w:val="13"/>
          <w:color w:val="auto"/>
        </w:rPr>
        <w:t>expanded GHG’s home health operations into Kansas and Missouri. In July 2022, GHG acquired a 100% interest in a multi-state provider of Applied Behavior Analysis clinics and in August 2022, GHG acquired two small businesses, which expanded GHG’s hospice services into Missouri and Ohio. Healthcare revenues increased 48% and 50% for the second quarter and first</w:t>
      </w:r>
    </w:p>
    <w:p>
      <w:pPr>
        <w:spacing w:after="0"/>
        <w:rPr>
          <w:sz w:val="20"/>
          <w:szCs w:val="20"/>
          <w:color w:val="auto"/>
        </w:rPr>
      </w:pPr>
      <w:r>
        <w:rPr>
          <w:rFonts w:ascii="Arial" w:cs="Arial" w:eastAsia="Arial" w:hAnsi="Arial"/>
          <w:sz w:val="13"/>
          <w:szCs w:val="13"/>
          <w:color w:val="auto"/>
        </w:rPr>
        <w:t>six months of 2023, respectively, largely due to significant growth at CSI and from businesses acquired in 2022, along with growth in home health and hospice services.</w:t>
      </w:r>
    </w:p>
    <w:p>
      <w:pPr>
        <w:spacing w:after="0" w:line="113"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In 2022, GHG implemented a new pension credit retention program in order to improve employee retention and utilize the Company’s surplus pension assets. The GHG pilot program offers a pension credit up to $50,000 per employee, cliff vested after three years of continuous employment for certain existing employees and new employees hired from January 1, 2022 through</w:t>
      </w:r>
    </w:p>
    <w:p>
      <w:pPr>
        <w:spacing w:after="0"/>
        <w:rPr>
          <w:sz w:val="20"/>
          <w:szCs w:val="20"/>
          <w:color w:val="auto"/>
        </w:rPr>
      </w:pPr>
      <w:r>
        <w:rPr>
          <w:rFonts w:ascii="Arial" w:cs="Arial" w:eastAsia="Arial" w:hAnsi="Arial"/>
          <w:sz w:val="13"/>
          <w:szCs w:val="13"/>
          <w:color w:val="auto"/>
        </w:rPr>
        <w:t>December 31, 2024. GHG recorded pension expense of $2.5 million and $6.7 million related to this program in the second quarter and first six months of 2023, respectively.</w:t>
      </w:r>
    </w:p>
    <w:p>
      <w:pPr>
        <w:spacing w:after="0" w:line="113" w:lineRule="exact"/>
        <w:rPr>
          <w:sz w:val="20"/>
          <w:szCs w:val="20"/>
          <w:color w:val="auto"/>
        </w:rPr>
      </w:pPr>
    </w:p>
    <w:p>
      <w:pPr>
        <w:ind w:right="220"/>
        <w:spacing w:after="0" w:line="243" w:lineRule="auto"/>
        <w:rPr>
          <w:sz w:val="20"/>
          <w:szCs w:val="20"/>
          <w:color w:val="auto"/>
        </w:rPr>
      </w:pPr>
      <w:r>
        <w:rPr>
          <w:rFonts w:ascii="Arial" w:cs="Arial" w:eastAsia="Arial" w:hAnsi="Arial"/>
          <w:sz w:val="13"/>
          <w:szCs w:val="13"/>
          <w:color w:val="auto"/>
        </w:rPr>
        <w:t>The increase in GHG operating results in the second quarter of 2023 is due to improved results at CSI and in home health and hospice, partially offset by an increase in pension expense related to the new GHG pension credit retention program. The decline in GHG operating results in the first six months of 2023 is due to an increase in pension expense related to the new</w:t>
      </w:r>
    </w:p>
    <w:p>
      <w:pPr>
        <w:ind w:right="660"/>
        <w:spacing w:after="0" w:line="263" w:lineRule="auto"/>
        <w:rPr>
          <w:sz w:val="20"/>
          <w:szCs w:val="20"/>
          <w:color w:val="auto"/>
        </w:rPr>
      </w:pPr>
      <w:r>
        <w:rPr>
          <w:rFonts w:ascii="Arial" w:cs="Arial" w:eastAsia="Arial" w:hAnsi="Arial"/>
          <w:sz w:val="13"/>
          <w:szCs w:val="13"/>
          <w:color w:val="auto"/>
        </w:rPr>
        <w:t>GHG pension credit retention program, partially offset by improved results at CSI and in home health and hospice. Excluding pension expense and net losses from newly acquired businesses, GHG operating results increased in the first six months of 2023 due to improved results at CSI and in home health and hospice.</w:t>
      </w:r>
    </w:p>
    <w:p>
      <w:pPr>
        <w:spacing w:after="0" w:line="77"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 $2.3 million and $1.7 million for the second quarter of 2023 and 2022, respectively, from</w:t>
      </w:r>
    </w:p>
    <w:p>
      <w:pPr>
        <w:ind w:right="80"/>
        <w:spacing w:after="0" w:line="235" w:lineRule="auto"/>
        <w:rPr>
          <w:sz w:val="20"/>
          <w:szCs w:val="20"/>
          <w:color w:val="auto"/>
        </w:rPr>
      </w:pPr>
      <w:r>
        <w:rPr>
          <w:rFonts w:ascii="Arial" w:cs="Arial" w:eastAsia="Arial" w:hAnsi="Arial"/>
          <w:sz w:val="13"/>
          <w:szCs w:val="13"/>
          <w:color w:val="auto"/>
        </w:rPr>
        <w:t>these joint ventures. The Company recorded equity in earnings of $5.0 million and $3.6 million for the first six months of 2023 and 2022, respectively. During the first quarter of 2022, GHG, through its Residential Home Health Illinois and Residential Hospice Illinois affiliates, acquired an interest in the home health and hospice assets of NorthShore University HealthSystem, an</w:t>
      </w:r>
    </w:p>
    <w:p>
      <w:pPr>
        <w:ind w:right="260"/>
        <w:spacing w:after="0" w:line="263" w:lineRule="auto"/>
        <w:rPr>
          <w:sz w:val="20"/>
          <w:szCs w:val="20"/>
          <w:color w:val="auto"/>
        </w:rPr>
      </w:pPr>
      <w:r>
        <w:rPr>
          <w:rFonts w:ascii="Arial" w:cs="Arial" w:eastAsia="Arial" w:hAnsi="Arial"/>
          <w:sz w:val="13"/>
          <w:szCs w:val="13"/>
          <w:color w:val="auto"/>
        </w:rPr>
        <w:t>integrated healthcare delivery system serving patients throughout the Chicago, IL area. The transaction resulted in a decrease to GHG’s interest in Residential Hospice Illinois and a $0.6 million non-operating gain was recorded in the first quarter of 2022 related to the change in interest.</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Automotive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A summary of automotive’s operating results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tcPr>
          <w:p>
            <w:pPr>
              <w:jc w:val="center"/>
              <w:ind w:right="202"/>
              <w:spacing w:after="0"/>
              <w:rPr>
                <w:sz w:val="20"/>
                <w:szCs w:val="20"/>
                <w:color w:val="auto"/>
              </w:rPr>
            </w:pPr>
            <w:r>
              <w:rPr>
                <w:rFonts w:ascii="Arial" w:cs="Arial" w:eastAsia="Arial" w:hAnsi="Arial"/>
                <w:sz w:val="11"/>
                <w:szCs w:val="11"/>
                <w:b w:val="1"/>
                <w:bCs w:val="1"/>
                <w:color w:val="auto"/>
                <w:w w:val="97"/>
              </w:rPr>
              <w:t>Three Months Ended</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left="363"/>
              <w:spacing w:after="0"/>
              <w:rPr>
                <w:sz w:val="20"/>
                <w:szCs w:val="20"/>
                <w:color w:val="auto"/>
              </w:rPr>
            </w:pPr>
            <w:r>
              <w:rPr>
                <w:rFonts w:ascii="Arial" w:cs="Arial" w:eastAsia="Arial" w:hAnsi="Arial"/>
                <w:sz w:val="11"/>
                <w:szCs w:val="11"/>
                <w:b w:val="1"/>
                <w:bCs w:val="1"/>
                <w:color w:val="auto"/>
                <w:w w:val="98"/>
              </w:rPr>
              <w:t>Six Months Ended</w:t>
            </w: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7"/>
        </w:trPr>
        <w:tc>
          <w:tcPr>
            <w:tcW w:w="4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483"/>
              <w:spacing w:after="0"/>
              <w:rPr>
                <w:sz w:val="20"/>
                <w:szCs w:val="20"/>
                <w:color w:val="auto"/>
              </w:rPr>
            </w:pPr>
            <w:r>
              <w:rPr>
                <w:rFonts w:ascii="Arial" w:cs="Arial" w:eastAsia="Arial" w:hAnsi="Arial"/>
                <w:sz w:val="11"/>
                <w:szCs w:val="11"/>
                <w:b w:val="1"/>
                <w:bCs w:val="1"/>
                <w:color w:val="auto"/>
                <w:w w:val="97"/>
              </w:rPr>
              <w:t>June 30</w:t>
            </w:r>
          </w:p>
        </w:tc>
        <w:tc>
          <w:tcPr>
            <w:tcW w:w="820" w:type="dxa"/>
            <w:vAlign w:val="bottom"/>
            <w:tcBorders>
              <w:bottom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1"/>
                <w:szCs w:val="11"/>
                <w:b w:val="1"/>
                <w:bCs w:val="1"/>
                <w:color w:val="auto"/>
                <w:w w:val="97"/>
              </w:rPr>
              <w:t>June 30</w:t>
            </w:r>
          </w:p>
        </w:tc>
        <w:tc>
          <w:tcPr>
            <w:tcW w:w="68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r>
      <w:tr>
        <w:trPr>
          <w:trHeight w:val="152"/>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color w:val="auto"/>
              </w:rPr>
              <w:t>2022</w:t>
            </w:r>
          </w:p>
        </w:tc>
        <w:tc>
          <w:tcPr>
            <w:tcW w:w="130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color w:val="auto"/>
              </w:rPr>
              <w:t>% Change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color w:val="auto"/>
                <w:w w:val="97"/>
              </w:rPr>
              <w:t>2022</w:t>
            </w: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 Change</w:t>
            </w:r>
          </w:p>
        </w:tc>
      </w:tr>
      <w:tr>
        <w:trPr>
          <w:trHeight w:val="163"/>
        </w:trPr>
        <w:tc>
          <w:tcPr>
            <w:tcW w:w="4180" w:type="dxa"/>
            <w:vAlign w:val="bottom"/>
          </w:tcPr>
          <w:p>
            <w:pPr>
              <w:ind w:left="20"/>
              <w:spacing w:after="0"/>
              <w:rPr>
                <w:sz w:val="20"/>
                <w:szCs w:val="20"/>
                <w:color w:val="auto"/>
              </w:rPr>
            </w:pPr>
            <w:r>
              <w:rPr>
                <w:rFonts w:ascii="Arial" w:cs="Arial" w:eastAsia="Arial" w:hAnsi="Arial"/>
                <w:sz w:val="12"/>
                <w:szCs w:val="12"/>
                <w:color w:val="auto"/>
              </w:rPr>
              <w:t>Revenue</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260,672</w:t>
            </w:r>
          </w:p>
        </w:tc>
        <w:tc>
          <w:tcPr>
            <w:tcW w:w="36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147,602</w:t>
            </w:r>
          </w:p>
        </w:tc>
        <w:tc>
          <w:tcPr>
            <w:tcW w:w="1300" w:type="dxa"/>
            <w:vAlign w:val="bottom"/>
          </w:tcPr>
          <w:p>
            <w:pPr>
              <w:jc w:val="right"/>
              <w:ind w:right="102"/>
              <w:spacing w:after="0"/>
              <w:rPr>
                <w:sz w:val="20"/>
                <w:szCs w:val="20"/>
                <w:color w:val="auto"/>
              </w:rPr>
            </w:pPr>
            <w:r>
              <w:rPr>
                <w:rFonts w:ascii="Arial" w:cs="Arial" w:eastAsia="Arial" w:hAnsi="Arial"/>
                <w:sz w:val="12"/>
                <w:szCs w:val="12"/>
                <w:color w:val="auto"/>
              </w:rPr>
              <w:t>77</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2"/>
                <w:szCs w:val="12"/>
                <w:b w:val="1"/>
                <w:bCs w:val="1"/>
                <w:color w:val="auto"/>
              </w:rPr>
              <w:t>493,233</w:t>
            </w:r>
          </w:p>
        </w:tc>
        <w:tc>
          <w:tcPr>
            <w:tcW w:w="480" w:type="dxa"/>
            <w:vAlign w:val="bottom"/>
          </w:tcPr>
          <w:p>
            <w:pPr>
              <w:jc w:val="right"/>
              <w:ind w:right="279"/>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298,569</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65</w:t>
            </w:r>
          </w:p>
        </w:tc>
      </w:tr>
      <w:tr>
        <w:trPr>
          <w:trHeight w:val="169"/>
        </w:trPr>
        <w:tc>
          <w:tcPr>
            <w:tcW w:w="4180" w:type="dxa"/>
            <w:vAlign w:val="bottom"/>
          </w:tcPr>
          <w:p>
            <w:pPr>
              <w:ind w:left="20"/>
              <w:spacing w:after="0"/>
              <w:rPr>
                <w:sz w:val="20"/>
                <w:szCs w:val="20"/>
                <w:color w:val="auto"/>
              </w:rPr>
            </w:pPr>
            <w:r>
              <w:rPr>
                <w:rFonts w:ascii="Arial" w:cs="Arial" w:eastAsia="Arial" w:hAnsi="Arial"/>
                <w:sz w:val="12"/>
                <w:szCs w:val="12"/>
                <w:color w:val="auto"/>
              </w:rPr>
              <w:t>Operating Income</w:t>
            </w:r>
          </w:p>
        </w:tc>
        <w:tc>
          <w:tcPr>
            <w:tcW w:w="260" w:type="dxa"/>
            <w:vAlign w:val="bottom"/>
          </w:tcPr>
          <w:p>
            <w:pPr>
              <w:spacing w:after="0"/>
              <w:rPr>
                <w:sz w:val="14"/>
                <w:szCs w:val="14"/>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b w:val="1"/>
                <w:bCs w:val="1"/>
                <w:color w:val="auto"/>
              </w:rPr>
              <w:t>9,460</w:t>
            </w:r>
          </w:p>
        </w:tc>
        <w:tc>
          <w:tcPr>
            <w:tcW w:w="360" w:type="dxa"/>
            <w:vAlign w:val="bottom"/>
          </w:tcPr>
          <w:p>
            <w:pPr>
              <w:spacing w:after="0"/>
              <w:rPr>
                <w:sz w:val="14"/>
                <w:szCs w:val="14"/>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7,365</w:t>
            </w:r>
          </w:p>
        </w:tc>
        <w:tc>
          <w:tcPr>
            <w:tcW w:w="1300" w:type="dxa"/>
            <w:vAlign w:val="bottom"/>
          </w:tcPr>
          <w:p>
            <w:pPr>
              <w:jc w:val="right"/>
              <w:ind w:right="102"/>
              <w:spacing w:after="0"/>
              <w:rPr>
                <w:sz w:val="20"/>
                <w:szCs w:val="20"/>
                <w:color w:val="auto"/>
              </w:rPr>
            </w:pPr>
            <w:r>
              <w:rPr>
                <w:rFonts w:ascii="Arial" w:cs="Arial" w:eastAsia="Arial" w:hAnsi="Arial"/>
                <w:sz w:val="12"/>
                <w:szCs w:val="12"/>
                <w:color w:val="auto"/>
              </w:rPr>
              <w:t>28</w:t>
            </w:r>
          </w:p>
        </w:tc>
        <w:tc>
          <w:tcPr>
            <w:tcW w:w="260" w:type="dxa"/>
            <w:vAlign w:val="bottom"/>
          </w:tcPr>
          <w:p>
            <w:pPr>
              <w:spacing w:after="0"/>
              <w:rPr>
                <w:sz w:val="14"/>
                <w:szCs w:val="14"/>
                <w:color w:val="auto"/>
              </w:rPr>
            </w:pPr>
          </w:p>
        </w:tc>
        <w:tc>
          <w:tcPr>
            <w:tcW w:w="880" w:type="dxa"/>
            <w:vAlign w:val="bottom"/>
          </w:tcPr>
          <w:p>
            <w:pPr>
              <w:jc w:val="right"/>
              <w:ind w:right="43"/>
              <w:spacing w:after="0"/>
              <w:rPr>
                <w:sz w:val="20"/>
                <w:szCs w:val="20"/>
                <w:color w:val="auto"/>
              </w:rPr>
            </w:pPr>
            <w:r>
              <w:rPr>
                <w:rFonts w:ascii="Arial" w:cs="Arial" w:eastAsia="Arial" w:hAnsi="Arial"/>
                <w:sz w:val="12"/>
                <w:szCs w:val="12"/>
                <w:b w:val="1"/>
                <w:bCs w:val="1"/>
                <w:color w:val="auto"/>
              </w:rPr>
              <w:t>20,303</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14,443</w:t>
            </w: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41</w:t>
            </w:r>
          </w:p>
        </w:tc>
      </w:tr>
    </w:tbl>
    <w:p>
      <w:pPr>
        <w:spacing w:after="0" w:line="178" w:lineRule="exact"/>
        <w:rPr>
          <w:sz w:val="20"/>
          <w:szCs w:val="20"/>
          <w:color w:val="auto"/>
        </w:rPr>
      </w:pPr>
    </w:p>
    <w:p>
      <w:pPr>
        <w:jc w:val="both"/>
        <w:ind w:right="60"/>
        <w:spacing w:after="0" w:line="243" w:lineRule="auto"/>
        <w:rPr>
          <w:sz w:val="20"/>
          <w:szCs w:val="20"/>
          <w:color w:val="auto"/>
        </w:rPr>
      </w:pPr>
      <w:r>
        <w:rPr>
          <w:rFonts w:ascii="Arial" w:cs="Arial" w:eastAsia="Arial" w:hAnsi="Arial"/>
          <w:sz w:val="13"/>
          <w:szCs w:val="13"/>
          <w:color w:val="auto"/>
        </w:rPr>
        <w:t>Automotive includes six automotive dealerships in the Washington, D.C. metropolitan area: Ourisman Lexus of Rockville, Ourisman Honda of Tysons Corner, Ourisman Jeep Bethesda, Ourisman Ford of Manassas, and Toyota of Woodbridge and Ourisman Chrysler-Dodge-Jeep-Ram (CDJR) of Woodbridge, which were acquired on July 5, 2022 from the Lustine Automotive</w:t>
      </w:r>
    </w:p>
    <w:p>
      <w:pPr>
        <w:ind w:right="480"/>
        <w:spacing w:after="0" w:line="263" w:lineRule="auto"/>
        <w:rPr>
          <w:sz w:val="20"/>
          <w:szCs w:val="20"/>
          <w:color w:val="auto"/>
        </w:rPr>
      </w:pPr>
      <w:r>
        <w:rPr>
          <w:rFonts w:ascii="Arial" w:cs="Arial" w:eastAsia="Arial" w:hAnsi="Arial"/>
          <w:sz w:val="13"/>
          <w:szCs w:val="13"/>
          <w:color w:val="auto"/>
        </w:rPr>
        <w:t>Group. Christopher J. Ourisman, a member of the Ourisman Automotive Group family of dealerships, and his team of industry professionals operate and manage the dealerships; the Company holds a 90% stake.</w:t>
      </w:r>
    </w:p>
    <w:p>
      <w:pPr>
        <w:spacing w:after="0" w:line="77" w:lineRule="exact"/>
        <w:rPr>
          <w:sz w:val="20"/>
          <w:szCs w:val="20"/>
          <w:color w:val="auto"/>
        </w:rPr>
      </w:pPr>
    </w:p>
    <w:p>
      <w:pPr>
        <w:ind w:right="240"/>
        <w:spacing w:after="0" w:line="279" w:lineRule="auto"/>
        <w:rPr>
          <w:sz w:val="20"/>
          <w:szCs w:val="20"/>
          <w:color w:val="auto"/>
        </w:rPr>
      </w:pPr>
      <w:r>
        <w:rPr>
          <w:rFonts w:ascii="Arial" w:cs="Arial" w:eastAsia="Arial" w:hAnsi="Arial"/>
          <w:sz w:val="13"/>
          <w:szCs w:val="13"/>
          <w:color w:val="auto"/>
        </w:rPr>
        <w:t>Revenues for the second quarter and first six months of 2023 increased significantly due to the acquisitions of the Toyota and CDJR dealerships and sales growth at the Ford, Honda and Lexus dealerships, partially offset by lower revenue at the Jeep dealership due to a decline in new vehicle sales. Additionally, all of the dealerships reported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sales growth for services and parts. Operating results for the second quarter and first six months of 2023 improved due largely to the Toyota and CDJR acquisitions, and improved results at</w:t>
      </w:r>
    </w:p>
    <w:p>
      <w:pPr>
        <w:spacing w:after="0" w:line="12"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the Lexus and Honda dealerships, partially offset by declines at the Jeep dealership due primarily to declines in new vehicle sales and related margins, and declines at the Ford dealership in margins on new vehicle sales.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A summary of revenue by category for other businesses: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3"/>
          </w:tcPr>
          <w:p>
            <w:pPr>
              <w:jc w:val="right"/>
              <w:ind w:right="561"/>
              <w:spacing w:after="0"/>
              <w:rPr>
                <w:sz w:val="20"/>
                <w:szCs w:val="20"/>
                <w:color w:val="auto"/>
              </w:rPr>
            </w:pPr>
            <w:r>
              <w:rPr>
                <w:rFonts w:ascii="Arial" w:cs="Arial" w:eastAsia="Arial" w:hAnsi="Arial"/>
                <w:sz w:val="11"/>
                <w:szCs w:val="11"/>
                <w:b w:val="1"/>
                <w:bCs w:val="1"/>
                <w:color w:val="auto"/>
              </w:rPr>
              <w:t>Three Months Ended</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w:t>
            </w: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8"/>
        </w:trPr>
        <w:tc>
          <w:tcPr>
            <w:tcW w:w="4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1"/>
                <w:szCs w:val="11"/>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960" w:type="dxa"/>
            <w:vAlign w:val="bottom"/>
          </w:tcPr>
          <w:p>
            <w:pPr>
              <w:jc w:val="right"/>
              <w:ind w:right="382"/>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880" w:type="dxa"/>
            <w:vAlign w:val="bottom"/>
          </w:tcPr>
          <w:p>
            <w:pPr>
              <w:jc w:val="right"/>
              <w:ind w:right="282"/>
              <w:spacing w:after="0"/>
              <w:rPr>
                <w:sz w:val="20"/>
                <w:szCs w:val="20"/>
                <w:color w:val="auto"/>
              </w:rPr>
            </w:pPr>
            <w:r>
              <w:rPr>
                <w:rFonts w:ascii="Arial" w:cs="Arial" w:eastAsia="Arial" w:hAnsi="Arial"/>
                <w:sz w:val="11"/>
                <w:szCs w:val="11"/>
                <w:color w:val="auto"/>
              </w:rPr>
              <w:t>%</w:t>
            </w:r>
          </w:p>
        </w:tc>
      </w:tr>
      <w:tr>
        <w:trPr>
          <w:trHeight w:val="14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color w:val="auto"/>
              </w:rPr>
              <w:t>2022</w:t>
            </w: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color w:val="auto"/>
              </w:rPr>
              <w:t>Change</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1"/>
                <w:szCs w:val="11"/>
                <w:color w:val="auto"/>
                <w:w w:val="89"/>
              </w:rPr>
              <w:t>2022</w:t>
            </w:r>
          </w:p>
        </w:tc>
        <w:tc>
          <w:tcPr>
            <w:tcW w:w="880" w:type="dxa"/>
            <w:vAlign w:val="bottom"/>
            <w:tcBorders>
              <w:bottom w:val="single" w:sz="8" w:color="auto"/>
            </w:tcBorders>
          </w:tcPr>
          <w:p>
            <w:pPr>
              <w:jc w:val="center"/>
              <w:ind w:left="42"/>
              <w:spacing w:after="0"/>
              <w:rPr>
                <w:sz w:val="20"/>
                <w:szCs w:val="20"/>
                <w:color w:val="auto"/>
              </w:rPr>
            </w:pPr>
            <w:r>
              <w:rPr>
                <w:rFonts w:ascii="Arial" w:cs="Arial" w:eastAsia="Arial" w:hAnsi="Arial"/>
                <w:sz w:val="11"/>
                <w:szCs w:val="11"/>
                <w:color w:val="auto"/>
                <w:w w:val="98"/>
              </w:rPr>
              <w:t>Change</w:t>
            </w:r>
          </w:p>
        </w:tc>
      </w:tr>
      <w:tr>
        <w:trPr>
          <w:trHeight w:val="158"/>
        </w:trPr>
        <w:tc>
          <w:tcPr>
            <w:tcW w:w="4840" w:type="dxa"/>
            <w:vAlign w:val="bottom"/>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3"/>
        </w:trPr>
        <w:tc>
          <w:tcPr>
            <w:tcW w:w="4840" w:type="dxa"/>
            <w:vAlign w:val="bottom"/>
          </w:tcPr>
          <w:p>
            <w:pPr>
              <w:ind w:left="100"/>
              <w:spacing w:after="0"/>
              <w:rPr>
                <w:sz w:val="20"/>
                <w:szCs w:val="20"/>
                <w:color w:val="auto"/>
              </w:rPr>
            </w:pPr>
            <w:r>
              <w:rPr>
                <w:rFonts w:ascii="Arial" w:cs="Arial" w:eastAsia="Arial" w:hAnsi="Arial"/>
                <w:sz w:val="12"/>
                <w:szCs w:val="12"/>
                <w:color w:val="auto"/>
              </w:rPr>
              <w:t xml:space="preserve">Retail </w:t>
            </w:r>
            <w:r>
              <w:rPr>
                <w:rFonts w:ascii="Arial" w:cs="Arial" w:eastAsia="Arial" w:hAnsi="Arial"/>
                <w:sz w:val="15"/>
                <w:szCs w:val="15"/>
                <w:color w:val="auto"/>
                <w:vertAlign w:val="superscript"/>
              </w:rPr>
              <w:t>(1)</w:t>
            </w:r>
          </w:p>
        </w:tc>
        <w:tc>
          <w:tcPr>
            <w:tcW w:w="240" w:type="dxa"/>
            <w:vAlign w:val="bottom"/>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2"/>
                <w:szCs w:val="12"/>
                <w:b w:val="1"/>
                <w:bCs w:val="1"/>
                <w:color w:val="auto"/>
              </w:rPr>
              <w:t>29,373</w:t>
            </w:r>
          </w:p>
        </w:tc>
        <w:tc>
          <w:tcPr>
            <w:tcW w:w="36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40,157</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(27)</w:t>
            </w:r>
          </w:p>
        </w:tc>
        <w:tc>
          <w:tcPr>
            <w:tcW w:w="260" w:type="dxa"/>
            <w:vAlign w:val="bottom"/>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2"/>
                <w:szCs w:val="12"/>
                <w:b w:val="1"/>
                <w:bCs w:val="1"/>
                <w:color w:val="auto"/>
              </w:rPr>
              <w:t>61,770</w:t>
            </w:r>
          </w:p>
        </w:tc>
        <w:tc>
          <w:tcPr>
            <w:tcW w:w="5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83,246</w:t>
            </w:r>
          </w:p>
        </w:tc>
        <w:tc>
          <w:tcPr>
            <w:tcW w:w="880" w:type="dxa"/>
            <w:vAlign w:val="bottom"/>
          </w:tcPr>
          <w:p>
            <w:pPr>
              <w:jc w:val="center"/>
              <w:ind w:left="562"/>
              <w:spacing w:after="0"/>
              <w:rPr>
                <w:sz w:val="20"/>
                <w:szCs w:val="20"/>
                <w:color w:val="auto"/>
              </w:rPr>
            </w:pPr>
            <w:r>
              <w:rPr>
                <w:rFonts w:ascii="Arial" w:cs="Arial" w:eastAsia="Arial" w:hAnsi="Arial"/>
                <w:sz w:val="12"/>
                <w:szCs w:val="12"/>
                <w:color w:val="auto"/>
              </w:rPr>
              <w:t>(26)</w:t>
            </w:r>
          </w:p>
        </w:tc>
      </w:tr>
      <w:tr>
        <w:trPr>
          <w:trHeight w:val="172"/>
        </w:trPr>
        <w:tc>
          <w:tcPr>
            <w:tcW w:w="4840" w:type="dxa"/>
            <w:vAlign w:val="bottom"/>
          </w:tcPr>
          <w:p>
            <w:pPr>
              <w:ind w:left="100"/>
              <w:spacing w:after="0"/>
              <w:rPr>
                <w:sz w:val="20"/>
                <w:szCs w:val="20"/>
                <w:color w:val="auto"/>
              </w:rPr>
            </w:pPr>
            <w:r>
              <w:rPr>
                <w:rFonts w:ascii="Arial" w:cs="Arial" w:eastAsia="Arial" w:hAnsi="Arial"/>
                <w:sz w:val="12"/>
                <w:szCs w:val="12"/>
                <w:color w:val="auto"/>
              </w:rPr>
              <w:t xml:space="preserve">Media </w:t>
            </w:r>
            <w:r>
              <w:rPr>
                <w:rFonts w:ascii="Arial" w:cs="Arial" w:eastAsia="Arial" w:hAnsi="Arial"/>
                <w:sz w:val="15"/>
                <w:szCs w:val="15"/>
                <w:color w:val="auto"/>
                <w:vertAlign w:val="superscript"/>
              </w:rPr>
              <w:t>(2)</w:t>
            </w:r>
          </w:p>
        </w:tc>
        <w:tc>
          <w:tcPr>
            <w:tcW w:w="24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2"/>
                <w:szCs w:val="12"/>
                <w:b w:val="1"/>
                <w:bCs w:val="1"/>
                <w:color w:val="auto"/>
              </w:rPr>
              <w:t>25,283</w:t>
            </w:r>
          </w:p>
        </w:tc>
        <w:tc>
          <w:tcPr>
            <w:tcW w:w="360" w:type="dxa"/>
            <w:vAlign w:val="bottom"/>
          </w:tcPr>
          <w:p>
            <w:pPr>
              <w:spacing w:after="0"/>
              <w:rPr>
                <w:sz w:val="14"/>
                <w:szCs w:val="14"/>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33,252</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(24)</w:t>
            </w:r>
          </w:p>
        </w:tc>
        <w:tc>
          <w:tcPr>
            <w:tcW w:w="26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2"/>
                <w:szCs w:val="12"/>
                <w:b w:val="1"/>
                <w:bCs w:val="1"/>
                <w:color w:val="auto"/>
              </w:rPr>
              <w:t>50,686</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64,042</w:t>
            </w:r>
          </w:p>
        </w:tc>
        <w:tc>
          <w:tcPr>
            <w:tcW w:w="880" w:type="dxa"/>
            <w:vAlign w:val="bottom"/>
          </w:tcPr>
          <w:p>
            <w:pPr>
              <w:jc w:val="center"/>
              <w:ind w:left="562"/>
              <w:spacing w:after="0"/>
              <w:rPr>
                <w:sz w:val="20"/>
                <w:szCs w:val="20"/>
                <w:color w:val="auto"/>
              </w:rPr>
            </w:pPr>
            <w:r>
              <w:rPr>
                <w:rFonts w:ascii="Arial" w:cs="Arial" w:eastAsia="Arial" w:hAnsi="Arial"/>
                <w:sz w:val="12"/>
                <w:szCs w:val="12"/>
                <w:color w:val="auto"/>
              </w:rPr>
              <w:t>(21)</w:t>
            </w:r>
          </w:p>
        </w:tc>
      </w:tr>
      <w:tr>
        <w:trPr>
          <w:trHeight w:val="174"/>
        </w:trPr>
        <w:tc>
          <w:tcPr>
            <w:tcW w:w="4840" w:type="dxa"/>
            <w:vAlign w:val="bottom"/>
          </w:tcPr>
          <w:p>
            <w:pPr>
              <w:ind w:left="100"/>
              <w:spacing w:after="0"/>
              <w:rPr>
                <w:sz w:val="20"/>
                <w:szCs w:val="20"/>
                <w:color w:val="auto"/>
              </w:rPr>
            </w:pPr>
            <w:r>
              <w:rPr>
                <w:rFonts w:ascii="Arial" w:cs="Arial" w:eastAsia="Arial" w:hAnsi="Arial"/>
                <w:sz w:val="12"/>
                <w:szCs w:val="12"/>
                <w:color w:val="auto"/>
              </w:rPr>
              <w:t xml:space="preserve">Specialty </w:t>
            </w:r>
            <w:r>
              <w:rPr>
                <w:rFonts w:ascii="Arial" w:cs="Arial" w:eastAsia="Arial" w:hAnsi="Arial"/>
                <w:sz w:val="15"/>
                <w:szCs w:val="15"/>
                <w:color w:val="auto"/>
                <w:vertAlign w:val="superscript"/>
              </w:rPr>
              <w:t>(3)</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35,793</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33,917</w:t>
            </w: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6</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70,001</w:t>
            </w: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59,655</w:t>
            </w:r>
          </w:p>
        </w:tc>
        <w:tc>
          <w:tcPr>
            <w:tcW w:w="880" w:type="dxa"/>
            <w:vAlign w:val="bottom"/>
          </w:tcPr>
          <w:p>
            <w:pPr>
              <w:jc w:val="center"/>
              <w:ind w:left="582"/>
              <w:spacing w:after="0"/>
              <w:rPr>
                <w:sz w:val="20"/>
                <w:szCs w:val="20"/>
                <w:color w:val="auto"/>
              </w:rPr>
            </w:pPr>
            <w:r>
              <w:rPr>
                <w:rFonts w:ascii="Arial" w:cs="Arial" w:eastAsia="Arial" w:hAnsi="Arial"/>
                <w:sz w:val="12"/>
                <w:szCs w:val="12"/>
                <w:color w:val="auto"/>
                <w:w w:val="89"/>
              </w:rPr>
              <w:t>17</w:t>
            </w:r>
          </w:p>
        </w:tc>
      </w:tr>
      <w:tr>
        <w:trPr>
          <w:trHeight w:val="160"/>
        </w:trPr>
        <w:tc>
          <w:tcPr>
            <w:tcW w:w="4840" w:type="dxa"/>
            <w:vAlign w:val="bottom"/>
          </w:tcPr>
          <w:p>
            <w:pPr>
              <w:spacing w:after="0"/>
              <w:rPr>
                <w:sz w:val="13"/>
                <w:szCs w:val="13"/>
                <w:color w:val="auto"/>
              </w:rPr>
            </w:pP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90,449</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107,326</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182,457</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206,943</w:t>
            </w:r>
          </w:p>
        </w:tc>
        <w:tc>
          <w:tcPr>
            <w:tcW w:w="880" w:type="dxa"/>
            <w:vAlign w:val="bottom"/>
          </w:tcPr>
          <w:p>
            <w:pPr>
              <w:jc w:val="center"/>
              <w:ind w:left="562"/>
              <w:spacing w:after="0"/>
              <w:rPr>
                <w:sz w:val="20"/>
                <w:szCs w:val="20"/>
                <w:color w:val="auto"/>
              </w:rPr>
            </w:pPr>
            <w:r>
              <w:rPr>
                <w:rFonts w:ascii="Arial" w:cs="Arial" w:eastAsia="Arial" w:hAnsi="Arial"/>
                <w:sz w:val="12"/>
                <w:szCs w:val="12"/>
                <w:color w:val="auto"/>
              </w:rPr>
              <w:t>(12)</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35" w:lineRule="exact"/>
        <w:rPr>
          <w:sz w:val="20"/>
          <w:szCs w:val="20"/>
          <w:color w:val="auto"/>
        </w:rPr>
      </w:pPr>
    </w:p>
    <w:p>
      <w:pPr>
        <w:ind w:left="380" w:hanging="366"/>
        <w:spacing w:after="0"/>
        <w:tabs>
          <w:tab w:leader="none" w:pos="3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Society6 and Saatchi Art (formerly Leaf Marketplace) and Framebridge</w:t>
      </w:r>
    </w:p>
    <w:p>
      <w:pPr>
        <w:spacing w:after="0" w:line="25" w:lineRule="exact"/>
        <w:rPr>
          <w:rFonts w:ascii="Arial" w:cs="Arial" w:eastAsia="Arial" w:hAnsi="Arial"/>
          <w:sz w:val="11"/>
          <w:szCs w:val="11"/>
          <w:color w:val="auto"/>
        </w:rPr>
      </w:pPr>
    </w:p>
    <w:p>
      <w:pPr>
        <w:ind w:left="380" w:hanging="366"/>
        <w:spacing w:after="0"/>
        <w:tabs>
          <w:tab w:leader="none" w:pos="3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World of Good (formerly Leaf Media), Code3, Slate, Foreign Policy, Pinna and City Cast</w:t>
      </w:r>
    </w:p>
    <w:p>
      <w:pPr>
        <w:spacing w:after="0" w:line="35" w:lineRule="exact"/>
        <w:rPr>
          <w:rFonts w:ascii="Arial" w:cs="Arial" w:eastAsia="Arial" w:hAnsi="Arial"/>
          <w:sz w:val="11"/>
          <w:szCs w:val="11"/>
          <w:color w:val="auto"/>
        </w:rPr>
      </w:pPr>
    </w:p>
    <w:p>
      <w:pPr>
        <w:ind w:left="380" w:hanging="366"/>
        <w:spacing w:after="0"/>
        <w:tabs>
          <w:tab w:leader="none" w:pos="3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Clyde’s Restaurant Group, Decile and CyberVista</w:t>
      </w:r>
    </w:p>
    <w:p>
      <w:pPr>
        <w:spacing w:after="0" w:line="201"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Overall, revenue from other businesses declined 16% and 12% in the second quarter and first six months of 2023, respectively. Retail revenue declined in the first half of 2023 largely due to significantly lower revenue at Society6. Media revenue declined in the first half of 2023 due to lower revenue at World of Good and Code3, partially offset by revenue growth at Slate and</w:t>
      </w:r>
    </w:p>
    <w:p>
      <w:pPr>
        <w:ind w:right="660"/>
        <w:spacing w:after="0" w:line="263" w:lineRule="auto"/>
        <w:rPr>
          <w:sz w:val="20"/>
          <w:szCs w:val="20"/>
          <w:color w:val="auto"/>
        </w:rPr>
      </w:pPr>
      <w:r>
        <w:rPr>
          <w:rFonts w:ascii="Arial" w:cs="Arial" w:eastAsia="Arial" w:hAnsi="Arial"/>
          <w:sz w:val="13"/>
          <w:szCs w:val="13"/>
          <w:color w:val="auto"/>
        </w:rPr>
        <w:t>Foreign Policy. Specialty revenue increased in the first half of 2023 due to revenue growth at Clyde’s Restaurant Group (CRG). Excluding the Leaf businesses, revenue from other businesses grew in the second quarter and first six months of 2023.</w:t>
      </w:r>
    </w:p>
    <w:p>
      <w:pPr>
        <w:spacing w:after="0" w:line="77"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Overall, operating results at other businesses improved in the first six months of 2023 due to improved results at CRG, reduced losses at Framebridge, Slate, Decile and Foreign Policy, and a reduction in losses due to the sales of CyberVista and Pinna; partially offset by increased losses at the Leaf businesses, City Cast and Code3.</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Leaf Group</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On June 14, 2021, the Company acquired Leaf Group Ltd. (Leaf), a consumer internet company headquartered in Santa Monica, CA, that builds enduring, creator-driven brands that reach</w:t>
      </w:r>
    </w:p>
    <w:p>
      <w:pPr>
        <w:spacing w:after="0" w:line="12" w:lineRule="exact"/>
        <w:rPr>
          <w:sz w:val="20"/>
          <w:szCs w:val="20"/>
          <w:color w:val="auto"/>
        </w:rPr>
      </w:pPr>
    </w:p>
    <w:p>
      <w:pPr>
        <w:ind w:right="60"/>
        <w:spacing w:after="0" w:line="235" w:lineRule="auto"/>
        <w:rPr>
          <w:sz w:val="20"/>
          <w:szCs w:val="20"/>
          <w:color w:val="auto"/>
        </w:rPr>
      </w:pPr>
      <w:r>
        <w:rPr>
          <w:rFonts w:ascii="Arial" w:cs="Arial" w:eastAsia="Arial" w:hAnsi="Arial"/>
          <w:sz w:val="13"/>
          <w:szCs w:val="13"/>
          <w:color w:val="auto"/>
        </w:rPr>
        <w:t>passionate audiences in large and growing lifestyle categories, including fitness and wellness (Well+Good and Livestrong.com), and home, art and design (Saatchi Art, Society6 and Hunker). In the second quarter of 2023, the Company restructured Leaf into three stand-alone businesses: Society6 (formerly included in Leaf Marketplace), Saatchi Art (formerly included in</w:t>
      </w:r>
    </w:p>
    <w:p>
      <w:pPr>
        <w:spacing w:after="0"/>
        <w:rPr>
          <w:sz w:val="20"/>
          <w:szCs w:val="20"/>
          <w:color w:val="auto"/>
        </w:rPr>
      </w:pPr>
      <w:r>
        <w:rPr>
          <w:rFonts w:ascii="Arial" w:cs="Arial" w:eastAsia="Arial" w:hAnsi="Arial"/>
          <w:sz w:val="13"/>
          <w:szCs w:val="13"/>
          <w:color w:val="auto"/>
        </w:rPr>
        <w:t>Leaf Marketplace) and World of Good (formerly Leaf Media).</w:t>
      </w:r>
    </w:p>
    <w:p>
      <w:pPr>
        <w:spacing w:after="0" w:line="113"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Revenue at each of the three Leaf businesses declined in the second quarter and first half of 2023, with substantial declines at Society6 and World of Good. Revenue decreases at Society6 are due to declines in traffic, conversion rates and related sales for both direct to consumer and business to business categories; revenue declines at World of Good are due to reduced</w:t>
      </w:r>
    </w:p>
    <w:p>
      <w:pPr>
        <w:ind w:right="220"/>
        <w:spacing w:after="0" w:line="263" w:lineRule="auto"/>
        <w:rPr>
          <w:sz w:val="20"/>
          <w:szCs w:val="20"/>
          <w:color w:val="auto"/>
        </w:rPr>
      </w:pPr>
      <w:r>
        <w:rPr>
          <w:rFonts w:ascii="Arial" w:cs="Arial" w:eastAsia="Arial" w:hAnsi="Arial"/>
          <w:sz w:val="13"/>
          <w:szCs w:val="13"/>
          <w:color w:val="auto"/>
        </w:rPr>
        <w:t>traffic and the soft digital advertising market for both direct and programmatic categories. Overall, the Leaf businesses reported significant operating losses in each of the second quarters and first six months of 2023 and 2022, with an increase in operating losses in the first half of 2023.</w:t>
      </w:r>
    </w:p>
    <w:p>
      <w:pPr>
        <w:spacing w:after="0" w:line="77" w:lineRule="exact"/>
        <w:rPr>
          <w:sz w:val="20"/>
          <w:szCs w:val="20"/>
          <w:color w:val="auto"/>
        </w:rPr>
      </w:pPr>
    </w:p>
    <w:p>
      <w:pPr>
        <w:ind w:right="160"/>
        <w:spacing w:after="0" w:line="279" w:lineRule="auto"/>
        <w:rPr>
          <w:sz w:val="20"/>
          <w:szCs w:val="20"/>
          <w:color w:val="auto"/>
        </w:rPr>
      </w:pPr>
      <w:r>
        <w:rPr>
          <w:rFonts w:ascii="Arial" w:cs="Arial" w:eastAsia="Arial" w:hAnsi="Arial"/>
          <w:sz w:val="13"/>
          <w:szCs w:val="13"/>
          <w:color w:val="auto"/>
        </w:rPr>
        <w:t>In the first and second quarters of 2023, Leaf implemented a SIP to reduce the number of employees, which is being funded by the assets of the Company’s pension plan; $2.9 million and $3.9 million in related non-operating pension expense was recorded in the first and second quarters of 2023,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Clyde’s Restaurant Group</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CRG owns and operates 12 restaurants and entertainment venues in the Washington, D.C. metropolitan area, including Old Ebbitt Grill and The Hamilton. CRG reported an operating profit for each of the second quarters and first six months of 2023 and 2022. Both revenues and operating results improved in the first half of 2023, due to strong guest traffic, modest price increases, and the absence of any significant adverse impact from the COVID-19 pandemic. Operating results in the second quarter of 2022 benefited from a favorable rent concession.</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CRG recently announced plans to open new restaurants in Baltimore, MD; Washington, D.C.; and Reston, VA in early 2024, mid 2024 and early 2025,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i w:val="1"/>
          <w:iCs w:val="1"/>
          <w:color w:val="auto"/>
        </w:rPr>
        <w:t>Framebridge</w:t>
      </w:r>
    </w:p>
    <w:p>
      <w:pPr>
        <w:spacing w:after="0" w:line="127"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Framebridge is a custom framing service company, headquartered in Washington, D.C., with 19 retail locations in the Washington, D.C., New York City, Atlanta, GA, Philadelphia, PA, Boston, MA and Chicago, IL areas and two manufacturing facilities in Kentucky and New Jersey. Framebridge continues to explore opportunities for further store expansion. Revenues increased</w:t>
      </w:r>
    </w:p>
    <w:p>
      <w:pPr>
        <w:spacing w:after="0"/>
        <w:rPr>
          <w:sz w:val="20"/>
          <w:szCs w:val="20"/>
          <w:color w:val="auto"/>
        </w:rPr>
      </w:pPr>
      <w:r>
        <w:rPr>
          <w:rFonts w:ascii="Arial" w:cs="Arial" w:eastAsia="Arial" w:hAnsi="Arial"/>
          <w:sz w:val="13"/>
          <w:szCs w:val="13"/>
          <w:color w:val="auto"/>
        </w:rPr>
        <w:t>modestly in the second quarter of 2023 but were flat for the first half of 2023, as Framebridge worked through a significant backlog of orders in the first quarter of 2022 that had built-up in the</w:t>
      </w:r>
    </w:p>
    <w:p>
      <w:pPr>
        <w:spacing w:after="0" w:line="2" w:lineRule="exact"/>
        <w:rPr>
          <w:sz w:val="20"/>
          <w:szCs w:val="20"/>
          <w:color w:val="auto"/>
        </w:rPr>
      </w:pPr>
    </w:p>
    <w:p>
      <w:pPr>
        <w:ind w:right="240"/>
        <w:spacing w:after="0" w:line="235" w:lineRule="auto"/>
        <w:rPr>
          <w:sz w:val="20"/>
          <w:szCs w:val="20"/>
          <w:color w:val="auto"/>
        </w:rPr>
      </w:pPr>
      <w:r>
        <w:rPr>
          <w:rFonts w:ascii="Arial" w:cs="Arial" w:eastAsia="Arial" w:hAnsi="Arial"/>
          <w:sz w:val="13"/>
          <w:szCs w:val="13"/>
          <w:color w:val="auto"/>
        </w:rPr>
        <w:t>fourth quarter of 2021. In the fourth quarter of 2022, Framebridge successfully managed their production operations for timely completion of holiday orders without a significant backlog of orders going into the first quarter of 2023. Retail revenue increased in the second quarter and first six months of 2023 from same-store sales growth and operating additional retail stores</w:t>
      </w:r>
    </w:p>
    <w:p>
      <w:pPr>
        <w:ind w:right="200"/>
        <w:spacing w:after="0" w:line="263" w:lineRule="auto"/>
        <w:rPr>
          <w:sz w:val="20"/>
          <w:szCs w:val="20"/>
          <w:color w:val="auto"/>
        </w:rPr>
      </w:pPr>
      <w:r>
        <w:rPr>
          <w:rFonts w:ascii="Arial" w:cs="Arial" w:eastAsia="Arial" w:hAnsi="Arial"/>
          <w:sz w:val="13"/>
          <w:szCs w:val="13"/>
          <w:color w:val="auto"/>
        </w:rPr>
        <w:t>compared to the same periods in 2022. Framebridge is an investment stage business and reported significant operating losses in the first six months of 2023 and 2022, with a reduction in losses in 2023.</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Other businesses also include Code3, a performance marketing agency focused on driving performance for brands though three core elements of digital success: media, creative and</w:t>
      </w:r>
    </w:p>
    <w:p>
      <w:pPr>
        <w:spacing w:after="0" w:line="12"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commerce; Slate and Foreign Policy, which publish online and print magazines and websites; and two investment stage businesses, Decile and City Cast. Slate, Foreign Policy and City Cast reported revenue increases in the first six months of 2023, while Code3 reported revenue declines. Losses from each of these five businesses in the first six months of 2023 adversely</w:t>
      </w:r>
    </w:p>
    <w:p>
      <w:pPr>
        <w:spacing w:after="0"/>
        <w:rPr>
          <w:sz w:val="20"/>
          <w:szCs w:val="20"/>
          <w:color w:val="auto"/>
        </w:rPr>
      </w:pPr>
      <w:r>
        <w:rPr>
          <w:rFonts w:ascii="Arial" w:cs="Arial" w:eastAsia="Arial" w:hAnsi="Arial"/>
          <w:sz w:val="13"/>
          <w:szCs w:val="13"/>
          <w:color w:val="auto"/>
        </w:rPr>
        <w:t>affected operating results.</w:t>
      </w:r>
    </w:p>
    <w:p>
      <w:pPr>
        <w:spacing w:after="0" w:line="113"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Other businesses also included Pinna, which was sold in June 2023 when the Company entered into a merger agreement with Realm of Possibility, Inc. (Realm), a provider of audio entertainment services, to merge Pinna with Realm in return for a noncontrolling financial interest in the merged entity. In connection with the merger, the Company recorded a $10.0 million</w:t>
      </w:r>
    </w:p>
    <w:p>
      <w:pPr>
        <w:ind w:right="20"/>
        <w:spacing w:after="0" w:line="263" w:lineRule="auto"/>
        <w:rPr>
          <w:sz w:val="20"/>
          <w:szCs w:val="20"/>
          <w:color w:val="auto"/>
        </w:rPr>
      </w:pPr>
      <w:r>
        <w:rPr>
          <w:rFonts w:ascii="Arial" w:cs="Arial" w:eastAsia="Arial" w:hAnsi="Arial"/>
          <w:sz w:val="13"/>
          <w:szCs w:val="13"/>
          <w:color w:val="auto"/>
        </w:rPr>
        <w:t>non-cash, non-operating gain related to the transaction. The Company held a noncontrolling interest in Realm prior to the transaction and continues to hold a noncontrolling interest in Realm following the transaction. The Company’s investment in Realm is reported as an equity method investment.</w:t>
      </w:r>
    </w:p>
    <w:p>
      <w:pPr>
        <w:spacing w:after="0" w:line="77" w:lineRule="exact"/>
        <w:rPr>
          <w:sz w:val="20"/>
          <w:szCs w:val="20"/>
          <w:color w:val="auto"/>
        </w:rPr>
      </w:pPr>
    </w:p>
    <w:p>
      <w:pPr>
        <w:ind w:right="300"/>
        <w:spacing w:after="0" w:line="279" w:lineRule="auto"/>
        <w:rPr>
          <w:sz w:val="20"/>
          <w:szCs w:val="20"/>
          <w:color w:val="auto"/>
        </w:rPr>
      </w:pPr>
      <w:r>
        <w:rPr>
          <w:rFonts w:ascii="Arial" w:cs="Arial" w:eastAsia="Arial" w:hAnsi="Arial"/>
          <w:sz w:val="13"/>
          <w:szCs w:val="13"/>
          <w:color w:val="auto"/>
        </w:rPr>
        <w:t>Other businesses also included CyberVista, which was sold in October 2022 when the Company announced a strategic merger of CyberVista and CyberWire, a B2B cybersecurity audio network to form a new parent company, N2K Networks. The Company’s investment in N2K Networks is reported as an equity method investment.</w:t>
      </w:r>
    </w:p>
    <w:p>
      <w:pPr>
        <w:spacing w:after="0" w:line="67"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In the first and second quarters of 2023, Code3 implemented a SIP to reduce the number of employees, which is being funded by the assets of the Company’s pension plan; $1.2 million and $0.6 million in related non-operating pension expense was recorded in the first and second quarters of 2023,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Corporate Office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Corporate office includes the expenses of the Company’s corporate office and certain continuing obligations related to prior business 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Equity in (Losses) Earnings of Affiliates</w:t>
      </w:r>
    </w:p>
    <w:p>
      <w:pPr>
        <w:spacing w:after="0" w:line="129"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At June 30, 2023, the Company held an approximate 18% interest in Intersection Holdings, LLC (Intersection), a company that provides digital marketing and advertising services and products for cities, transit systems, airports, and other public and private spaces; and a 49.9% interest in N2K Networks on a fully diluted basis. The Company also holds interests in several</w:t>
      </w:r>
    </w:p>
    <w:p>
      <w:pPr>
        <w:spacing w:after="0"/>
        <w:rPr>
          <w:sz w:val="20"/>
          <w:szCs w:val="20"/>
          <w:color w:val="auto"/>
        </w:rPr>
      </w:pPr>
      <w:r>
        <w:rPr>
          <w:rFonts w:ascii="Arial" w:cs="Arial" w:eastAsia="Arial" w:hAnsi="Arial"/>
          <w:sz w:val="13"/>
          <w:szCs w:val="13"/>
          <w:color w:val="auto"/>
        </w:rPr>
        <w:t>other affiliates, including a number of home health and hospice joint ventures managed by GHG and two joint ventures managed by Kaplan. Overall, the Company recorded equity in losses</w:t>
      </w:r>
    </w:p>
    <w:p>
      <w:pPr>
        <w:spacing w:after="0" w:line="2" w:lineRule="exact"/>
        <w:rPr>
          <w:sz w:val="20"/>
          <w:szCs w:val="20"/>
          <w:color w:val="auto"/>
        </w:rPr>
      </w:pPr>
    </w:p>
    <w:p>
      <w:pPr>
        <w:ind w:right="300"/>
        <w:spacing w:after="0" w:line="247" w:lineRule="auto"/>
        <w:rPr>
          <w:sz w:val="20"/>
          <w:szCs w:val="20"/>
          <w:color w:val="auto"/>
        </w:rPr>
      </w:pPr>
      <w:r>
        <w:rPr>
          <w:rFonts w:ascii="Arial" w:cs="Arial" w:eastAsia="Arial" w:hAnsi="Arial"/>
          <w:sz w:val="13"/>
          <w:szCs w:val="13"/>
          <w:color w:val="auto"/>
        </w:rPr>
        <w:t>of affiliates of $6.1 million for the second quarter of 2023, compared to earnings of $1.4 million for the second quarter of 2022. These amounts include $8.6 million and $0.4 million in net losses for the second quarter of 2023 and 2022, respectively, from affiliates whose operations are not managed by the Company.</w:t>
      </w:r>
    </w:p>
    <w:p>
      <w:pPr>
        <w:spacing w:after="0" w:line="97" w:lineRule="exact"/>
        <w:rPr>
          <w:sz w:val="20"/>
          <w:szCs w:val="20"/>
          <w:color w:val="auto"/>
        </w:rPr>
      </w:pPr>
    </w:p>
    <w:p>
      <w:pPr>
        <w:ind w:right="420"/>
        <w:spacing w:after="0" w:line="279" w:lineRule="auto"/>
        <w:rPr>
          <w:sz w:val="20"/>
          <w:szCs w:val="20"/>
          <w:color w:val="auto"/>
        </w:rPr>
      </w:pPr>
      <w:r>
        <w:rPr>
          <w:rFonts w:ascii="Arial" w:cs="Arial" w:eastAsia="Arial" w:hAnsi="Arial"/>
          <w:sz w:val="13"/>
          <w:szCs w:val="13"/>
          <w:color w:val="auto"/>
        </w:rPr>
        <w:t>The Company recorded equity in losses of affiliates of $1.5 million for the first six months of 2023, compared to earnings of $4.0 million for the first six months of 2022. These amounts include $6.8 million and $0.1 million in net losses for the first six months of 2023 and 2022, respectively, from affiliates whose operations are not managed by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Net Interest Expense and Related Balances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Company incurred net interest expense of $10.2 million and $23.3 million for the second quarter and first six months of 2023, respectively, compared to $15.3 million and $26.0 million</w:t>
      </w:r>
    </w:p>
    <w:p>
      <w:pPr>
        <w:spacing w:after="0" w:line="12" w:lineRule="exact"/>
        <w:rPr>
          <w:sz w:val="20"/>
          <w:szCs w:val="20"/>
          <w:color w:val="auto"/>
        </w:rPr>
      </w:pPr>
    </w:p>
    <w:p>
      <w:pPr>
        <w:ind w:right="260"/>
        <w:spacing w:after="0" w:line="247" w:lineRule="auto"/>
        <w:rPr>
          <w:sz w:val="20"/>
          <w:szCs w:val="20"/>
          <w:color w:val="auto"/>
        </w:rPr>
      </w:pPr>
      <w:r>
        <w:rPr>
          <w:rFonts w:ascii="Arial" w:cs="Arial" w:eastAsia="Arial" w:hAnsi="Arial"/>
          <w:sz w:val="13"/>
          <w:szCs w:val="13"/>
          <w:color w:val="auto"/>
        </w:rPr>
        <w:t>for the second quarter and first six months of 2022, respectively. The Company recorded a credit to interest expense of $1.2 million in the second quarter of 2023 and interest expense of $0.3 million in the first six months of 2023, to adjust the fair value of the mandatorily redeemable noncontrolling interest at GHG. The Company recorded interest expense of $8.0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1" w:right="319" w:bottom="1440" w:gutter="0" w:footer="0" w:header="0"/>
        </w:sectPr>
      </w:pPr>
    </w:p>
    <w:bookmarkStart w:id="34" w:name="page35"/>
    <w:bookmarkEnd w:id="34"/>
    <w:p>
      <w:pPr>
        <w:ind w:right="360"/>
        <w:spacing w:after="0" w:line="279" w:lineRule="auto"/>
        <w:rPr>
          <w:sz w:val="20"/>
          <w:szCs w:val="20"/>
          <w:color w:val="auto"/>
        </w:rPr>
      </w:pPr>
      <w:r>
        <w:rPr>
          <w:rFonts w:ascii="Arial" w:cs="Arial" w:eastAsia="Arial" w:hAnsi="Arial"/>
          <w:sz w:val="13"/>
          <w:szCs w:val="13"/>
          <w:color w:val="auto"/>
        </w:rPr>
        <w:t>and $11.4 million in the second quarter and first six months of 2022, respectively, to adjust the fair value of the mandatorily redeemable noncontrolling interest at GHG. Excluding these adjustments, the increase in net interest expense relates primarily to increased debt at the automotive dealerships and higher interest rates on the Company’s variable debt.</w:t>
      </w:r>
    </w:p>
    <w:p>
      <w:pPr>
        <w:spacing w:after="0" w:line="67" w:lineRule="exact"/>
        <w:rPr>
          <w:sz w:val="20"/>
          <w:szCs w:val="20"/>
          <w:color w:val="auto"/>
        </w:rPr>
      </w:pPr>
    </w:p>
    <w:p>
      <w:pPr>
        <w:ind w:right="240"/>
        <w:spacing w:after="0" w:line="279" w:lineRule="auto"/>
        <w:rPr>
          <w:sz w:val="20"/>
          <w:szCs w:val="20"/>
          <w:color w:val="auto"/>
        </w:rPr>
      </w:pPr>
      <w:r>
        <w:rPr>
          <w:rFonts w:ascii="Arial" w:cs="Arial" w:eastAsia="Arial" w:hAnsi="Arial"/>
          <w:sz w:val="13"/>
          <w:szCs w:val="13"/>
          <w:color w:val="auto"/>
        </w:rPr>
        <w:t>At June 30, 2023, the Company had $706.7 million in borrowings outstanding at an average interest rate of 6.0%, and cash, marketable equity securities and other investments of $813.7 million. At June 30, 2023, the Company had $188.1 million outstanding on its $300 million revolving credit facility.</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Non-operating Pension and Postretirement Benefit Income, net</w:t>
      </w:r>
    </w:p>
    <w:p>
      <w:pPr>
        <w:spacing w:after="0" w:line="119" w:lineRule="exact"/>
        <w:rPr>
          <w:sz w:val="20"/>
          <w:szCs w:val="20"/>
          <w:color w:val="auto"/>
        </w:rPr>
      </w:pPr>
    </w:p>
    <w:p>
      <w:pPr>
        <w:ind w:right="320"/>
        <w:spacing w:after="0" w:line="279" w:lineRule="auto"/>
        <w:rPr>
          <w:sz w:val="20"/>
          <w:szCs w:val="20"/>
          <w:color w:val="auto"/>
        </w:rPr>
      </w:pPr>
      <w:r>
        <w:rPr>
          <w:rFonts w:ascii="Arial" w:cs="Arial" w:eastAsia="Arial" w:hAnsi="Arial"/>
          <w:sz w:val="13"/>
          <w:szCs w:val="13"/>
          <w:color w:val="auto"/>
        </w:rPr>
        <w:t>The Company recorded net non-operating pension and postretirement benefit income of $29.8 million and $61.7 million for the second quarter and first six months of 2023, respectively, compared to $50.9 million and $101.4 million for the second quarter and first six months of 2022, respectively.</w:t>
      </w:r>
    </w:p>
    <w:p>
      <w:pPr>
        <w:spacing w:after="0" w:line="77"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In the second quarter of 2023, the Company recorded $5.5 million in expenses related to non-operating SIPs at other businesses and the education and television broadcasting divisions. In the first quarter of 2023, the Company recorded $4.1 million in expenses related to non-operating SIPs at other businesses.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Gain (Loss) on Marketable Equity Securities, net</w:t>
      </w:r>
    </w:p>
    <w:p>
      <w:pPr>
        <w:spacing w:after="0" w:line="129" w:lineRule="exact"/>
        <w:rPr>
          <w:sz w:val="20"/>
          <w:szCs w:val="20"/>
          <w:color w:val="auto"/>
        </w:rPr>
      </w:pPr>
    </w:p>
    <w:p>
      <w:pPr>
        <w:ind w:right="200"/>
        <w:spacing w:after="0" w:line="263" w:lineRule="auto"/>
        <w:rPr>
          <w:sz w:val="20"/>
          <w:szCs w:val="20"/>
          <w:color w:val="auto"/>
        </w:rPr>
      </w:pPr>
      <w:r>
        <w:rPr>
          <w:rFonts w:ascii="Arial" w:cs="Arial" w:eastAsia="Arial" w:hAnsi="Arial"/>
          <w:sz w:val="13"/>
          <w:szCs w:val="13"/>
          <w:color w:val="auto"/>
        </w:rPr>
        <w:t>Overall, the Company recognized $ 78.6 million and $96.7 million in net gains on marketable equity securities in the second quarter and first six months of 2023, respectively, compared to $165.5 million and $118.6 million in net losses on marketable equity securities in the second quarter and first six months of 2022,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Other Non-Operating Income</w:t>
      </w:r>
    </w:p>
    <w:p>
      <w:pPr>
        <w:spacing w:after="0" w:line="129" w:lineRule="exact"/>
        <w:rPr>
          <w:sz w:val="20"/>
          <w:szCs w:val="20"/>
          <w:color w:val="auto"/>
        </w:rPr>
      </w:pPr>
    </w:p>
    <w:p>
      <w:pPr>
        <w:ind w:right="200"/>
        <w:spacing w:after="0" w:line="243" w:lineRule="auto"/>
        <w:rPr>
          <w:sz w:val="20"/>
          <w:szCs w:val="20"/>
          <w:color w:val="auto"/>
        </w:rPr>
      </w:pPr>
      <w:r>
        <w:rPr>
          <w:rFonts w:ascii="Arial" w:cs="Arial" w:eastAsia="Arial" w:hAnsi="Arial"/>
          <w:sz w:val="13"/>
          <w:szCs w:val="13"/>
          <w:color w:val="auto"/>
        </w:rPr>
        <w:t>The Company recorded total other non-operating income, net, of $15.8 million for the second quarter of 2023, compared to $1.2 million for the second quarter of 2022. The 2023 amounts included a non-cash gain of $10.0 million on the sale of Pinna; $2.2 million in gains related to the sale of businesses and contingent consideration; $1.6 million in foreign currency gains; a</w:t>
      </w:r>
    </w:p>
    <w:p>
      <w:pPr>
        <w:ind w:right="840"/>
        <w:spacing w:after="0" w:line="263" w:lineRule="auto"/>
        <w:rPr>
          <w:sz w:val="20"/>
          <w:szCs w:val="20"/>
          <w:color w:val="auto"/>
        </w:rPr>
      </w:pPr>
      <w:r>
        <w:rPr>
          <w:rFonts w:ascii="Arial" w:cs="Arial" w:eastAsia="Arial" w:hAnsi="Arial"/>
          <w:sz w:val="13"/>
          <w:szCs w:val="13"/>
          <w:color w:val="auto"/>
        </w:rPr>
        <w:t>$1.3 million fair value increase on a cost method investment, and other items. The 2022 amounts included $0.8 million in gains related to the sale of businesses and contingent consideration, and other items; partially offset by $0.5 million in foreign currency losses.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The Company recorded total non-operating income, net, of $18.9 million for the first six months of 2023, compared to $4.1 million for the first six months of 2022. The 2023 amounts included</w:t>
      </w:r>
    </w:p>
    <w:p>
      <w:pPr>
        <w:spacing w:after="0" w:line="12" w:lineRule="exact"/>
        <w:rPr>
          <w:sz w:val="20"/>
          <w:szCs w:val="20"/>
          <w:color w:val="auto"/>
        </w:rPr>
      </w:pPr>
    </w:p>
    <w:p>
      <w:pPr>
        <w:ind w:right="120"/>
        <w:spacing w:after="0" w:line="235" w:lineRule="auto"/>
        <w:rPr>
          <w:sz w:val="20"/>
          <w:szCs w:val="20"/>
          <w:color w:val="auto"/>
        </w:rPr>
      </w:pPr>
      <w:r>
        <w:rPr>
          <w:rFonts w:ascii="Arial" w:cs="Arial" w:eastAsia="Arial" w:hAnsi="Arial"/>
          <w:sz w:val="13"/>
          <w:szCs w:val="13"/>
          <w:color w:val="auto"/>
        </w:rPr>
        <w:t>a non-cash gain of $10.0 million on the sale of Pinna; $3.2 million in gains related to the sale of businesses and contingent consideration; a $3.1 million fair value increase on cost method investments; a $0.8 million gain on sales of cost method investments; $0.1 million in foreign currency gains, and other items. The 2022 amounts included $1.7 million in gains related to the</w:t>
      </w:r>
    </w:p>
    <w:p>
      <w:pPr>
        <w:ind w:right="20"/>
        <w:spacing w:after="0" w:line="263" w:lineRule="auto"/>
        <w:rPr>
          <w:sz w:val="20"/>
          <w:szCs w:val="20"/>
          <w:color w:val="auto"/>
        </w:rPr>
      </w:pPr>
      <w:r>
        <w:rPr>
          <w:rFonts w:ascii="Arial" w:cs="Arial" w:eastAsia="Arial" w:hAnsi="Arial"/>
          <w:sz w:val="13"/>
          <w:szCs w:val="13"/>
          <w:color w:val="auto"/>
        </w:rPr>
        <w:t>sale of businesses and contingent consideration; a $1.0 million gain sale of a cost method investment; a $0.6 million gain on sale of an equity affiliate, and other items; partially offset by $1.5 million on foreign currency losses.</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Provision for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Company’s effective tax rate for the first six months of 2023 and 2022 was 25.6% and 32.2%,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Earnings Per Share</w:t>
      </w:r>
    </w:p>
    <w:p>
      <w:pPr>
        <w:spacing w:after="0" w:line="119"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The calculation of diluted earnings per share for the second quarter and first six months of 2023 was based on 4,712,626 and 4,744,076 weighted average shares outstanding, respectively, compared to 4,842,383 and 4,870,316, respectively, for the second quarter and first six months of 2022. At June 30, 2023, there were 4,684,690 shares outstanding. On May 4, 2023, the Board of Directors authorized the Company to acquire up to 500,000 shares of its Class B common stock; the Company has remaining authorization for 444,715 shares as of June 30, 2023.</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Condition: Liquidity and Capital Resources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considers the following when assessing its liquidity and capital resources: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As of</w:t>
            </w:r>
          </w:p>
        </w:tc>
        <w:tc>
          <w:tcPr>
            <w:tcW w:w="1200" w:type="dxa"/>
            <w:vAlign w:val="bottom"/>
            <w:tcBorders>
              <w:bottom w:val="single" w:sz="8" w:color="auto"/>
            </w:tcBorders>
          </w:tcPr>
          <w:p>
            <w:pPr>
              <w:spacing w:after="0"/>
              <w:rPr>
                <w:sz w:val="12"/>
                <w:szCs w:val="12"/>
                <w:color w:val="auto"/>
              </w:rPr>
            </w:pPr>
          </w:p>
        </w:tc>
      </w:tr>
      <w:tr>
        <w:trPr>
          <w:trHeight w:val="147"/>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82"/>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color w:val="auto"/>
              </w:rPr>
              <w:t>December 31, 2022</w:t>
            </w:r>
          </w:p>
        </w:tc>
      </w:tr>
      <w:tr>
        <w:trPr>
          <w:trHeight w:val="163"/>
        </w:trPr>
        <w:tc>
          <w:tcPr>
            <w:tcW w:w="850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200" w:type="dxa"/>
            <w:vAlign w:val="bottom"/>
          </w:tcPr>
          <w:p>
            <w:pPr>
              <w:jc w:val="right"/>
              <w:ind w:right="59"/>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auto"/>
              </w:rPr>
              <w:t>111,738</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169,319</w:t>
            </w:r>
          </w:p>
        </w:tc>
      </w:tr>
      <w:tr>
        <w:trPr>
          <w:trHeight w:val="169"/>
        </w:trPr>
        <w:tc>
          <w:tcPr>
            <w:tcW w:w="8500" w:type="dxa"/>
            <w:vAlign w:val="bottom"/>
          </w:tcPr>
          <w:p>
            <w:pPr>
              <w:ind w:left="20"/>
              <w:spacing w:after="0"/>
              <w:rPr>
                <w:sz w:val="20"/>
                <w:szCs w:val="20"/>
                <w:color w:val="auto"/>
              </w:rPr>
            </w:pPr>
            <w:r>
              <w:rPr>
                <w:rFonts w:ascii="Arial" w:cs="Arial" w:eastAsia="Arial" w:hAnsi="Arial"/>
                <w:sz w:val="12"/>
                <w:szCs w:val="12"/>
                <w:color w:val="auto"/>
              </w:rPr>
              <w:t>Restricted cash</w:t>
            </w:r>
          </w:p>
        </w:tc>
        <w:tc>
          <w:tcPr>
            <w:tcW w:w="20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auto"/>
              </w:rPr>
              <w:t>40,642</w:t>
            </w:r>
          </w:p>
        </w:tc>
        <w:tc>
          <w:tcPr>
            <w:tcW w:w="200" w:type="dxa"/>
            <w:vAlign w:val="bottom"/>
          </w:tcPr>
          <w:p>
            <w:pPr>
              <w:spacing w:after="0"/>
              <w:rPr>
                <w:sz w:val="14"/>
                <w:szCs w:val="14"/>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21,113</w:t>
            </w:r>
          </w:p>
        </w:tc>
      </w:tr>
      <w:tr>
        <w:trPr>
          <w:trHeight w:val="182"/>
        </w:trPr>
        <w:tc>
          <w:tcPr>
            <w:tcW w:w="8500" w:type="dxa"/>
            <w:vAlign w:val="bottom"/>
          </w:tcPr>
          <w:p>
            <w:pPr>
              <w:ind w:left="20"/>
              <w:spacing w:after="0"/>
              <w:rPr>
                <w:sz w:val="20"/>
                <w:szCs w:val="20"/>
                <w:color w:val="auto"/>
              </w:rPr>
            </w:pPr>
            <w:r>
              <w:rPr>
                <w:rFonts w:ascii="Arial" w:cs="Arial" w:eastAsia="Arial" w:hAnsi="Arial"/>
                <w:sz w:val="12"/>
                <w:szCs w:val="12"/>
                <w:color w:val="auto"/>
              </w:rPr>
              <w:t>Investments in marketable equity securities and other investments</w:t>
            </w:r>
          </w:p>
        </w:tc>
        <w:tc>
          <w:tcPr>
            <w:tcW w:w="20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auto"/>
              </w:rPr>
              <w:t>661,306</w:t>
            </w:r>
          </w:p>
        </w:tc>
        <w:tc>
          <w:tcPr>
            <w:tcW w:w="200" w:type="dxa"/>
            <w:vAlign w:val="bottom"/>
          </w:tcPr>
          <w:p>
            <w:pPr>
              <w:spacing w:after="0"/>
              <w:rPr>
                <w:sz w:val="15"/>
                <w:szCs w:val="15"/>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622,408</w:t>
            </w:r>
          </w:p>
        </w:tc>
      </w:tr>
      <w:tr>
        <w:trPr>
          <w:trHeight w:val="172"/>
        </w:trPr>
        <w:tc>
          <w:tcPr>
            <w:tcW w:w="8500" w:type="dxa"/>
            <w:vAlign w:val="bottom"/>
          </w:tcPr>
          <w:p>
            <w:pPr>
              <w:ind w:left="20"/>
              <w:spacing w:after="0"/>
              <w:rPr>
                <w:sz w:val="20"/>
                <w:szCs w:val="20"/>
                <w:color w:val="auto"/>
              </w:rPr>
            </w:pPr>
            <w:r>
              <w:rPr>
                <w:rFonts w:ascii="Arial" w:cs="Arial" w:eastAsia="Arial" w:hAnsi="Arial"/>
                <w:sz w:val="12"/>
                <w:szCs w:val="12"/>
                <w:color w:val="auto"/>
              </w:rPr>
              <w:t>Total debt</w:t>
            </w:r>
          </w:p>
        </w:tc>
        <w:tc>
          <w:tcPr>
            <w:tcW w:w="20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2"/>
                <w:szCs w:val="12"/>
                <w:b w:val="1"/>
                <w:bCs w:val="1"/>
                <w:color w:val="auto"/>
              </w:rPr>
              <w:t>706,725</w:t>
            </w:r>
          </w:p>
        </w:tc>
        <w:tc>
          <w:tcPr>
            <w:tcW w:w="200" w:type="dxa"/>
            <w:vAlign w:val="bottom"/>
          </w:tcPr>
          <w:p>
            <w:pPr>
              <w:spacing w:after="0"/>
              <w:rPr>
                <w:sz w:val="14"/>
                <w:szCs w:val="14"/>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726,360</w:t>
            </w: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695"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Cash generated by operations is the Company’s primary source of liquidity. The Company maintains investments in a portfolio of marketable equity securities, which is considered when</w:t>
      </w:r>
    </w:p>
    <w:p>
      <w:pPr>
        <w:spacing w:after="0" w:line="12"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assessing the Company’s sources of liquidity. An additional source of liquidity includes the undrawn portion of the Company’s $300 million revolving credit facility, amounting to $111.9 million at June 30, 2023.</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six months of 2023, the Company’s cash and cash equivalents decreased by $57.6 million, due to share repurchases, capital expenditures, a loan to a related party, additional</w:t>
      </w:r>
    </w:p>
    <w:p>
      <w:pPr>
        <w:spacing w:after="0" w:line="12" w:lineRule="exact"/>
        <w:rPr>
          <w:sz w:val="20"/>
          <w:szCs w:val="20"/>
          <w:color w:val="auto"/>
        </w:rPr>
      </w:pPr>
    </w:p>
    <w:p>
      <w:pPr>
        <w:ind w:right="180"/>
        <w:spacing w:after="0" w:line="235" w:lineRule="auto"/>
        <w:rPr>
          <w:sz w:val="20"/>
          <w:szCs w:val="20"/>
          <w:color w:val="auto"/>
        </w:rPr>
      </w:pPr>
      <w:r>
        <w:rPr>
          <w:rFonts w:ascii="Arial" w:cs="Arial" w:eastAsia="Arial" w:hAnsi="Arial"/>
          <w:sz w:val="13"/>
          <w:szCs w:val="13"/>
          <w:color w:val="auto"/>
        </w:rPr>
        <w:t>investments in marketable equity securities and equity affiliates, dividend payments, and net repayments of borrowings, which was offset by cash generated from operations, the proceeds from the sale of marketable equity securities, and net proceeds from the vehicle floor plan payable. In the first six months of 2023, the Company’s borrowings decreased by $19.6 million,</w:t>
      </w:r>
    </w:p>
    <w:p>
      <w:pPr>
        <w:spacing w:after="0"/>
        <w:rPr>
          <w:sz w:val="20"/>
          <w:szCs w:val="20"/>
          <w:color w:val="auto"/>
        </w:rPr>
      </w:pPr>
      <w:r>
        <w:rPr>
          <w:rFonts w:ascii="Arial" w:cs="Arial" w:eastAsia="Arial" w:hAnsi="Arial"/>
          <w:sz w:val="13"/>
          <w:szCs w:val="13"/>
          <w:color w:val="auto"/>
        </w:rPr>
        <w:t>primarily due to repayments under the revolving credit facility and of commercial notes at the automotive subsidiary.</w:t>
      </w:r>
    </w:p>
    <w:p>
      <w:pPr>
        <w:spacing w:after="0" w:line="113"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As of June 30, 2023 and December 31, 2022, the Company had money market investments of $6.0 million and $7.7 million, that are included in cash and cash equivalents. At June 30, 2023, the Company held approximately $84 million in cash and cash equivalents in businesses domiciled outside the U.S., of which approximately $8 million is not available for immediate use in</w:t>
      </w:r>
    </w:p>
    <w:p>
      <w:pPr>
        <w:spacing w:after="0"/>
        <w:rPr>
          <w:sz w:val="20"/>
          <w:szCs w:val="20"/>
          <w:color w:val="auto"/>
        </w:rPr>
      </w:pPr>
      <w:r>
        <w:rPr>
          <w:rFonts w:ascii="Arial" w:cs="Arial" w:eastAsia="Arial" w:hAnsi="Arial"/>
          <w:sz w:val="13"/>
          <w:szCs w:val="13"/>
          <w:color w:val="auto"/>
        </w:rPr>
        <w:t>operations or for distribution. Additionally, Kaplan’s business operations outside the U.S. retain cash balances to support ongoing working capital requirements, capital expenditures, and</w:t>
      </w:r>
    </w:p>
    <w:p>
      <w:pPr>
        <w:spacing w:after="0" w:line="230" w:lineRule="auto"/>
        <w:rPr>
          <w:sz w:val="20"/>
          <w:szCs w:val="20"/>
          <w:color w:val="auto"/>
        </w:rPr>
      </w:pPr>
      <w:r>
        <w:rPr>
          <w:rFonts w:ascii="Arial" w:cs="Arial" w:eastAsia="Arial" w:hAnsi="Arial"/>
          <w:sz w:val="13"/>
          <w:szCs w:val="13"/>
          <w:color w:val="auto"/>
        </w:rPr>
        <w:t>regulatory requirements. As a result, the Company considers a significant portion of the cash and cash equivalents balance held outside the U.S. as not readily available for use in U.S.</w:t>
      </w:r>
    </w:p>
    <w:p>
      <w:pPr>
        <w:spacing w:after="0"/>
        <w:rPr>
          <w:sz w:val="20"/>
          <w:szCs w:val="20"/>
          <w:color w:val="auto"/>
        </w:rPr>
      </w:pPr>
      <w:r>
        <w:rPr>
          <w:rFonts w:ascii="Arial" w:cs="Arial" w:eastAsia="Arial" w:hAnsi="Arial"/>
          <w:sz w:val="13"/>
          <w:szCs w:val="13"/>
          <w:color w:val="auto"/>
        </w:rPr>
        <w:t>operations.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At June 30, 2023, the fair value of the Company’s investments in marketable equity securities was $648.8 million, which includes investments in the common stock of four publicly traded</w:t>
      </w:r>
    </w:p>
    <w:p>
      <w:pPr>
        <w:spacing w:after="0" w:line="12" w:lineRule="exact"/>
        <w:rPr>
          <w:sz w:val="20"/>
          <w:szCs w:val="20"/>
          <w:color w:val="auto"/>
        </w:rPr>
      </w:pPr>
    </w:p>
    <w:p>
      <w:pPr>
        <w:ind w:right="120"/>
        <w:spacing w:after="0" w:line="247" w:lineRule="auto"/>
        <w:rPr>
          <w:sz w:val="20"/>
          <w:szCs w:val="20"/>
          <w:color w:val="auto"/>
        </w:rPr>
      </w:pPr>
      <w:r>
        <w:rPr>
          <w:rFonts w:ascii="Arial" w:cs="Arial" w:eastAsia="Arial" w:hAnsi="Arial"/>
          <w:sz w:val="13"/>
          <w:szCs w:val="13"/>
          <w:color w:val="auto"/>
        </w:rPr>
        <w:t>companies. During the first six months of 2023, the Company purchased $4.6 million of marketable equity securities and sold marketable equity securities that generated proceeds of $62.0 million. At June 30, 2023, the unrealized gain related to the Company’s investments totaled $422.8 million.</w:t>
      </w:r>
    </w:p>
    <w:p>
      <w:pPr>
        <w:spacing w:after="0" w:line="97" w:lineRule="exact"/>
        <w:rPr>
          <w:sz w:val="20"/>
          <w:szCs w:val="20"/>
          <w:color w:val="auto"/>
        </w:rPr>
      </w:pPr>
    </w:p>
    <w:p>
      <w:pPr>
        <w:ind w:right="200"/>
        <w:spacing w:after="0" w:line="279" w:lineRule="auto"/>
        <w:rPr>
          <w:sz w:val="20"/>
          <w:szCs w:val="20"/>
          <w:color w:val="auto"/>
        </w:rPr>
      </w:pPr>
      <w:r>
        <w:rPr>
          <w:rFonts w:ascii="Arial" w:cs="Arial" w:eastAsia="Arial" w:hAnsi="Arial"/>
          <w:sz w:val="13"/>
          <w:szCs w:val="13"/>
          <w:color w:val="auto"/>
        </w:rPr>
        <w:t>In April 2023, the Company entered into a term note agreement to loan Intersection $30.0 million at an interest rate of 9% per annum. The principal and interest on the note are payable in monthly installments over 5 years with the final payment due by May 2028. The outstanding balance on this loan was $29.7 million as of June 30, 2023.</w:t>
      </w:r>
    </w:p>
    <w:p>
      <w:pPr>
        <w:spacing w:after="0" w:line="67"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The Company had working capital of $557.5 million and $534.1 million at June 30, 2023 and December 31, 2022, respectively. The Company maintains working capital levels consistent with its underlying business requirements and consistently generates cash from operations in excess of required interest or principal payments.</w:t>
      </w:r>
    </w:p>
    <w:p>
      <w:pPr>
        <w:spacing w:after="0" w:line="67"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At June 30, 2023 and December 31, 2022, the Company had borrowings outstanding of $706.7 million and $726.4 million, respectively. The Company’s borrowings at June 30, 2023 were mostly from $400.0 million of 5.75% unsecured notes due June 1, 2026, $188.1 million in outstanding borrowings under the Company’s revolving credit facility and commercial notes of</w:t>
      </w:r>
    </w:p>
    <w:p>
      <w:pPr>
        <w:spacing w:after="0" w:line="235" w:lineRule="auto"/>
        <w:rPr>
          <w:sz w:val="20"/>
          <w:szCs w:val="20"/>
          <w:color w:val="auto"/>
        </w:rPr>
      </w:pPr>
      <w:r>
        <w:rPr>
          <w:rFonts w:ascii="Arial" w:cs="Arial" w:eastAsia="Arial" w:hAnsi="Arial"/>
          <w:sz w:val="13"/>
          <w:szCs w:val="13"/>
          <w:color w:val="auto"/>
        </w:rPr>
        <w:t>$109.4 million at the automotive subsidiary. The Company’s borrowings at December 31, 2022 were mostly from $400.0 million of 5.75% unsecured notes due June 1, 2026, $ 200.2 million in outstanding borrowings under the Company’s revolving credit facility and commercial notes of $116.6 million at the automotive subsidiary. The interest on the $400.0 million of 5.75%</w:t>
      </w:r>
    </w:p>
    <w:p>
      <w:pPr>
        <w:spacing w:after="0"/>
        <w:rPr>
          <w:sz w:val="20"/>
          <w:szCs w:val="20"/>
          <w:color w:val="auto"/>
        </w:rPr>
      </w:pPr>
      <w:r>
        <w:rPr>
          <w:rFonts w:ascii="Arial" w:cs="Arial" w:eastAsia="Arial" w:hAnsi="Arial"/>
          <w:sz w:val="13"/>
          <w:szCs w:val="13"/>
          <w:color w:val="auto"/>
        </w:rPr>
        <w:t>unsecured notes is payable semiannually on June 1 and December 1.</w:t>
      </w:r>
    </w:p>
    <w:p>
      <w:pPr>
        <w:spacing w:after="0" w:line="113"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During the six months ended June 30, 2023 and 2022, the Company had average borrowings outstanding of approximately $738.3 million and $648.8 million, respectively, at average annual interest rates of approximately 5.9% and 4.5%, respectively. During the six months ended June 30, 2023 and 2022, the Company incurred net interest expense of $23.3 million and $26.0</w:t>
      </w:r>
    </w:p>
    <w:p>
      <w:pPr>
        <w:spacing w:after="0"/>
        <w:rPr>
          <w:sz w:val="20"/>
          <w:szCs w:val="20"/>
          <w:color w:val="auto"/>
        </w:rPr>
      </w:pPr>
      <w:r>
        <w:rPr>
          <w:rFonts w:ascii="Arial" w:cs="Arial" w:eastAsia="Arial" w:hAnsi="Arial"/>
          <w:sz w:val="13"/>
          <w:szCs w:val="13"/>
          <w:color w:val="auto"/>
        </w:rPr>
        <w:t>million, respectively.</w:t>
      </w:r>
    </w:p>
    <w:p>
      <w:pPr>
        <w:spacing w:after="0" w:line="113"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On July 28, 2023, the Company entered into a $150 million term note with each of the lenders party thereto, Wells Fargo Bank, N.A., JPMorgan Chase Bank N.A., Bank of America, N.A., HSBC Bank USA, N.A., and PNC Bank, N.A. The term note is payable in quarterly installments of $1.875 million starting in December 2023 with a final payment of the principal balance due</w:t>
      </w:r>
    </w:p>
    <w:p>
      <w:pPr>
        <w:ind w:right="160"/>
        <w:spacing w:after="0" w:line="263" w:lineRule="auto"/>
        <w:rPr>
          <w:sz w:val="20"/>
          <w:szCs w:val="20"/>
          <w:color w:val="auto"/>
        </w:rPr>
      </w:pPr>
      <w:r>
        <w:rPr>
          <w:rFonts w:ascii="Arial" w:cs="Arial" w:eastAsia="Arial" w:hAnsi="Arial"/>
          <w:sz w:val="13"/>
          <w:szCs w:val="13"/>
          <w:color w:val="auto"/>
        </w:rPr>
        <w:t>on May 30, 2027. The term note bears interest at variable rates based on SOFR plus 1.75% per annum. The Company may redeem the term note in whole or in part with no penalty at any time. The term note has no impact on the existing financial covenants of the revolving credit facility.</w:t>
      </w:r>
    </w:p>
    <w:p>
      <w:pPr>
        <w:spacing w:after="0" w:line="77" w:lineRule="exact"/>
        <w:rPr>
          <w:sz w:val="20"/>
          <w:szCs w:val="20"/>
          <w:color w:val="auto"/>
        </w:rPr>
      </w:pPr>
    </w:p>
    <w:p>
      <w:pPr>
        <w:ind w:right="400"/>
        <w:spacing w:after="0" w:line="279" w:lineRule="auto"/>
        <w:rPr>
          <w:sz w:val="20"/>
          <w:szCs w:val="20"/>
          <w:color w:val="auto"/>
        </w:rPr>
      </w:pPr>
      <w:r>
        <w:rPr>
          <w:rFonts w:ascii="Arial" w:cs="Arial" w:eastAsia="Arial" w:hAnsi="Arial"/>
          <w:sz w:val="13"/>
          <w:szCs w:val="13"/>
          <w:color w:val="auto"/>
        </w:rPr>
        <w:t>On April 4, 2023, Standard &amp; Poor’s affirmed the Company’s credit rating and maintained the outlook as Stable. On August 30, 2022, Moody’s affirmed the Company’s credit rating and maintained the outlook as Stable.</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The Company’s current credit ratings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2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jc w:val="center"/>
              <w:ind w:left="3582"/>
              <w:spacing w:after="0"/>
              <w:rPr>
                <w:sz w:val="20"/>
                <w:szCs w:val="20"/>
                <w:color w:val="auto"/>
              </w:rPr>
            </w:pPr>
            <w:r>
              <w:rPr>
                <w:rFonts w:ascii="Arial" w:cs="Arial" w:eastAsia="Arial" w:hAnsi="Arial"/>
                <w:sz w:val="11"/>
                <w:szCs w:val="11"/>
                <w:b w:val="1"/>
                <w:bCs w:val="1"/>
                <w:color w:val="auto"/>
                <w:w w:val="94"/>
              </w:rPr>
              <w:t>Moody’s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Standard &amp; Poor’s</w:t>
            </w:r>
          </w:p>
        </w:tc>
      </w:tr>
      <w:tr>
        <w:trPr>
          <w:trHeight w:val="153"/>
        </w:trPr>
        <w:tc>
          <w:tcPr>
            <w:tcW w:w="4620" w:type="dxa"/>
            <w:vAlign w:val="bottom"/>
          </w:tcPr>
          <w:p>
            <w:pPr>
              <w:ind w:left="20"/>
              <w:spacing w:after="0"/>
              <w:rPr>
                <w:sz w:val="20"/>
                <w:szCs w:val="20"/>
                <w:color w:val="auto"/>
              </w:rPr>
            </w:pPr>
            <w:r>
              <w:rPr>
                <w:rFonts w:ascii="Arial" w:cs="Arial" w:eastAsia="Arial" w:hAnsi="Arial"/>
                <w:sz w:val="12"/>
                <w:szCs w:val="12"/>
                <w:color w:val="auto"/>
              </w:rPr>
              <w:t>Long-term</w:t>
            </w:r>
          </w:p>
        </w:tc>
        <w:tc>
          <w:tcPr>
            <w:tcW w:w="4900" w:type="dxa"/>
            <w:vAlign w:val="bottom"/>
          </w:tcPr>
          <w:p>
            <w:pPr>
              <w:jc w:val="center"/>
              <w:ind w:left="3582"/>
              <w:spacing w:after="0"/>
              <w:rPr>
                <w:sz w:val="20"/>
                <w:szCs w:val="20"/>
                <w:color w:val="auto"/>
              </w:rPr>
            </w:pPr>
            <w:r>
              <w:rPr>
                <w:rFonts w:ascii="Arial" w:cs="Arial" w:eastAsia="Arial" w:hAnsi="Arial"/>
                <w:sz w:val="12"/>
                <w:szCs w:val="12"/>
                <w:color w:val="auto"/>
              </w:rPr>
              <w:t>Ba1</w:t>
            </w:r>
          </w:p>
        </w:tc>
        <w:tc>
          <w:tcPr>
            <w:tcW w:w="1740" w:type="dxa"/>
            <w:vAlign w:val="bottom"/>
          </w:tcPr>
          <w:p>
            <w:pPr>
              <w:jc w:val="center"/>
              <w:spacing w:after="0"/>
              <w:rPr>
                <w:sz w:val="20"/>
                <w:szCs w:val="20"/>
                <w:color w:val="auto"/>
              </w:rPr>
            </w:pPr>
            <w:r>
              <w:rPr>
                <w:rFonts w:ascii="Arial" w:cs="Arial" w:eastAsia="Arial" w:hAnsi="Arial"/>
                <w:sz w:val="12"/>
                <w:szCs w:val="12"/>
                <w:color w:val="auto"/>
              </w:rPr>
              <w:t>BB</w:t>
            </w:r>
          </w:p>
        </w:tc>
      </w:tr>
      <w:tr>
        <w:trPr>
          <w:trHeight w:val="172"/>
        </w:trPr>
        <w:tc>
          <w:tcPr>
            <w:tcW w:w="4620" w:type="dxa"/>
            <w:vAlign w:val="bottom"/>
          </w:tcPr>
          <w:p>
            <w:pPr>
              <w:ind w:left="20"/>
              <w:spacing w:after="0"/>
              <w:rPr>
                <w:sz w:val="20"/>
                <w:szCs w:val="20"/>
                <w:color w:val="auto"/>
              </w:rPr>
            </w:pPr>
            <w:r>
              <w:rPr>
                <w:rFonts w:ascii="Arial" w:cs="Arial" w:eastAsia="Arial" w:hAnsi="Arial"/>
                <w:sz w:val="12"/>
                <w:szCs w:val="12"/>
                <w:color w:val="auto"/>
              </w:rPr>
              <w:t>Outlook</w:t>
            </w:r>
          </w:p>
        </w:tc>
        <w:tc>
          <w:tcPr>
            <w:tcW w:w="4900" w:type="dxa"/>
            <w:vAlign w:val="bottom"/>
          </w:tcPr>
          <w:p>
            <w:pPr>
              <w:jc w:val="center"/>
              <w:ind w:left="3582"/>
              <w:spacing w:after="0"/>
              <w:rPr>
                <w:sz w:val="20"/>
                <w:szCs w:val="20"/>
                <w:color w:val="auto"/>
              </w:rPr>
            </w:pPr>
            <w:r>
              <w:rPr>
                <w:rFonts w:ascii="Arial" w:cs="Arial" w:eastAsia="Arial" w:hAnsi="Arial"/>
                <w:sz w:val="12"/>
                <w:szCs w:val="12"/>
                <w:color w:val="auto"/>
                <w:w w:val="99"/>
              </w:rPr>
              <w:t>Stable</w:t>
            </w:r>
          </w:p>
        </w:tc>
        <w:tc>
          <w:tcPr>
            <w:tcW w:w="1740" w:type="dxa"/>
            <w:vAlign w:val="bottom"/>
          </w:tcPr>
          <w:p>
            <w:pPr>
              <w:jc w:val="center"/>
              <w:spacing w:after="0"/>
              <w:rPr>
                <w:sz w:val="20"/>
                <w:szCs w:val="20"/>
                <w:color w:val="auto"/>
              </w:rPr>
            </w:pPr>
            <w:r>
              <w:rPr>
                <w:rFonts w:ascii="Arial" w:cs="Arial" w:eastAsia="Arial" w:hAnsi="Arial"/>
                <w:sz w:val="12"/>
                <w:szCs w:val="12"/>
                <w:color w:val="auto"/>
                <w:w w:val="99"/>
              </w:rPr>
              <w:t>Stable</w:t>
            </w:r>
          </w:p>
        </w:tc>
      </w:tr>
    </w:tbl>
    <w:p>
      <w:pPr>
        <w:spacing w:after="0" w:line="186" w:lineRule="exact"/>
        <w:rPr>
          <w:sz w:val="20"/>
          <w:szCs w:val="20"/>
          <w:color w:val="auto"/>
        </w:rPr>
      </w:pPr>
    </w:p>
    <w:p>
      <w:pPr>
        <w:jc w:val="both"/>
        <w:ind w:right="40"/>
        <w:spacing w:after="0" w:line="279" w:lineRule="auto"/>
        <w:rPr>
          <w:sz w:val="20"/>
          <w:szCs w:val="20"/>
          <w:color w:val="auto"/>
        </w:rPr>
      </w:pPr>
      <w:r>
        <w:rPr>
          <w:rFonts w:ascii="Arial" w:cs="Arial" w:eastAsia="Arial" w:hAnsi="Arial"/>
          <w:sz w:val="13"/>
          <w:szCs w:val="13"/>
          <w:color w:val="auto"/>
        </w:rPr>
        <w:t>The Company expects to fund its estimated capital needs primarily through existing cash balances and internally generated funds, and, as needed, from borrowings under its revolving credit facility. As of June 30, 2023,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123825</wp:posOffset>
            </wp:positionV>
            <wp:extent cx="719201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Company had $188.1 million outstanding under the $300 million revolving credit facility. In management’s opinion, the Company will have sufficient financial resources to meet its business</w:t>
      </w:r>
    </w:p>
    <w:p>
      <w:pPr>
        <w:spacing w:after="0" w:line="12" w:lineRule="exact"/>
        <w:rPr>
          <w:sz w:val="20"/>
          <w:szCs w:val="20"/>
          <w:color w:val="auto"/>
        </w:rPr>
      </w:pPr>
    </w:p>
    <w:p>
      <w:pPr>
        <w:ind w:right="260"/>
        <w:spacing w:after="0" w:line="247" w:lineRule="auto"/>
        <w:rPr>
          <w:sz w:val="20"/>
          <w:szCs w:val="20"/>
          <w:color w:val="auto"/>
        </w:rPr>
      </w:pPr>
      <w:r>
        <w:rPr>
          <w:rFonts w:ascii="Arial" w:cs="Arial" w:eastAsia="Arial" w:hAnsi="Arial"/>
          <w:sz w:val="13"/>
          <w:szCs w:val="13"/>
          <w:color w:val="auto"/>
        </w:rPr>
        <w:t>requirements in the next 12 months, including working capital requirements, capital expenditures, interest payments, potential acquisitions and strategic investments, dividends and stock repurchases.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In summary, the Company’s cash flows for each period were as follows:</w:t>
      </w:r>
    </w:p>
    <w:p>
      <w:pPr>
        <w:spacing w:after="0" w:line="163" w:lineRule="exact"/>
        <w:rPr>
          <w:sz w:val="20"/>
          <w:szCs w:val="20"/>
          <w:color w:val="auto"/>
        </w:rPr>
      </w:pPr>
    </w:p>
    <w:p>
      <w:pPr>
        <w:ind w:left="9400"/>
        <w:spacing w:after="0"/>
        <w:rPr>
          <w:sz w:val="20"/>
          <w:szCs w:val="20"/>
          <w:color w:val="auto"/>
        </w:rPr>
      </w:pPr>
      <w:r>
        <w:rPr>
          <w:rFonts w:ascii="Arial" w:cs="Arial" w:eastAsia="Arial" w:hAnsi="Arial"/>
          <w:sz w:val="11"/>
          <w:szCs w:val="11"/>
          <w:b w:val="1"/>
          <w:bCs w:val="1"/>
          <w:color w:val="auto"/>
        </w:rPr>
        <w:t>Six Months Ended</w:t>
      </w:r>
    </w:p>
    <w:p>
      <w:pPr>
        <w:ind w:left="9700"/>
        <w:spacing w:after="0"/>
        <w:rPr>
          <w:sz w:val="20"/>
          <w:szCs w:val="20"/>
          <w:color w:val="auto"/>
        </w:rPr>
      </w:pPr>
      <w:r>
        <w:rPr>
          <w:rFonts w:ascii="Arial" w:cs="Arial" w:eastAsia="Arial" w:hAnsi="Arial"/>
          <w:sz w:val="11"/>
          <w:szCs w:val="11"/>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8480" w:type="dxa"/>
            <w:vAlign w:val="bottom"/>
          </w:tcPr>
          <w:p>
            <w:pPr>
              <w:spacing w:after="0"/>
              <w:rPr>
                <w:sz w:val="20"/>
                <w:szCs w:val="20"/>
                <w:color w:val="auto"/>
              </w:rPr>
            </w:pPr>
            <w:r>
              <w:rPr>
                <w:rFonts w:ascii="Arial" w:cs="Arial" w:eastAsia="Arial" w:hAnsi="Arial"/>
                <w:sz w:val="11"/>
                <w:szCs w:val="11"/>
                <w:b w:val="1"/>
                <w:bCs w:val="1"/>
                <w:color w:val="auto"/>
              </w:rPr>
              <w:t>(In thousands)</w:t>
            </w:r>
          </w:p>
        </w:tc>
        <w:tc>
          <w:tcPr>
            <w:tcW w:w="1380" w:type="dxa"/>
            <w:vAlign w:val="bottom"/>
            <w:tcBorders>
              <w:top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2023</w:t>
            </w:r>
          </w:p>
        </w:tc>
        <w:tc>
          <w:tcPr>
            <w:tcW w:w="1380" w:type="dxa"/>
            <w:vAlign w:val="bottom"/>
            <w:tcBorders>
              <w:top w:val="single" w:sz="8" w:color="auto"/>
            </w:tcBorders>
          </w:tcPr>
          <w:p>
            <w:pPr>
              <w:jc w:val="right"/>
              <w:ind w:right="486"/>
              <w:spacing w:after="0"/>
              <w:rPr>
                <w:sz w:val="20"/>
                <w:szCs w:val="20"/>
                <w:color w:val="auto"/>
              </w:rPr>
            </w:pPr>
            <w:r>
              <w:rPr>
                <w:rFonts w:ascii="Arial" w:cs="Arial" w:eastAsia="Arial" w:hAnsi="Arial"/>
                <w:sz w:val="11"/>
                <w:szCs w:val="1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4756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7560" cy="635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cash provided by operating activities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cash used in investing activities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cash used in financing activities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Effect of currency exchange rate change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480" w:type="dxa"/>
            <w:vAlign w:val="bottom"/>
          </w:tcPr>
          <w:p>
            <w:pPr>
              <w:jc w:val="right"/>
              <w:ind w:right="33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2"/>
                <w:szCs w:val="12"/>
                <w:b w:val="1"/>
                <w:bCs w:val="1"/>
                <w:color w:val="auto"/>
              </w:rPr>
              <w:t>62,239</w:t>
            </w:r>
          </w:p>
        </w:tc>
        <w:tc>
          <w:tcPr>
            <w:tcW w:w="52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99,408</w:t>
            </w:r>
          </w:p>
        </w:tc>
      </w:tr>
      <w:tr>
        <w:trPr>
          <w:trHeight w:val="172"/>
        </w:trPr>
        <w:tc>
          <w:tcPr>
            <w:tcW w:w="480" w:type="dxa"/>
            <w:vAlign w:val="bottom"/>
          </w:tcPr>
          <w:p>
            <w:pPr>
              <w:spacing w:after="0"/>
              <w:rPr>
                <w:sz w:val="14"/>
                <w:szCs w:val="14"/>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b w:val="1"/>
                <w:bCs w:val="1"/>
                <w:color w:val="auto"/>
              </w:rPr>
              <w:t>(22,972)</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(17,916)</w:t>
            </w:r>
          </w:p>
        </w:tc>
      </w:tr>
      <w:tr>
        <w:trPr>
          <w:trHeight w:val="172"/>
        </w:trPr>
        <w:tc>
          <w:tcPr>
            <w:tcW w:w="480" w:type="dxa"/>
            <w:vAlign w:val="bottom"/>
          </w:tcPr>
          <w:p>
            <w:pPr>
              <w:spacing w:after="0"/>
              <w:rPr>
                <w:sz w:val="14"/>
                <w:szCs w:val="14"/>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b w:val="1"/>
                <w:bCs w:val="1"/>
                <w:color w:val="auto"/>
              </w:rPr>
              <w:t>(77,880)</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(89,571)</w:t>
            </w:r>
          </w:p>
        </w:tc>
      </w:tr>
      <w:tr>
        <w:trPr>
          <w:trHeight w:val="180"/>
        </w:trPr>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561</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(4,901)</w:t>
            </w:r>
          </w:p>
        </w:tc>
      </w:tr>
      <w:tr>
        <w:trPr>
          <w:trHeight w:val="168"/>
        </w:trPr>
        <w:tc>
          <w:tcPr>
            <w:tcW w:w="4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(38,052)</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(12,980)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ectPr>
          <w:pgSz w:w="11900" w:h="16838" w:orient="portrait"/>
          <w:cols w:equalWidth="0" w:num="2">
            <w:col w:w="7780" w:space="720"/>
            <w:col w:w="2780"/>
          </w:cols>
          <w:pgMar w:left="300" w:top="695" w:right="319" w:bottom="1440" w:gutter="0" w:footer="0" w:header="0"/>
          <w:type w:val="continuous"/>
        </w:sectPr>
      </w:pPr>
    </w:p>
    <w:p>
      <w:pPr>
        <w:ind w:right="20"/>
        <w:spacing w:after="0" w:line="288" w:lineRule="auto"/>
        <w:rPr>
          <w:sz w:val="20"/>
          <w:szCs w:val="20"/>
          <w:color w:val="auto"/>
        </w:rPr>
      </w:pPr>
      <w:r>
        <w:rPr>
          <w:rFonts w:ascii="Arial" w:cs="Arial" w:eastAsia="Arial" w:hAnsi="Arial"/>
          <w:sz w:val="13"/>
          <w:szCs w:val="13"/>
          <w:b w:val="1"/>
          <w:bCs w:val="1"/>
          <w:color w:val="auto"/>
        </w:rPr>
        <w:t xml:space="preserve">Operating Activities. </w:t>
      </w:r>
      <w:r>
        <w:rPr>
          <w:rFonts w:ascii="Arial" w:cs="Arial" w:eastAsia="Arial" w:hAnsi="Arial"/>
          <w:sz w:val="13"/>
          <w:szCs w:val="13"/>
          <w:color w:val="auto"/>
        </w:rPr>
        <w:t>Cash provided by operating activities is net income adjusted for certain non-cash items and changes in assets and liabilities. The Company’s net cash flow provided by</w:t>
      </w:r>
      <w:r>
        <w:rPr>
          <w:rFonts w:ascii="Arial" w:cs="Arial" w:eastAsia="Arial" w:hAnsi="Arial"/>
          <w:sz w:val="13"/>
          <w:szCs w:val="13"/>
          <w:b w:val="1"/>
          <w:bCs w:val="1"/>
          <w:color w:val="auto"/>
        </w:rPr>
        <w:t xml:space="preserve"> </w:t>
      </w:r>
      <w:r>
        <w:rPr>
          <w:rFonts w:ascii="Arial" w:cs="Arial" w:eastAsia="Arial" w:hAnsi="Arial"/>
          <w:sz w:val="13"/>
          <w:szCs w:val="13"/>
          <w:color w:val="auto"/>
        </w:rPr>
        <w:t>operating activities were as follows:</w:t>
      </w:r>
    </w:p>
    <w:p>
      <w:pPr>
        <w:spacing w:after="0" w:line="111" w:lineRule="exact"/>
        <w:rPr>
          <w:sz w:val="20"/>
          <w:szCs w:val="20"/>
          <w:color w:val="auto"/>
        </w:rPr>
      </w:pPr>
    </w:p>
    <w:p>
      <w:pPr>
        <w:ind w:left="9400"/>
        <w:spacing w:after="0"/>
        <w:rPr>
          <w:sz w:val="20"/>
          <w:szCs w:val="20"/>
          <w:color w:val="auto"/>
        </w:rPr>
      </w:pPr>
      <w:r>
        <w:rPr>
          <w:rFonts w:ascii="Arial" w:cs="Arial" w:eastAsia="Arial" w:hAnsi="Arial"/>
          <w:sz w:val="11"/>
          <w:szCs w:val="11"/>
          <w:b w:val="1"/>
          <w:bCs w:val="1"/>
          <w:color w:val="auto"/>
        </w:rPr>
        <w:t>Six Months Ended</w:t>
      </w:r>
    </w:p>
    <w:tbl>
      <w:tblPr>
        <w:tblLayout w:type="fixed"/>
        <w:tblInd w:w="0" w:type="dxa"/>
        <w:tblCellMar>
          <w:top w:w="0" w:type="dxa"/>
          <w:left w:w="0" w:type="dxa"/>
          <w:bottom w:w="0" w:type="dxa"/>
          <w:right w:w="0" w:type="dxa"/>
        </w:tblCellMar>
      </w:tblPr>
      <w:tr>
        <w:trPr>
          <w:trHeight w:val="148"/>
        </w:trPr>
        <w:tc>
          <w:tcPr>
            <w:tcW w:w="8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1"/>
                <w:szCs w:val="11"/>
                <w:b w:val="1"/>
                <w:bCs w:val="1"/>
                <w:color w:val="auto"/>
              </w:rPr>
              <w:t>June 30</w:t>
            </w:r>
          </w:p>
        </w:tc>
        <w:tc>
          <w:tcPr>
            <w:tcW w:w="980" w:type="dxa"/>
            <w:vAlign w:val="bottom"/>
            <w:tcBorders>
              <w:bottom w:val="single" w:sz="8" w:color="auto"/>
            </w:tcBorders>
          </w:tcPr>
          <w:p>
            <w:pPr>
              <w:spacing w:after="0"/>
              <w:rPr>
                <w:sz w:val="12"/>
                <w:szCs w:val="12"/>
                <w:color w:val="auto"/>
              </w:rPr>
            </w:pPr>
          </w:p>
        </w:tc>
      </w:tr>
      <w:tr>
        <w:trPr>
          <w:trHeight w:val="147"/>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color w:val="auto"/>
              </w:rPr>
              <w:t>2022</w:t>
            </w:r>
          </w:p>
        </w:tc>
      </w:tr>
      <w:tr>
        <w:trPr>
          <w:trHeight w:val="163"/>
        </w:trPr>
        <w:tc>
          <w:tcPr>
            <w:tcW w:w="85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320" w:type="dxa"/>
            <w:vAlign w:val="bottom"/>
          </w:tcPr>
          <w:p>
            <w:pPr>
              <w:jc w:val="right"/>
              <w:ind w:right="179"/>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177,148</w:t>
            </w:r>
          </w:p>
        </w:tc>
        <w:tc>
          <w:tcPr>
            <w:tcW w:w="40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29,951</w:t>
            </w:r>
          </w:p>
        </w:tc>
      </w:tr>
      <w:tr>
        <w:trPr>
          <w:trHeight w:val="161"/>
        </w:trPr>
        <w:tc>
          <w:tcPr>
            <w:tcW w:w="8500" w:type="dxa"/>
            <w:vAlign w:val="bottom"/>
          </w:tcPr>
          <w:p>
            <w:pPr>
              <w:ind w:left="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8500" w:type="dxa"/>
            <w:vAlign w:val="bottom"/>
          </w:tcPr>
          <w:p>
            <w:pPr>
              <w:ind w:left="100"/>
              <w:spacing w:after="0"/>
              <w:rPr>
                <w:sz w:val="20"/>
                <w:szCs w:val="20"/>
                <w:color w:val="auto"/>
              </w:rPr>
            </w:pPr>
            <w:r>
              <w:rPr>
                <w:rFonts w:ascii="Arial" w:cs="Arial" w:eastAsia="Arial" w:hAnsi="Arial"/>
                <w:sz w:val="12"/>
                <w:szCs w:val="12"/>
                <w:color w:val="auto"/>
              </w:rPr>
              <w:t>Depreciation, amortization and long-lived asset impairments</w:t>
            </w:r>
          </w:p>
        </w:tc>
        <w:tc>
          <w:tcPr>
            <w:tcW w:w="320" w:type="dxa"/>
            <w:vAlign w:val="bottom"/>
          </w:tcPr>
          <w:p>
            <w:pPr>
              <w:spacing w:after="0"/>
              <w:rPr>
                <w:sz w:val="15"/>
                <w:szCs w:val="15"/>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69,121</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68,689</w:t>
            </w:r>
          </w:p>
        </w:tc>
      </w:tr>
      <w:tr>
        <w:trPr>
          <w:trHeight w:val="172"/>
        </w:trPr>
        <w:tc>
          <w:tcPr>
            <w:tcW w:w="8500" w:type="dxa"/>
            <w:vAlign w:val="bottom"/>
          </w:tcPr>
          <w:p>
            <w:pPr>
              <w:ind w:left="100"/>
              <w:spacing w:after="0"/>
              <w:rPr>
                <w:sz w:val="20"/>
                <w:szCs w:val="20"/>
                <w:color w:val="auto"/>
              </w:rPr>
            </w:pPr>
            <w:r>
              <w:rPr>
                <w:rFonts w:ascii="Arial" w:cs="Arial" w:eastAsia="Arial" w:hAnsi="Arial"/>
                <w:sz w:val="12"/>
                <w:szCs w:val="12"/>
                <w:color w:val="auto"/>
              </w:rPr>
              <w:t>Amortization of lease right-of-use asset</w:t>
            </w:r>
          </w:p>
        </w:tc>
        <w:tc>
          <w:tcPr>
            <w:tcW w:w="32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33,245</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33,473</w:t>
            </w:r>
          </w:p>
        </w:tc>
      </w:tr>
      <w:tr>
        <w:trPr>
          <w:trHeight w:val="182"/>
        </w:trPr>
        <w:tc>
          <w:tcPr>
            <w:tcW w:w="8500" w:type="dxa"/>
            <w:vAlign w:val="bottom"/>
          </w:tcPr>
          <w:p>
            <w:pPr>
              <w:ind w:left="100"/>
              <w:spacing w:after="0"/>
              <w:rPr>
                <w:sz w:val="20"/>
                <w:szCs w:val="20"/>
                <w:color w:val="auto"/>
              </w:rPr>
            </w:pPr>
            <w:r>
              <w:rPr>
                <w:rFonts w:ascii="Arial" w:cs="Arial" w:eastAsia="Arial" w:hAnsi="Arial"/>
                <w:sz w:val="12"/>
                <w:szCs w:val="12"/>
                <w:color w:val="auto"/>
              </w:rPr>
              <w:t>Net pension benefit and special separation benefit expense</w:t>
            </w:r>
          </w:p>
        </w:tc>
        <w:tc>
          <w:tcPr>
            <w:tcW w:w="32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(46,074)</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(90,971)</w:t>
            </w:r>
          </w:p>
        </w:tc>
      </w:tr>
      <w:tr>
        <w:trPr>
          <w:trHeight w:val="172"/>
        </w:trPr>
        <w:tc>
          <w:tcPr>
            <w:tcW w:w="8500" w:type="dxa"/>
            <w:vAlign w:val="bottom"/>
          </w:tcPr>
          <w:p>
            <w:pPr>
              <w:ind w:left="100"/>
              <w:spacing w:after="0"/>
              <w:rPr>
                <w:sz w:val="20"/>
                <w:szCs w:val="20"/>
                <w:color w:val="auto"/>
              </w:rPr>
            </w:pPr>
            <w:r>
              <w:rPr>
                <w:rFonts w:ascii="Arial" w:cs="Arial" w:eastAsia="Arial" w:hAnsi="Arial"/>
                <w:sz w:val="12"/>
                <w:szCs w:val="12"/>
                <w:color w:val="auto"/>
              </w:rPr>
              <w:t>Other non-cash activities</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(76,273)</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130,623</w:t>
            </w:r>
          </w:p>
        </w:tc>
      </w:tr>
      <w:tr>
        <w:trPr>
          <w:trHeight w:val="175"/>
        </w:trPr>
        <w:tc>
          <w:tcPr>
            <w:tcW w:w="8500" w:type="dxa"/>
            <w:vAlign w:val="bottom"/>
          </w:tcPr>
          <w:p>
            <w:pPr>
              <w:ind w:left="100"/>
              <w:spacing w:after="0"/>
              <w:rPr>
                <w:sz w:val="20"/>
                <w:szCs w:val="20"/>
                <w:color w:val="auto"/>
              </w:rPr>
            </w:pPr>
            <w:r>
              <w:rPr>
                <w:rFonts w:ascii="Arial" w:cs="Arial" w:eastAsia="Arial" w:hAnsi="Arial"/>
                <w:sz w:val="12"/>
                <w:szCs w:val="12"/>
                <w:color w:val="auto"/>
              </w:rPr>
              <w:t>Change in operating assets and liabilities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(94,928)</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(72,357)</w:t>
            </w:r>
          </w:p>
        </w:tc>
      </w:tr>
      <w:tr>
        <w:trPr>
          <w:trHeight w:val="165"/>
        </w:trPr>
        <w:tc>
          <w:tcPr>
            <w:tcW w:w="850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62,239</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99,408</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Net cash provided by operating activities consists primarily of cash receipts from customers, less disbursements for costs, benefits, income taxes, interest and other expenses.</w:t>
      </w:r>
    </w:p>
    <w:p>
      <w:pPr>
        <w:spacing w:after="0" w:line="123"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For the first six months of 2023 compared to the first six months of 2022, the decrease in net cash provided by operating activities is primarily driven by lower net income, after adjusting for non-cash activities. The change in non-cash activities is largely the result of fluctuations in the share prices of the Company’s investments in marketable equity securities which resulted in a</w:t>
      </w:r>
    </w:p>
    <w:p>
      <w:pPr>
        <w:spacing w:after="0"/>
        <w:rPr>
          <w:sz w:val="20"/>
          <w:szCs w:val="20"/>
          <w:color w:val="auto"/>
        </w:rPr>
      </w:pPr>
      <w:r>
        <w:rPr>
          <w:rFonts w:ascii="Arial" w:cs="Arial" w:eastAsia="Arial" w:hAnsi="Arial"/>
          <w:sz w:val="13"/>
          <w:szCs w:val="13"/>
          <w:color w:val="auto"/>
        </w:rPr>
        <w:t>gain in 2023 compared to a loss in 2022.</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Investing Activities. </w:t>
      </w:r>
      <w:r>
        <w:rPr>
          <w:rFonts w:ascii="Arial" w:cs="Arial" w:eastAsia="Arial" w:hAnsi="Arial"/>
          <w:sz w:val="13"/>
          <w:szCs w:val="13"/>
          <w:color w:val="auto"/>
        </w:rPr>
        <w:t>The Company’s net cash flow used in investing activities were as follows:</w:t>
      </w:r>
    </w:p>
    <w:p>
      <w:pPr>
        <w:spacing w:after="0" w:line="162" w:lineRule="exact"/>
        <w:rPr>
          <w:sz w:val="20"/>
          <w:szCs w:val="20"/>
          <w:color w:val="auto"/>
        </w:rPr>
      </w:pPr>
    </w:p>
    <w:p>
      <w:pPr>
        <w:ind w:left="9400"/>
        <w:spacing w:after="0"/>
        <w:rPr>
          <w:sz w:val="20"/>
          <w:szCs w:val="20"/>
          <w:color w:val="auto"/>
        </w:rPr>
      </w:pPr>
      <w:r>
        <w:rPr>
          <w:rFonts w:ascii="Arial" w:cs="Arial" w:eastAsia="Arial" w:hAnsi="Arial"/>
          <w:sz w:val="11"/>
          <w:szCs w:val="11"/>
          <w:b w:val="1"/>
          <w:bCs w:val="1"/>
          <w:color w:val="auto"/>
        </w:rPr>
        <w:t>Six Months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1"/>
                <w:szCs w:val="11"/>
                <w:b w:val="1"/>
                <w:bCs w:val="1"/>
                <w:color w:val="auto"/>
              </w:rPr>
              <w:t>June 30</w:t>
            </w:r>
          </w:p>
        </w:tc>
        <w:tc>
          <w:tcPr>
            <w:tcW w:w="980" w:type="dxa"/>
            <w:vAlign w:val="bottom"/>
            <w:tcBorders>
              <w:bottom w:val="single" w:sz="8" w:color="auto"/>
            </w:tcBorders>
          </w:tcPr>
          <w:p>
            <w:pPr>
              <w:spacing w:after="0"/>
              <w:rPr>
                <w:sz w:val="12"/>
                <w:szCs w:val="12"/>
                <w:color w:val="auto"/>
              </w:rPr>
            </w:pPr>
          </w:p>
        </w:tc>
      </w:tr>
      <w:tr>
        <w:trPr>
          <w:trHeight w:val="141"/>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color w:val="auto"/>
              </w:rPr>
              <w:t>2022</w:t>
            </w:r>
          </w:p>
        </w:tc>
      </w:tr>
      <w:tr>
        <w:trPr>
          <w:trHeight w:val="158"/>
        </w:trPr>
        <w:tc>
          <w:tcPr>
            <w:tcW w:w="8500" w:type="dxa"/>
            <w:vAlign w:val="bottom"/>
          </w:tcPr>
          <w:p>
            <w:pPr>
              <w:ind w:left="20"/>
              <w:spacing w:after="0"/>
              <w:rPr>
                <w:sz w:val="20"/>
                <w:szCs w:val="20"/>
                <w:color w:val="auto"/>
              </w:rPr>
            </w:pPr>
            <w:r>
              <w:rPr>
                <w:rFonts w:ascii="Arial" w:cs="Arial" w:eastAsia="Arial" w:hAnsi="Arial"/>
                <w:sz w:val="12"/>
                <w:szCs w:val="12"/>
                <w:color w:val="auto"/>
              </w:rPr>
              <w:t>Net proceeds from sales of marketable equity securities</w:t>
            </w:r>
          </w:p>
        </w:tc>
        <w:tc>
          <w:tcPr>
            <w:tcW w:w="320" w:type="dxa"/>
            <w:vAlign w:val="bottom"/>
          </w:tcPr>
          <w:p>
            <w:pPr>
              <w:jc w:val="right"/>
              <w:ind w:right="179"/>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55,817</w:t>
            </w:r>
          </w:p>
        </w:tc>
        <w:tc>
          <w:tcPr>
            <w:tcW w:w="40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42,765</w:t>
            </w:r>
          </w:p>
        </w:tc>
      </w:tr>
      <w:tr>
        <w:trPr>
          <w:trHeight w:val="169"/>
        </w:trPr>
        <w:tc>
          <w:tcPr>
            <w:tcW w:w="8500" w:type="dxa"/>
            <w:vAlign w:val="bottom"/>
          </w:tcPr>
          <w:p>
            <w:pPr>
              <w:ind w:left="20"/>
              <w:spacing w:after="0"/>
              <w:rPr>
                <w:sz w:val="20"/>
                <w:szCs w:val="20"/>
                <w:color w:val="auto"/>
              </w:rPr>
            </w:pPr>
            <w:r>
              <w:rPr>
                <w:rFonts w:ascii="Arial" w:cs="Arial" w:eastAsia="Arial" w:hAnsi="Arial"/>
                <w:sz w:val="12"/>
                <w:szCs w:val="12"/>
                <w:color w:val="auto"/>
              </w:rPr>
              <w:t>Purchases of property, plant and equipment</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(40,909)</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(32,154)</w:t>
            </w:r>
          </w:p>
        </w:tc>
      </w:tr>
      <w:tr>
        <w:trPr>
          <w:trHeight w:val="172"/>
        </w:trPr>
        <w:tc>
          <w:tcPr>
            <w:tcW w:w="8500" w:type="dxa"/>
            <w:vAlign w:val="bottom"/>
          </w:tcPr>
          <w:p>
            <w:pPr>
              <w:ind w:left="20"/>
              <w:spacing w:after="0"/>
              <w:rPr>
                <w:sz w:val="20"/>
                <w:szCs w:val="20"/>
                <w:color w:val="auto"/>
              </w:rPr>
            </w:pPr>
            <w:r>
              <w:rPr>
                <w:rFonts w:ascii="Arial" w:cs="Arial" w:eastAsia="Arial" w:hAnsi="Arial"/>
                <w:sz w:val="12"/>
                <w:szCs w:val="12"/>
                <w:color w:val="auto"/>
              </w:rPr>
              <w:t>Investments in equity affiliates, cost method and other investments</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(11,982)</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(27,950)</w:t>
            </w:r>
          </w:p>
        </w:tc>
      </w:tr>
      <w:tr>
        <w:trPr>
          <w:trHeight w:val="182"/>
        </w:trPr>
        <w:tc>
          <w:tcPr>
            <w:tcW w:w="8500" w:type="dxa"/>
            <w:vAlign w:val="bottom"/>
          </w:tcPr>
          <w:p>
            <w:pPr>
              <w:ind w:left="20"/>
              <w:spacing w:after="0"/>
              <w:rPr>
                <w:sz w:val="20"/>
                <w:szCs w:val="20"/>
                <w:color w:val="auto"/>
              </w:rPr>
            </w:pPr>
            <w:r>
              <w:rPr>
                <w:rFonts w:ascii="Arial" w:cs="Arial" w:eastAsia="Arial" w:hAnsi="Arial"/>
                <w:sz w:val="12"/>
                <w:szCs w:val="12"/>
                <w:color w:val="auto"/>
              </w:rPr>
              <w:t>Loan to related party</w:t>
            </w:r>
          </w:p>
        </w:tc>
        <w:tc>
          <w:tcPr>
            <w:tcW w:w="32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(30,000)</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8500" w:type="dxa"/>
            <w:vAlign w:val="bottom"/>
          </w:tcPr>
          <w:p>
            <w:pPr>
              <w:ind w:left="20"/>
              <w:spacing w:after="0"/>
              <w:rPr>
                <w:sz w:val="20"/>
                <w:szCs w:val="20"/>
                <w:color w:val="auto"/>
              </w:rPr>
            </w:pPr>
            <w:r>
              <w:rPr>
                <w:rFonts w:ascii="Arial" w:cs="Arial" w:eastAsia="Arial" w:hAnsi="Arial"/>
                <w:sz w:val="12"/>
                <w:szCs w:val="12"/>
                <w:color w:val="auto"/>
              </w:rPr>
              <w:t>Other</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4,102</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(577)</w:t>
            </w:r>
          </w:p>
        </w:tc>
      </w:tr>
      <w:tr>
        <w:trPr>
          <w:trHeight w:val="165"/>
        </w:trPr>
        <w:tc>
          <w:tcPr>
            <w:tcW w:w="8500" w:type="dxa"/>
            <w:vAlign w:val="bottom"/>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(22,972)</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(17,916)</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3"/>
          <w:szCs w:val="13"/>
          <w:i w:val="1"/>
          <w:iCs w:val="1"/>
          <w:color w:val="auto"/>
        </w:rPr>
        <w:t xml:space="preserve">Net proceeds from sale of marketable equity securities. </w:t>
      </w:r>
      <w:r>
        <w:rPr>
          <w:rFonts w:ascii="Arial" w:cs="Arial" w:eastAsia="Arial" w:hAnsi="Arial"/>
          <w:sz w:val="13"/>
          <w:szCs w:val="13"/>
          <w:color w:val="auto"/>
        </w:rPr>
        <w:t>During the first six months of 2023 and 2022, the Company sold marketable equity securities that generated proceeds of $62.0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and $74.2 million, respectively. The Company purchased $4.6 million and $31.5 million of marketable equity securities during the first six months of 2023 and 2022.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Capital Expenditures. </w:t>
      </w:r>
      <w:r>
        <w:rPr>
          <w:rFonts w:ascii="Arial" w:cs="Arial" w:eastAsia="Arial" w:hAnsi="Arial"/>
          <w:sz w:val="13"/>
          <w:szCs w:val="13"/>
          <w:color w:val="auto"/>
        </w:rPr>
        <w:t>The amounts reflected in the Company’s Condensed Consolidated Statements of Cash Flows are based on cash payments made during the relevant periods, whereas</w:t>
      </w:r>
    </w:p>
    <w:p>
      <w:pPr>
        <w:spacing w:after="0" w:line="16"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the Company’s capital expenditures for the first six months of 2023 of $44.8 million include assets acquired during the quarter. The Company estimates that its capital expenditures will be in the range of $90 million to $100 million in 2023.</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Investment in equity affiliates. </w:t>
      </w:r>
      <w:r>
        <w:rPr>
          <w:rFonts w:ascii="Arial" w:cs="Arial" w:eastAsia="Arial" w:hAnsi="Arial"/>
          <w:sz w:val="13"/>
          <w:szCs w:val="13"/>
          <w:color w:val="auto"/>
        </w:rPr>
        <w:t>During the first six months of 2022, GHG invested an additional $18.5 million in two affiliates to fund their acquisition of an interest in a health system in Illinois.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type w:val="continuous"/>
        </w:sectPr>
      </w:pPr>
    </w:p>
    <w:bookmarkStart w:id="37" w:name="page38"/>
    <w:bookmarkEnd w:id="37"/>
    <w:p>
      <w:pPr>
        <w:ind w:right="100"/>
        <w:spacing w:after="0" w:line="285" w:lineRule="auto"/>
        <w:rPr>
          <w:sz w:val="20"/>
          <w:szCs w:val="20"/>
          <w:color w:val="auto"/>
        </w:rPr>
      </w:pPr>
      <w:r>
        <w:rPr>
          <w:rFonts w:ascii="Arial" w:cs="Arial" w:eastAsia="Arial" w:hAnsi="Arial"/>
          <w:sz w:val="13"/>
          <w:szCs w:val="13"/>
          <w:i w:val="1"/>
          <w:iCs w:val="1"/>
          <w:color w:val="auto"/>
        </w:rPr>
        <w:t xml:space="preserve">Loan to related party. </w:t>
      </w:r>
      <w:r>
        <w:rPr>
          <w:rFonts w:ascii="Arial" w:cs="Arial" w:eastAsia="Arial" w:hAnsi="Arial"/>
          <w:sz w:val="13"/>
          <w:szCs w:val="13"/>
          <w:color w:val="auto"/>
        </w:rPr>
        <w:t>In April 2023, the Company entered into a term note agreement to loan Intersection $30.0 million at an interest rate of 9% per annum. The principal and interest on the</w:t>
      </w:r>
      <w:r>
        <w:rPr>
          <w:rFonts w:ascii="Arial" w:cs="Arial" w:eastAsia="Arial" w:hAnsi="Arial"/>
          <w:sz w:val="13"/>
          <w:szCs w:val="13"/>
          <w:i w:val="1"/>
          <w:iCs w:val="1"/>
          <w:color w:val="auto"/>
        </w:rPr>
        <w:t xml:space="preserve"> </w:t>
      </w:r>
      <w:r>
        <w:rPr>
          <w:rFonts w:ascii="Arial" w:cs="Arial" w:eastAsia="Arial" w:hAnsi="Arial"/>
          <w:sz w:val="13"/>
          <w:szCs w:val="13"/>
          <w:color w:val="auto"/>
        </w:rPr>
        <w:t>note are payable in monthly installments over 5 years with the final payment due by May 2028. The outstanding balance on this loan was $29.7 million as of June 30, 2023.</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Financing Activities. </w:t>
      </w:r>
      <w:r>
        <w:rPr>
          <w:rFonts w:ascii="Arial" w:cs="Arial" w:eastAsia="Arial" w:hAnsi="Arial"/>
          <w:sz w:val="13"/>
          <w:szCs w:val="13"/>
          <w:color w:val="auto"/>
        </w:rPr>
        <w:t>The Company’s net cash flow used in financing activities were as follows:</w:t>
      </w:r>
    </w:p>
    <w:p>
      <w:pPr>
        <w:spacing w:after="0" w:line="132" w:lineRule="exact"/>
        <w:rPr>
          <w:sz w:val="20"/>
          <w:szCs w:val="20"/>
          <w:color w:val="auto"/>
        </w:rPr>
      </w:pPr>
    </w:p>
    <w:p>
      <w:pPr>
        <w:ind w:left="9400"/>
        <w:spacing w:after="0"/>
        <w:rPr>
          <w:sz w:val="20"/>
          <w:szCs w:val="20"/>
          <w:color w:val="auto"/>
        </w:rPr>
      </w:pPr>
      <w:r>
        <w:rPr>
          <w:rFonts w:ascii="Arial" w:cs="Arial" w:eastAsia="Arial" w:hAnsi="Arial"/>
          <w:sz w:val="11"/>
          <w:szCs w:val="11"/>
          <w:b w:val="1"/>
          <w:bCs w:val="1"/>
          <w:color w:val="auto"/>
        </w:rPr>
        <w:t>Six Months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1"/>
                <w:szCs w:val="11"/>
                <w:b w:val="1"/>
                <w:bCs w:val="1"/>
                <w:color w:val="auto"/>
              </w:rPr>
              <w:t>June 30</w:t>
            </w:r>
          </w:p>
        </w:tc>
        <w:tc>
          <w:tcPr>
            <w:tcW w:w="980" w:type="dxa"/>
            <w:vAlign w:val="bottom"/>
            <w:tcBorders>
              <w:bottom w:val="single" w:sz="8" w:color="auto"/>
            </w:tcBorders>
          </w:tcPr>
          <w:p>
            <w:pPr>
              <w:spacing w:after="0"/>
              <w:rPr>
                <w:sz w:val="11"/>
                <w:szCs w:val="11"/>
                <w:color w:val="auto"/>
              </w:rPr>
            </w:pPr>
          </w:p>
        </w:tc>
      </w:tr>
      <w:tr>
        <w:trPr>
          <w:trHeight w:val="147"/>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color w:val="auto"/>
              </w:rPr>
              <w:t>2022</w:t>
            </w:r>
          </w:p>
        </w:tc>
      </w:tr>
      <w:tr>
        <w:trPr>
          <w:trHeight w:val="163"/>
        </w:trPr>
        <w:tc>
          <w:tcPr>
            <w:tcW w:w="8500" w:type="dxa"/>
            <w:vAlign w:val="bottom"/>
          </w:tcPr>
          <w:p>
            <w:pPr>
              <w:ind w:left="20"/>
              <w:spacing w:after="0"/>
              <w:rPr>
                <w:sz w:val="20"/>
                <w:szCs w:val="20"/>
                <w:color w:val="auto"/>
              </w:rPr>
            </w:pPr>
            <w:r>
              <w:rPr>
                <w:rFonts w:ascii="Arial" w:cs="Arial" w:eastAsia="Arial" w:hAnsi="Arial"/>
                <w:sz w:val="12"/>
                <w:szCs w:val="12"/>
                <w:color w:val="auto"/>
              </w:rPr>
              <w:t>Net payments under revolving credit facility</w:t>
            </w:r>
          </w:p>
        </w:tc>
        <w:tc>
          <w:tcPr>
            <w:tcW w:w="320" w:type="dxa"/>
            <w:vAlign w:val="bottom"/>
          </w:tcPr>
          <w:p>
            <w:pPr>
              <w:jc w:val="right"/>
              <w:ind w:right="179"/>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(15,000)</w:t>
            </w:r>
          </w:p>
        </w:tc>
        <w:tc>
          <w:tcPr>
            <w:tcW w:w="40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(47,000)</w:t>
            </w:r>
          </w:p>
        </w:tc>
      </w:tr>
      <w:tr>
        <w:trPr>
          <w:trHeight w:val="169"/>
        </w:trPr>
        <w:tc>
          <w:tcPr>
            <w:tcW w:w="8500" w:type="dxa"/>
            <w:vAlign w:val="bottom"/>
          </w:tcPr>
          <w:p>
            <w:pPr>
              <w:ind w:left="20"/>
              <w:spacing w:after="0"/>
              <w:rPr>
                <w:sz w:val="20"/>
                <w:szCs w:val="20"/>
                <w:color w:val="auto"/>
              </w:rPr>
            </w:pPr>
            <w:r>
              <w:rPr>
                <w:rFonts w:ascii="Arial" w:cs="Arial" w:eastAsia="Arial" w:hAnsi="Arial"/>
                <w:sz w:val="12"/>
                <w:szCs w:val="12"/>
                <w:color w:val="auto"/>
              </w:rPr>
              <w:t>Repayments of borrowings</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(7,983)</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(7,580)</w:t>
            </w:r>
          </w:p>
        </w:tc>
      </w:tr>
      <w:tr>
        <w:trPr>
          <w:trHeight w:val="172"/>
        </w:trPr>
        <w:tc>
          <w:tcPr>
            <w:tcW w:w="8500" w:type="dxa"/>
            <w:vAlign w:val="bottom"/>
          </w:tcPr>
          <w:p>
            <w:pPr>
              <w:ind w:left="20"/>
              <w:spacing w:after="0"/>
              <w:rPr>
                <w:sz w:val="20"/>
                <w:szCs w:val="20"/>
                <w:color w:val="auto"/>
              </w:rPr>
            </w:pPr>
            <w:r>
              <w:rPr>
                <w:rFonts w:ascii="Arial" w:cs="Arial" w:eastAsia="Arial" w:hAnsi="Arial"/>
                <w:sz w:val="12"/>
                <w:szCs w:val="12"/>
                <w:color w:val="auto"/>
              </w:rPr>
              <w:t>Net proceeds from vehicle floor plan payable</w:t>
            </w:r>
          </w:p>
        </w:tc>
        <w:tc>
          <w:tcPr>
            <w:tcW w:w="32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b w:val="1"/>
                <w:bCs w:val="1"/>
                <w:color w:val="auto"/>
              </w:rPr>
              <w:t>28,982</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14,121</w:t>
            </w:r>
          </w:p>
        </w:tc>
      </w:tr>
      <w:tr>
        <w:trPr>
          <w:trHeight w:val="172"/>
        </w:trPr>
        <w:tc>
          <w:tcPr>
            <w:tcW w:w="8500" w:type="dxa"/>
            <w:vAlign w:val="bottom"/>
          </w:tcPr>
          <w:p>
            <w:pPr>
              <w:ind w:left="20"/>
              <w:spacing w:after="0"/>
              <w:rPr>
                <w:sz w:val="20"/>
                <w:szCs w:val="20"/>
                <w:color w:val="auto"/>
              </w:rPr>
            </w:pPr>
            <w:r>
              <w:rPr>
                <w:rFonts w:ascii="Arial" w:cs="Arial" w:eastAsia="Arial" w:hAnsi="Arial"/>
                <w:sz w:val="12"/>
                <w:szCs w:val="12"/>
                <w:color w:val="auto"/>
              </w:rPr>
              <w:t>Common shares repurchased</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(69,082)</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(34,303)</w:t>
            </w:r>
          </w:p>
        </w:tc>
      </w:tr>
      <w:tr>
        <w:trPr>
          <w:trHeight w:val="172"/>
        </w:trPr>
        <w:tc>
          <w:tcPr>
            <w:tcW w:w="8500" w:type="dxa"/>
            <w:vAlign w:val="bottom"/>
          </w:tcPr>
          <w:p>
            <w:pPr>
              <w:ind w:left="20"/>
              <w:spacing w:after="0"/>
              <w:rPr>
                <w:sz w:val="20"/>
                <w:szCs w:val="20"/>
                <w:color w:val="auto"/>
              </w:rPr>
            </w:pPr>
            <w:r>
              <w:rPr>
                <w:rFonts w:ascii="Arial" w:cs="Arial" w:eastAsia="Arial" w:hAnsi="Arial"/>
                <w:sz w:val="12"/>
                <w:szCs w:val="12"/>
                <w:color w:val="auto"/>
              </w:rPr>
              <w:t>Dividends paid</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b w:val="1"/>
                <w:bCs w:val="1"/>
                <w:color w:val="auto"/>
              </w:rPr>
              <w:t>(15,746)</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(15,465)</w:t>
            </w:r>
          </w:p>
        </w:tc>
      </w:tr>
      <w:tr>
        <w:trPr>
          <w:trHeight w:val="185"/>
        </w:trPr>
        <w:tc>
          <w:tcPr>
            <w:tcW w:w="8500" w:type="dxa"/>
            <w:vAlign w:val="bottom"/>
          </w:tcPr>
          <w:p>
            <w:pPr>
              <w:ind w:left="20"/>
              <w:spacing w:after="0"/>
              <w:rPr>
                <w:sz w:val="20"/>
                <w:szCs w:val="20"/>
                <w:color w:val="auto"/>
              </w:rPr>
            </w:pPr>
            <w:r>
              <w:rPr>
                <w:rFonts w:ascii="Arial" w:cs="Arial" w:eastAsia="Arial" w:hAnsi="Arial"/>
                <w:sz w:val="12"/>
                <w:szCs w:val="12"/>
                <w:color w:val="auto"/>
              </w:rPr>
              <w:t>Other</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949</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w:t>
            </w:r>
          </w:p>
        </w:tc>
      </w:tr>
      <w:tr>
        <w:trPr>
          <w:trHeight w:val="165"/>
        </w:trPr>
        <w:tc>
          <w:tcPr>
            <w:tcW w:w="8500" w:type="dxa"/>
            <w:vAlign w:val="bottom"/>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3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(77,880)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(89,571)</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spacing w:after="0" w:line="246" w:lineRule="auto"/>
        <w:rPr>
          <w:sz w:val="20"/>
          <w:szCs w:val="20"/>
          <w:color w:val="auto"/>
        </w:rPr>
      </w:pPr>
      <w:r>
        <w:rPr>
          <w:rFonts w:ascii="Arial" w:cs="Arial" w:eastAsia="Arial" w:hAnsi="Arial"/>
          <w:sz w:val="13"/>
          <w:szCs w:val="13"/>
          <w:i w:val="1"/>
          <w:iCs w:val="1"/>
          <w:color w:val="auto"/>
        </w:rPr>
        <w:t xml:space="preserve">Borrowings and Vehicle Floor Plan Payable. </w:t>
      </w:r>
      <w:r>
        <w:rPr>
          <w:rFonts w:ascii="Arial" w:cs="Arial" w:eastAsia="Arial" w:hAnsi="Arial"/>
          <w:sz w:val="13"/>
          <w:szCs w:val="13"/>
          <w:color w:val="auto"/>
        </w:rPr>
        <w:t>In the first six months of 2023 and 2022, the Company made repayments on the $300 million revolving credit facility. In the first six months of</w:t>
      </w:r>
      <w:r>
        <w:rPr>
          <w:rFonts w:ascii="Arial" w:cs="Arial" w:eastAsia="Arial" w:hAnsi="Arial"/>
          <w:sz w:val="13"/>
          <w:szCs w:val="13"/>
          <w:i w:val="1"/>
          <w:iCs w:val="1"/>
          <w:color w:val="auto"/>
        </w:rPr>
        <w:t xml:space="preserve"> </w:t>
      </w:r>
      <w:r>
        <w:rPr>
          <w:rFonts w:ascii="Arial" w:cs="Arial" w:eastAsia="Arial" w:hAnsi="Arial"/>
          <w:sz w:val="13"/>
          <w:szCs w:val="13"/>
          <w:color w:val="auto"/>
        </w:rPr>
        <w:t>2023 and 2022, the Company used vehicle floor plan financing to fund the purchase of new, used and service loaner vehicles at its automotive division. The proceeds from the vehicle floor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plan payable fluctuates with changes in the amount of vehicle inventory held by the automotive dealerships.</w:t>
      </w:r>
    </w:p>
    <w:p>
      <w:pPr>
        <w:spacing w:after="0" w:line="109" w:lineRule="exact"/>
        <w:rPr>
          <w:sz w:val="20"/>
          <w:szCs w:val="20"/>
          <w:color w:val="auto"/>
        </w:rPr>
      </w:pPr>
    </w:p>
    <w:p>
      <w:pPr>
        <w:spacing w:after="0" w:line="246" w:lineRule="auto"/>
        <w:rPr>
          <w:sz w:val="20"/>
          <w:szCs w:val="20"/>
          <w:color w:val="auto"/>
        </w:rPr>
      </w:pPr>
      <w:r>
        <w:rPr>
          <w:rFonts w:ascii="Arial" w:cs="Arial" w:eastAsia="Arial" w:hAnsi="Arial"/>
          <w:sz w:val="13"/>
          <w:szCs w:val="13"/>
          <w:i w:val="1"/>
          <w:iCs w:val="1"/>
          <w:color w:val="auto"/>
        </w:rPr>
        <w:t xml:space="preserve">Common Stock Repurchases. </w:t>
      </w:r>
      <w:r>
        <w:rPr>
          <w:rFonts w:ascii="Arial" w:cs="Arial" w:eastAsia="Arial" w:hAnsi="Arial"/>
          <w:sz w:val="13"/>
          <w:szCs w:val="13"/>
          <w:color w:val="auto"/>
        </w:rPr>
        <w:t>During the first six months of 2023, the Company purchased a total of 116,822 shares of its Class B common stock at a cost of approximately $ 69.1 million. On</w:t>
      </w:r>
      <w:r>
        <w:rPr>
          <w:rFonts w:ascii="Arial" w:cs="Arial" w:eastAsia="Arial" w:hAnsi="Arial"/>
          <w:sz w:val="13"/>
          <w:szCs w:val="13"/>
          <w:i w:val="1"/>
          <w:iCs w:val="1"/>
          <w:color w:val="auto"/>
        </w:rPr>
        <w:t xml:space="preserve"> </w:t>
      </w:r>
      <w:r>
        <w:rPr>
          <w:rFonts w:ascii="Arial" w:cs="Arial" w:eastAsia="Arial" w:hAnsi="Arial"/>
          <w:sz w:val="13"/>
          <w:szCs w:val="13"/>
          <w:color w:val="auto"/>
        </w:rPr>
        <w:t>May 4, 2023, the Board of Directors authorized the Company to acquire up to 500,000 shares of its Class B common stock. The Company did not announce a ceiling price or time limit for the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purchases. At June 30, 2023, the Company had remaining authorization from the Board of Directors to purchase up to 444,715 shares of Class B common stock.</w:t>
      </w:r>
    </w:p>
    <w:p>
      <w:pPr>
        <w:spacing w:after="0" w:line="109" w:lineRule="exact"/>
        <w:rPr>
          <w:sz w:val="20"/>
          <w:szCs w:val="20"/>
          <w:color w:val="auto"/>
        </w:rPr>
      </w:pPr>
    </w:p>
    <w:p>
      <w:pPr>
        <w:ind w:right="160"/>
        <w:spacing w:after="0" w:line="254" w:lineRule="auto"/>
        <w:rPr>
          <w:sz w:val="20"/>
          <w:szCs w:val="20"/>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The quarterly dividend rate per share was $1.65 and $1.58 for the first six months of 2023 and 2022, respectively. The Company expects to pay a dividend of $6.60 per share in</w:t>
      </w:r>
      <w:r>
        <w:rPr>
          <w:rFonts w:ascii="Arial" w:cs="Arial" w:eastAsia="Arial" w:hAnsi="Arial"/>
          <w:sz w:val="13"/>
          <w:szCs w:val="13"/>
          <w:i w:val="1"/>
          <w:iCs w:val="1"/>
          <w:color w:val="auto"/>
        </w:rPr>
        <w:t xml:space="preserve"> </w:t>
      </w:r>
      <w:r>
        <w:rPr>
          <w:rFonts w:ascii="Arial" w:cs="Arial" w:eastAsia="Arial" w:hAnsi="Arial"/>
          <w:sz w:val="13"/>
          <w:szCs w:val="13"/>
          <w:color w:val="auto"/>
        </w:rPr>
        <w:t>2023.</w:t>
      </w:r>
    </w:p>
    <w:p>
      <w:pPr>
        <w:spacing w:after="0" w:line="260"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There were no other significant changes to the Company’s contractual obligations or other commercial commitments from those disclosed in the Company’s Annual Report on Form 10-K for the year ended December 31, 2022.</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Forward-Looking Statements</w:t>
      </w:r>
    </w:p>
    <w:p>
      <w:pPr>
        <w:spacing w:after="0" w:line="129"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All public statements made by the Company and its representatives that are not statements of historical fact, including certain statements in this report, in the Company’s Annual Report on Form 10-K and in the Company’s 2022 Annual Report to Stockholders, are “forward-looking statements” within the meaning of the Private Securities Litigation Reform Act of 1995. Actual</w:t>
      </w:r>
    </w:p>
    <w:p>
      <w:pPr>
        <w:spacing w:after="0"/>
        <w:rPr>
          <w:sz w:val="20"/>
          <w:szCs w:val="20"/>
          <w:color w:val="auto"/>
        </w:rPr>
      </w:pPr>
      <w:r>
        <w:rPr>
          <w:rFonts w:ascii="Arial" w:cs="Arial" w:eastAsia="Arial" w:hAnsi="Arial"/>
          <w:sz w:val="13"/>
          <w:szCs w:val="13"/>
          <w:color w:val="auto"/>
        </w:rPr>
        <w:t>results may differ materially from those projected as a result of certain risks and uncertainties. Other forward-looking statements include comments about expectations related to acquisitions</w:t>
      </w:r>
    </w:p>
    <w:p>
      <w:pPr>
        <w:spacing w:after="0" w:line="2" w:lineRule="exact"/>
        <w:rPr>
          <w:sz w:val="20"/>
          <w:szCs w:val="20"/>
          <w:color w:val="auto"/>
        </w:rPr>
      </w:pPr>
    </w:p>
    <w:p>
      <w:pPr>
        <w:ind w:right="100"/>
        <w:spacing w:after="0" w:line="235" w:lineRule="auto"/>
        <w:rPr>
          <w:sz w:val="20"/>
          <w:szCs w:val="20"/>
          <w:color w:val="auto"/>
        </w:rPr>
      </w:pPr>
      <w:r>
        <w:rPr>
          <w:rFonts w:ascii="Arial" w:cs="Arial" w:eastAsia="Arial" w:hAnsi="Arial"/>
          <w:sz w:val="13"/>
          <w:szCs w:val="13"/>
          <w:color w:val="auto"/>
        </w:rPr>
        <w:t>or dispositions or related business activities, including the TOSA,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w:t>
      </w:r>
    </w:p>
    <w:p>
      <w:pPr>
        <w:spacing w:after="0"/>
        <w:rPr>
          <w:sz w:val="20"/>
          <w:szCs w:val="20"/>
          <w:color w:val="auto"/>
        </w:rPr>
      </w:pPr>
      <w:r>
        <w:rPr>
          <w:rFonts w:ascii="Arial" w:cs="Arial" w:eastAsia="Arial" w:hAnsi="Arial"/>
          <w:sz w:val="13"/>
          <w:szCs w:val="13"/>
          <w:color w:val="auto"/>
        </w:rPr>
        <w:t>uncertainties described in Item 1A of the Company’s Annual Report on Form 10-K, that could cause actual results or events to differ materially from those anticipated in such statements.</w:t>
      </w:r>
    </w:p>
    <w:p>
      <w:pPr>
        <w:spacing w:after="0" w:line="2" w:lineRule="exact"/>
        <w:rPr>
          <w:sz w:val="20"/>
          <w:szCs w:val="20"/>
          <w:color w:val="auto"/>
        </w:rPr>
      </w:pPr>
    </w:p>
    <w:p>
      <w:pPr>
        <w:ind w:right="360"/>
        <w:spacing w:after="0" w:line="247" w:lineRule="auto"/>
        <w:rPr>
          <w:sz w:val="20"/>
          <w:szCs w:val="20"/>
          <w:color w:val="auto"/>
        </w:rPr>
      </w:pPr>
      <w:r>
        <w:rPr>
          <w:rFonts w:ascii="Arial" w:cs="Arial" w:eastAsia="Arial" w:hAnsi="Arial"/>
          <w:sz w:val="13"/>
          <w:szCs w:val="13"/>
          <w:color w:val="auto"/>
        </w:rPr>
        <w:t>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29" w:lineRule="exact"/>
        <w:rPr>
          <w:sz w:val="20"/>
          <w:szCs w:val="20"/>
          <w:color w:val="auto"/>
        </w:rPr>
      </w:pPr>
    </w:p>
    <w:p>
      <w:pPr>
        <w:ind w:right="280"/>
        <w:spacing w:after="0" w:line="243" w:lineRule="auto"/>
        <w:rPr>
          <w:sz w:val="20"/>
          <w:szCs w:val="20"/>
          <w:color w:val="auto"/>
        </w:rPr>
      </w:pPr>
      <w:r>
        <w:rPr>
          <w:rFonts w:ascii="Arial" w:cs="Arial" w:eastAsia="Arial" w:hAnsi="Arial"/>
          <w:sz w:val="13"/>
          <w:szCs w:val="13"/>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w:t>
      </w:r>
    </w:p>
    <w:p>
      <w:pPr>
        <w:spacing w:after="0"/>
        <w:rPr>
          <w:sz w:val="20"/>
          <w:szCs w:val="20"/>
          <w:color w:val="auto"/>
        </w:rPr>
      </w:pPr>
      <w:r>
        <w:rPr>
          <w:rFonts w:ascii="Arial" w:cs="Arial" w:eastAsia="Arial" w:hAnsi="Arial"/>
          <w:sz w:val="13"/>
          <w:szCs w:val="13"/>
          <w:color w:val="auto"/>
        </w:rPr>
        <w:t>market risk disclosures set forth in its 2022 Annual Report filed on Form 10-K have not otherwise changed significantly.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1"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Evaluation of Disclosure Controls and Procedures</w:t>
      </w:r>
    </w:p>
    <w:p>
      <w:pPr>
        <w:spacing w:after="0" w:line="129"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June 30,</w:t>
      </w:r>
    </w:p>
    <w:p>
      <w:pPr>
        <w:spacing w:after="0"/>
        <w:rPr>
          <w:sz w:val="20"/>
          <w:szCs w:val="20"/>
          <w:color w:val="auto"/>
        </w:rPr>
      </w:pPr>
      <w:r>
        <w:rPr>
          <w:rFonts w:ascii="Arial" w:cs="Arial" w:eastAsia="Arial" w:hAnsi="Arial"/>
          <w:sz w:val="13"/>
          <w:szCs w:val="13"/>
          <w:color w:val="auto"/>
        </w:rPr>
        <w:t>2023. Based on that evaluation, the Company’s Chief Executive Officer and Chief Financial Officer have concluded that the Company’s disclosure controls and procedures, as designed and</w:t>
      </w:r>
    </w:p>
    <w:p>
      <w:pPr>
        <w:spacing w:after="0" w:line="2"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color w:val="auto"/>
        </w:rPr>
        <w:t>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w:t>
      </w:r>
    </w:p>
    <w:p>
      <w:pPr>
        <w:spacing w:after="0"/>
        <w:rPr>
          <w:sz w:val="20"/>
          <w:szCs w:val="20"/>
          <w:color w:val="auto"/>
        </w:rPr>
      </w:pPr>
      <w:r>
        <w:rPr>
          <w:rFonts w:ascii="Arial" w:cs="Arial" w:eastAsia="Arial" w:hAnsi="Arial"/>
          <w:sz w:val="13"/>
          <w:szCs w:val="13"/>
          <w:color w:val="auto"/>
        </w:rPr>
        <w:t>the Chief Executive Officer and Chief Financial Officer, in a manner that allows timely decisions regarding required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 Changes in Internal Control Over Financial Reporting</w:t>
      </w:r>
    </w:p>
    <w:p>
      <w:pPr>
        <w:spacing w:after="0" w:line="129"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222222"/>
        </w:rPr>
        <w:t xml:space="preserve">There has been no change in the Company’s internal control over financial reporting during the quarter ended </w:t>
      </w:r>
      <w:r>
        <w:rPr>
          <w:rFonts w:ascii="Arial" w:cs="Arial" w:eastAsia="Arial" w:hAnsi="Arial"/>
          <w:sz w:val="13"/>
          <w:szCs w:val="13"/>
          <w:color w:val="000000"/>
        </w:rPr>
        <w:t>June 30, 2023</w:t>
      </w:r>
      <w:r>
        <w:rPr>
          <w:rFonts w:ascii="Arial" w:cs="Arial" w:eastAsia="Arial" w:hAnsi="Arial"/>
          <w:sz w:val="13"/>
          <w:szCs w:val="13"/>
          <w:color w:val="222222"/>
        </w:rPr>
        <w:t xml:space="preserve"> that has materially affected, or is reasonably likely to materially affect, the Company’s internal control over financial reporting.</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810"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3"/>
          <w:szCs w:val="13"/>
          <w:b w:val="1"/>
          <w:bCs w:val="1"/>
          <w:color w:val="auto"/>
        </w:rPr>
        <w:t>PART II.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Purchases of Equity Securities by the Issuer and Affiliated Purchasers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During the quarter ended June 30, 2023, the Company purchased shares of its Class B Common Stock as set forth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20" w:type="dxa"/>
            <w:vAlign w:val="bottom"/>
          </w:tcPr>
          <w:p>
            <w:pPr>
              <w:spacing w:after="0"/>
              <w:rPr>
                <w:sz w:val="10"/>
                <w:szCs w:val="10"/>
                <w:color w:val="auto"/>
              </w:rPr>
            </w:pPr>
          </w:p>
        </w:tc>
        <w:tc>
          <w:tcPr>
            <w:tcW w:w="1320" w:type="dxa"/>
            <w:vAlign w:val="bottom"/>
            <w:vMerge w:val="restart"/>
          </w:tcPr>
          <w:p>
            <w:pPr>
              <w:jc w:val="right"/>
              <w:ind w:right="2"/>
              <w:spacing w:after="0"/>
              <w:rPr>
                <w:sz w:val="20"/>
                <w:szCs w:val="20"/>
                <w:color w:val="auto"/>
              </w:rPr>
            </w:pPr>
            <w:r>
              <w:rPr>
                <w:rFonts w:ascii="Arial" w:cs="Arial" w:eastAsia="Arial" w:hAnsi="Arial"/>
                <w:sz w:val="11"/>
                <w:szCs w:val="11"/>
                <w:b w:val="1"/>
                <w:bCs w:val="1"/>
                <w:color w:val="auto"/>
                <w:w w:val="99"/>
              </w:rPr>
              <w:t>Total Number of Shares</w:t>
            </w:r>
          </w:p>
        </w:tc>
        <w:tc>
          <w:tcPr>
            <w:tcW w:w="200" w:type="dxa"/>
            <w:vAlign w:val="bottom"/>
          </w:tcPr>
          <w:p>
            <w:pPr>
              <w:spacing w:after="0"/>
              <w:rPr>
                <w:sz w:val="10"/>
                <w:szCs w:val="10"/>
                <w:color w:val="auto"/>
              </w:rPr>
            </w:pPr>
          </w:p>
        </w:tc>
        <w:tc>
          <w:tcPr>
            <w:tcW w:w="980" w:type="dxa"/>
            <w:vAlign w:val="bottom"/>
            <w:vMerge w:val="restart"/>
          </w:tcPr>
          <w:p>
            <w:pPr>
              <w:jc w:val="right"/>
              <w:ind w:right="182"/>
              <w:spacing w:after="0"/>
              <w:rPr>
                <w:sz w:val="20"/>
                <w:szCs w:val="20"/>
                <w:color w:val="auto"/>
              </w:rPr>
            </w:pPr>
            <w:r>
              <w:rPr>
                <w:rFonts w:ascii="Arial" w:cs="Arial" w:eastAsia="Arial" w:hAnsi="Arial"/>
                <w:sz w:val="11"/>
                <w:szCs w:val="11"/>
                <w:b w:val="1"/>
                <w:bCs w:val="1"/>
                <w:color w:val="auto"/>
                <w:w w:val="98"/>
              </w:rPr>
              <w:t>Average Price</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w w:val="96"/>
              </w:rPr>
              <w:t>Total Number of Shares</w:t>
            </w:r>
          </w:p>
        </w:tc>
        <w:tc>
          <w:tcPr>
            <w:tcW w:w="2320" w:type="dxa"/>
            <w:vAlign w:val="bottom"/>
          </w:tcPr>
          <w:p>
            <w:pPr>
              <w:jc w:val="center"/>
              <w:ind w:left="423"/>
              <w:spacing w:after="0"/>
              <w:rPr>
                <w:sz w:val="20"/>
                <w:szCs w:val="20"/>
                <w:color w:val="auto"/>
              </w:rPr>
            </w:pPr>
            <w:r>
              <w:rPr>
                <w:rFonts w:ascii="Arial" w:cs="Arial" w:eastAsia="Arial" w:hAnsi="Arial"/>
                <w:sz w:val="11"/>
                <w:szCs w:val="11"/>
                <w:b w:val="1"/>
                <w:bCs w:val="1"/>
                <w:color w:val="auto"/>
                <w:w w:val="97"/>
              </w:rPr>
              <w:t>Maximum Number of Shares that</w:t>
            </w:r>
          </w:p>
        </w:tc>
        <w:tc>
          <w:tcPr>
            <w:tcW w:w="0" w:type="dxa"/>
            <w:vAlign w:val="bottom"/>
          </w:tcPr>
          <w:p>
            <w:pPr>
              <w:spacing w:after="0"/>
              <w:rPr>
                <w:sz w:val="1"/>
                <w:szCs w:val="1"/>
                <w:color w:val="auto"/>
              </w:rPr>
            </w:pPr>
          </w:p>
        </w:tc>
      </w:tr>
      <w:tr>
        <w:trPr>
          <w:trHeight w:val="121"/>
        </w:trPr>
        <w:tc>
          <w:tcPr>
            <w:tcW w:w="47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Purchased as Part of Publicly</w:t>
            </w:r>
          </w:p>
        </w:tc>
        <w:tc>
          <w:tcPr>
            <w:tcW w:w="2320" w:type="dxa"/>
            <w:vAlign w:val="bottom"/>
          </w:tcPr>
          <w:p>
            <w:pPr>
              <w:jc w:val="center"/>
              <w:ind w:left="423"/>
              <w:spacing w:after="0" w:line="122" w:lineRule="exact"/>
              <w:rPr>
                <w:sz w:val="20"/>
                <w:szCs w:val="20"/>
                <w:color w:val="auto"/>
              </w:rPr>
            </w:pPr>
            <w:r>
              <w:rPr>
                <w:rFonts w:ascii="Arial" w:cs="Arial" w:eastAsia="Arial" w:hAnsi="Arial"/>
                <w:sz w:val="11"/>
                <w:szCs w:val="11"/>
                <w:b w:val="1"/>
                <w:bCs w:val="1"/>
                <w:color w:val="auto"/>
                <w:w w:val="97"/>
              </w:rPr>
              <w:t>May Yet Be Purchased Under the</w:t>
            </w:r>
          </w:p>
        </w:tc>
        <w:tc>
          <w:tcPr>
            <w:tcW w:w="0" w:type="dxa"/>
            <w:vAlign w:val="bottom"/>
          </w:tcPr>
          <w:p>
            <w:pPr>
              <w:spacing w:after="0"/>
              <w:rPr>
                <w:sz w:val="1"/>
                <w:szCs w:val="1"/>
                <w:color w:val="auto"/>
              </w:rPr>
            </w:pPr>
          </w:p>
        </w:tc>
      </w:tr>
      <w:tr>
        <w:trPr>
          <w:trHeight w:val="15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Period</w:t>
            </w: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Purchased</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w w:val="95"/>
              </w:rPr>
              <w:t>Paid 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Announced Plan*</w:t>
            </w:r>
          </w:p>
        </w:tc>
        <w:tc>
          <w:tcPr>
            <w:tcW w:w="232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w w:val="94"/>
              </w:rPr>
              <w:t>Plan*</w:t>
            </w:r>
          </w:p>
        </w:tc>
        <w:tc>
          <w:tcPr>
            <w:tcW w:w="0" w:type="dxa"/>
            <w:vAlign w:val="bottom"/>
          </w:tcPr>
          <w:p>
            <w:pPr>
              <w:spacing w:after="0"/>
              <w:rPr>
                <w:sz w:val="1"/>
                <w:szCs w:val="1"/>
                <w:color w:val="auto"/>
              </w:rPr>
            </w:pPr>
          </w:p>
        </w:tc>
      </w:tr>
      <w:tr>
        <w:trPr>
          <w:trHeight w:val="153"/>
        </w:trPr>
        <w:tc>
          <w:tcPr>
            <w:tcW w:w="4720" w:type="dxa"/>
            <w:vAlign w:val="bottom"/>
          </w:tcPr>
          <w:p>
            <w:pPr>
              <w:ind w:left="20"/>
              <w:spacing w:after="0"/>
              <w:rPr>
                <w:sz w:val="20"/>
                <w:szCs w:val="20"/>
                <w:color w:val="auto"/>
              </w:rPr>
            </w:pPr>
            <w:r>
              <w:rPr>
                <w:rFonts w:ascii="Arial" w:cs="Arial" w:eastAsia="Arial" w:hAnsi="Arial"/>
                <w:sz w:val="12"/>
                <w:szCs w:val="12"/>
                <w:color w:val="auto"/>
              </w:rPr>
              <w:t>April 1 - 30</w:t>
            </w: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19,949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593.29</w:t>
            </w:r>
          </w:p>
        </w:tc>
        <w:tc>
          <w:tcPr>
            <w:tcW w:w="1720" w:type="dxa"/>
            <w:vAlign w:val="bottom"/>
          </w:tcPr>
          <w:p>
            <w:pPr>
              <w:jc w:val="right"/>
              <w:spacing w:after="0"/>
              <w:rPr>
                <w:sz w:val="20"/>
                <w:szCs w:val="20"/>
                <w:color w:val="auto"/>
              </w:rPr>
            </w:pPr>
            <w:r>
              <w:rPr>
                <w:rFonts w:ascii="Arial" w:cs="Arial" w:eastAsia="Arial" w:hAnsi="Arial"/>
                <w:sz w:val="12"/>
                <w:szCs w:val="12"/>
                <w:color w:val="auto"/>
              </w:rPr>
              <w:t>19,949</w:t>
            </w:r>
          </w:p>
        </w:tc>
        <w:tc>
          <w:tcPr>
            <w:tcW w:w="2320" w:type="dxa"/>
            <w:vAlign w:val="bottom"/>
          </w:tcPr>
          <w:p>
            <w:pPr>
              <w:jc w:val="right"/>
              <w:ind w:right="3"/>
              <w:spacing w:after="0"/>
              <w:rPr>
                <w:sz w:val="20"/>
                <w:szCs w:val="20"/>
                <w:color w:val="auto"/>
              </w:rPr>
            </w:pPr>
            <w:r>
              <w:rPr>
                <w:rFonts w:ascii="Arial" w:cs="Arial" w:eastAsia="Arial" w:hAnsi="Arial"/>
                <w:sz w:val="12"/>
                <w:szCs w:val="12"/>
                <w:color w:val="auto"/>
              </w:rPr>
              <w:t>89,677</w:t>
            </w:r>
          </w:p>
        </w:tc>
        <w:tc>
          <w:tcPr>
            <w:tcW w:w="0" w:type="dxa"/>
            <w:vAlign w:val="bottom"/>
          </w:tcPr>
          <w:p>
            <w:pPr>
              <w:spacing w:after="0"/>
              <w:rPr>
                <w:sz w:val="1"/>
                <w:szCs w:val="1"/>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2"/>
                <w:szCs w:val="12"/>
                <w:color w:val="auto"/>
              </w:rPr>
              <w:t>May 1 - 31</w:t>
            </w: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22,700</w:t>
            </w:r>
          </w:p>
        </w:tc>
        <w:tc>
          <w:tcPr>
            <w:tcW w:w="200" w:type="dxa"/>
            <w:vAlign w:val="bottom"/>
          </w:tcPr>
          <w:p>
            <w:pPr>
              <w:spacing w:after="0"/>
              <w:rPr>
                <w:sz w:val="14"/>
                <w:szCs w:val="14"/>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585.56</w:t>
            </w:r>
          </w:p>
        </w:tc>
        <w:tc>
          <w:tcPr>
            <w:tcW w:w="1720" w:type="dxa"/>
            <w:vAlign w:val="bottom"/>
          </w:tcPr>
          <w:p>
            <w:pPr>
              <w:jc w:val="right"/>
              <w:spacing w:after="0"/>
              <w:rPr>
                <w:sz w:val="20"/>
                <w:szCs w:val="20"/>
                <w:color w:val="auto"/>
              </w:rPr>
            </w:pPr>
            <w:r>
              <w:rPr>
                <w:rFonts w:ascii="Arial" w:cs="Arial" w:eastAsia="Arial" w:hAnsi="Arial"/>
                <w:sz w:val="12"/>
                <w:szCs w:val="12"/>
                <w:color w:val="auto"/>
              </w:rPr>
              <w:t>22,700</w:t>
            </w:r>
          </w:p>
        </w:tc>
        <w:tc>
          <w:tcPr>
            <w:tcW w:w="2320" w:type="dxa"/>
            <w:vAlign w:val="bottom"/>
          </w:tcPr>
          <w:p>
            <w:pPr>
              <w:jc w:val="right"/>
              <w:ind w:right="3"/>
              <w:spacing w:after="0"/>
              <w:rPr>
                <w:sz w:val="20"/>
                <w:szCs w:val="20"/>
                <w:color w:val="auto"/>
              </w:rPr>
            </w:pPr>
            <w:r>
              <w:rPr>
                <w:rFonts w:ascii="Arial" w:cs="Arial" w:eastAsia="Arial" w:hAnsi="Arial"/>
                <w:sz w:val="12"/>
                <w:szCs w:val="12"/>
                <w:color w:val="auto"/>
              </w:rPr>
              <w:t>480,093</w:t>
            </w:r>
          </w:p>
        </w:tc>
        <w:tc>
          <w:tcPr>
            <w:tcW w:w="0" w:type="dxa"/>
            <w:vAlign w:val="bottom"/>
          </w:tcPr>
          <w:p>
            <w:pPr>
              <w:spacing w:after="0"/>
              <w:rPr>
                <w:sz w:val="1"/>
                <w:szCs w:val="1"/>
                <w:color w:val="auto"/>
              </w:rPr>
            </w:pPr>
          </w:p>
        </w:tc>
      </w:tr>
      <w:tr>
        <w:trPr>
          <w:trHeight w:val="182"/>
        </w:trPr>
        <w:tc>
          <w:tcPr>
            <w:tcW w:w="4720" w:type="dxa"/>
            <w:vAlign w:val="bottom"/>
          </w:tcPr>
          <w:p>
            <w:pPr>
              <w:ind w:left="20"/>
              <w:spacing w:after="0"/>
              <w:rPr>
                <w:sz w:val="20"/>
                <w:szCs w:val="20"/>
                <w:color w:val="auto"/>
              </w:rPr>
            </w:pPr>
            <w:r>
              <w:rPr>
                <w:rFonts w:ascii="Arial" w:cs="Arial" w:eastAsia="Arial" w:hAnsi="Arial"/>
                <w:sz w:val="12"/>
                <w:szCs w:val="12"/>
                <w:color w:val="auto"/>
              </w:rPr>
              <w:t>June 1 - 30</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35,378</w:t>
            </w:r>
          </w:p>
        </w:tc>
        <w:tc>
          <w:tcPr>
            <w:tcW w:w="20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579.90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35,378</w:t>
            </w:r>
          </w:p>
        </w:tc>
        <w:tc>
          <w:tcPr>
            <w:tcW w:w="2320" w:type="dxa"/>
            <w:vAlign w:val="bottom"/>
          </w:tcPr>
          <w:p>
            <w:pPr>
              <w:jc w:val="right"/>
              <w:ind w:right="3"/>
              <w:spacing w:after="0"/>
              <w:rPr>
                <w:sz w:val="20"/>
                <w:szCs w:val="20"/>
                <w:color w:val="auto"/>
              </w:rPr>
            </w:pPr>
            <w:r>
              <w:rPr>
                <w:rFonts w:ascii="Arial" w:cs="Arial" w:eastAsia="Arial" w:hAnsi="Arial"/>
                <w:sz w:val="12"/>
                <w:szCs w:val="12"/>
                <w:color w:val="auto"/>
              </w:rPr>
              <w:t>444,715</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78,027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584.97</w:t>
            </w:r>
          </w:p>
        </w:tc>
        <w:tc>
          <w:tcPr>
            <w:tcW w:w="1720" w:type="dxa"/>
            <w:vAlign w:val="bottom"/>
          </w:tcPr>
          <w:p>
            <w:pPr>
              <w:jc w:val="right"/>
              <w:spacing w:after="0"/>
              <w:rPr>
                <w:sz w:val="20"/>
                <w:szCs w:val="20"/>
                <w:color w:val="auto"/>
              </w:rPr>
            </w:pPr>
            <w:r>
              <w:rPr>
                <w:rFonts w:ascii="Arial" w:cs="Arial" w:eastAsia="Arial" w:hAnsi="Arial"/>
                <w:sz w:val="12"/>
                <w:szCs w:val="12"/>
                <w:color w:val="auto"/>
              </w:rPr>
              <w:t>78,027</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right="20"/>
        <w:spacing w:after="0" w:line="250" w:lineRule="auto"/>
        <w:rPr>
          <w:sz w:val="20"/>
          <w:szCs w:val="20"/>
          <w:color w:val="auto"/>
        </w:rPr>
      </w:pPr>
      <w:r>
        <w:rPr>
          <w:rFonts w:ascii="Arial" w:cs="Arial" w:eastAsia="Arial" w:hAnsi="Arial"/>
          <w:sz w:val="10"/>
          <w:szCs w:val="10"/>
          <w:color w:val="auto"/>
        </w:rPr>
        <w:t>*On September 10, 2020, the Company’s Board of Directors authorized the Company to purchase, on the open market or otherwise, up to 500,000 shares of its Class B Common Stock. There was no expiration date for this authorization. On May 4, 2023, the Company’s Board of Directors authorized the Company to purchase, on the open market or otherwise, up to 500,000 shares of its Class B Common Stock. This authorization includes shares that remained under the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previous authorization. There is no expiration date for this authorization. All purchases made during the quarter ended June 30, 2023 were open market transactions and some of these shares were purchased under a 10b5-1 plan.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810"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auto"/>
        </w:rPr>
        <w:t>Item 6. Exhibits</w:t>
      </w:r>
      <w:r>
        <w:rPr>
          <w:rFonts w:ascii="Arial" w:cs="Arial" w:eastAsia="Arial" w:hAnsi="Arial"/>
          <w:sz w:val="12"/>
          <w:szCs w:val="12"/>
          <w:b w:val="1"/>
          <w:bCs w:val="1"/>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Exhibit Number</w:t>
            </w: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80" w:type="dxa"/>
            <w:vAlign w:val="bottom"/>
            <w:gridSpan w:val="11"/>
          </w:tcPr>
          <w:p>
            <w:pPr>
              <w:ind w:left="1040"/>
              <w:spacing w:after="0"/>
              <w:rPr>
                <w:sz w:val="20"/>
                <w:szCs w:val="20"/>
                <w:color w:val="auto"/>
              </w:rPr>
            </w:pPr>
            <w:r>
              <w:rPr>
                <w:rFonts w:ascii="Arial" w:cs="Arial" w:eastAsia="Arial" w:hAnsi="Arial"/>
                <w:sz w:val="12"/>
                <w:szCs w:val="12"/>
                <w:b w:val="1"/>
                <w:bCs w:val="1"/>
                <w:color w:val="auto"/>
              </w:rPr>
              <w:t>Description</w:t>
            </w:r>
          </w:p>
        </w:tc>
      </w:tr>
      <w:tr>
        <w:trPr>
          <w:trHeight w:val="118"/>
        </w:trPr>
        <w:tc>
          <w:tcPr>
            <w:tcW w:w="1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73"/>
        </w:trPr>
        <w:tc>
          <w:tcPr>
            <w:tcW w:w="1100" w:type="dxa"/>
            <w:vAlign w:val="bottom"/>
          </w:tcPr>
          <w:p>
            <w:pPr>
              <w:ind w:left="100"/>
              <w:spacing w:after="0"/>
              <w:rPr>
                <w:sz w:val="20"/>
                <w:szCs w:val="20"/>
                <w:color w:val="auto"/>
              </w:rPr>
            </w:pPr>
            <w:r>
              <w:rPr>
                <w:rFonts w:ascii="Arial" w:cs="Arial" w:eastAsia="Arial" w:hAnsi="Arial"/>
                <w:sz w:val="12"/>
                <w:szCs w:val="12"/>
                <w:color w:val="auto"/>
              </w:rPr>
              <w:t>3.1</w:t>
            </w:r>
          </w:p>
        </w:tc>
        <w:tc>
          <w:tcPr>
            <w:tcW w:w="10160" w:type="dxa"/>
            <w:vAlign w:val="bottom"/>
            <w:gridSpan w:val="18"/>
          </w:tcPr>
          <w:p>
            <w:pPr>
              <w:spacing w:after="0"/>
              <w:rPr>
                <w:rFonts w:ascii="Arial" w:cs="Arial" w:eastAsia="Arial" w:hAnsi="Arial"/>
                <w:sz w:val="12"/>
                <w:szCs w:val="12"/>
                <w:color w:val="0000FF"/>
              </w:rPr>
            </w:pPr>
            <w:hyperlink r:id="rId61">
              <w:r>
                <w:rPr>
                  <w:rFonts w:ascii="Arial" w:cs="Arial" w:eastAsia="Arial" w:hAnsi="Arial"/>
                  <w:sz w:val="12"/>
                  <w:szCs w:val="12"/>
                  <w:color w:val="0000FF"/>
                </w:rPr>
                <w:t>Restated Certificate of Incorporation of the Company dated November 13, 2003 (incorporated by reference to Exhibit 3.1 to the Company’s Annual Report on Form 10-K for the fiscal year</w:t>
              </w:r>
            </w:hyperlink>
          </w:p>
        </w:tc>
      </w:tr>
      <w:tr>
        <w:trPr>
          <w:trHeight w:val="111"/>
        </w:trPr>
        <w:tc>
          <w:tcPr>
            <w:tcW w:w="1100" w:type="dxa"/>
            <w:vAlign w:val="bottom"/>
          </w:tcPr>
          <w:p>
            <w:pPr>
              <w:spacing w:after="0"/>
              <w:rPr>
                <w:sz w:val="9"/>
                <w:szCs w:val="9"/>
                <w:color w:val="auto"/>
              </w:rPr>
            </w:pPr>
          </w:p>
        </w:tc>
        <w:tc>
          <w:tcPr>
            <w:tcW w:w="1520" w:type="dxa"/>
            <w:vAlign w:val="bottom"/>
            <w:tcBorders>
              <w:top w:val="single" w:sz="8" w:color="0000FF"/>
              <w:bottom w:val="single" w:sz="8" w:color="0000FF"/>
            </w:tcBorders>
            <w:gridSpan w:val="2"/>
          </w:tcPr>
          <w:p>
            <w:pPr>
              <w:spacing w:after="0" w:line="111" w:lineRule="exact"/>
              <w:rPr>
                <w:rFonts w:ascii="Arial" w:cs="Arial" w:eastAsia="Arial" w:hAnsi="Arial"/>
                <w:sz w:val="12"/>
                <w:szCs w:val="12"/>
                <w:color w:val="0000FF"/>
              </w:rPr>
            </w:pPr>
            <w:hyperlink r:id="rId61">
              <w:r>
                <w:rPr>
                  <w:rFonts w:ascii="Arial" w:cs="Arial" w:eastAsia="Arial" w:hAnsi="Arial"/>
                  <w:sz w:val="12"/>
                  <w:szCs w:val="12"/>
                  <w:color w:val="0000FF"/>
                </w:rPr>
                <w:t>ended December 28, 2003).</w:t>
              </w:r>
            </w:hyperlink>
          </w:p>
        </w:tc>
        <w:tc>
          <w:tcPr>
            <w:tcW w:w="8440" w:type="dxa"/>
            <w:vAlign w:val="bottom"/>
            <w:tcBorders>
              <w:top w:val="single" w:sz="8" w:color="0000FF"/>
            </w:tcBorders>
            <w:gridSpan w:val="11"/>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455"/>
        </w:trPr>
        <w:tc>
          <w:tcPr>
            <w:tcW w:w="1100" w:type="dxa"/>
            <w:vAlign w:val="bottom"/>
          </w:tcPr>
          <w:p>
            <w:pPr>
              <w:ind w:left="100"/>
              <w:spacing w:after="0"/>
              <w:rPr>
                <w:sz w:val="20"/>
                <w:szCs w:val="20"/>
                <w:color w:val="auto"/>
              </w:rPr>
            </w:pPr>
            <w:r>
              <w:rPr>
                <w:rFonts w:ascii="Arial" w:cs="Arial" w:eastAsia="Arial" w:hAnsi="Arial"/>
                <w:sz w:val="12"/>
                <w:szCs w:val="12"/>
                <w:color w:val="auto"/>
              </w:rPr>
              <w:t>3.2</w:t>
            </w:r>
          </w:p>
        </w:tc>
        <w:tc>
          <w:tcPr>
            <w:tcW w:w="10160" w:type="dxa"/>
            <w:vAlign w:val="bottom"/>
            <w:gridSpan w:val="18"/>
          </w:tcPr>
          <w:p>
            <w:pPr>
              <w:spacing w:after="0"/>
              <w:rPr>
                <w:rFonts w:ascii="Arial" w:cs="Arial" w:eastAsia="Arial" w:hAnsi="Arial"/>
                <w:sz w:val="12"/>
                <w:szCs w:val="12"/>
                <w:color w:val="0000FF"/>
              </w:rPr>
            </w:pPr>
            <w:hyperlink r:id="rId62">
              <w:r>
                <w:rPr>
                  <w:rFonts w:ascii="Arial" w:cs="Arial" w:eastAsia="Arial" w:hAnsi="Arial"/>
                  <w:sz w:val="12"/>
                  <w:szCs w:val="12"/>
                  <w:color w:val="0000FF"/>
                </w:rPr>
                <w:t>Certificate of Amendment, effective November 29, 2013, to the Restated Certificate of Incorporation of the Company (incorporated by reference to Exhibit 3.1 to the Company’s current</w:t>
              </w:r>
            </w:hyperlink>
          </w:p>
        </w:tc>
      </w:tr>
      <w:tr>
        <w:trPr>
          <w:trHeight w:val="111"/>
        </w:trPr>
        <w:tc>
          <w:tcPr>
            <w:tcW w:w="1100" w:type="dxa"/>
            <w:vAlign w:val="bottom"/>
          </w:tcPr>
          <w:p>
            <w:pPr>
              <w:spacing w:after="0"/>
              <w:rPr>
                <w:sz w:val="9"/>
                <w:szCs w:val="9"/>
                <w:color w:val="auto"/>
              </w:rPr>
            </w:pPr>
          </w:p>
        </w:tc>
        <w:tc>
          <w:tcPr>
            <w:tcW w:w="9780" w:type="dxa"/>
            <w:vAlign w:val="bottom"/>
            <w:tcBorders>
              <w:top w:val="single" w:sz="8" w:color="0000FF"/>
            </w:tcBorders>
            <w:gridSpan w:val="10"/>
          </w:tcPr>
          <w:p>
            <w:pPr>
              <w:spacing w:after="0" w:line="111" w:lineRule="exact"/>
              <w:rPr>
                <w:rFonts w:ascii="Arial" w:cs="Arial" w:eastAsia="Arial" w:hAnsi="Arial"/>
                <w:sz w:val="12"/>
                <w:szCs w:val="12"/>
                <w:color w:val="0000FF"/>
              </w:rPr>
            </w:pPr>
            <w:hyperlink r:id="rId62">
              <w:r>
                <w:rPr>
                  <w:rFonts w:ascii="Arial" w:cs="Arial" w:eastAsia="Arial" w:hAnsi="Arial"/>
                  <w:sz w:val="12"/>
                  <w:szCs w:val="12"/>
                  <w:color w:val="0000FF"/>
                </w:rPr>
                <w:t>Report on Form 8-K dated November 29, 2013).</w:t>
              </w:r>
            </w:hyperlink>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5"/>
        </w:trPr>
        <w:tc>
          <w:tcPr>
            <w:tcW w:w="1100" w:type="dxa"/>
            <w:vAlign w:val="bottom"/>
          </w:tcPr>
          <w:p>
            <w:pPr>
              <w:ind w:left="100"/>
              <w:spacing w:after="0"/>
              <w:rPr>
                <w:sz w:val="20"/>
                <w:szCs w:val="20"/>
                <w:color w:val="auto"/>
              </w:rPr>
            </w:pPr>
            <w:r>
              <w:rPr>
                <w:rFonts w:ascii="Arial" w:cs="Arial" w:eastAsia="Arial" w:hAnsi="Arial"/>
                <w:sz w:val="12"/>
                <w:szCs w:val="12"/>
                <w:color w:val="auto"/>
              </w:rPr>
              <w:t>3.3</w:t>
            </w:r>
          </w:p>
        </w:tc>
        <w:tc>
          <w:tcPr>
            <w:tcW w:w="10160" w:type="dxa"/>
            <w:vAlign w:val="bottom"/>
            <w:gridSpan w:val="18"/>
          </w:tcPr>
          <w:p>
            <w:pPr>
              <w:spacing w:after="0"/>
              <w:rPr>
                <w:rFonts w:ascii="Arial" w:cs="Arial" w:eastAsia="Arial" w:hAnsi="Arial"/>
                <w:sz w:val="12"/>
                <w:szCs w:val="12"/>
                <w:color w:val="0000FF"/>
              </w:rPr>
            </w:pPr>
            <w:hyperlink r:id="rId63">
              <w:r>
                <w:rPr>
                  <w:rFonts w:ascii="Arial" w:cs="Arial" w:eastAsia="Arial" w:hAnsi="Arial"/>
                  <w:sz w:val="12"/>
                  <w:szCs w:val="12"/>
                  <w:color w:val="0000FF"/>
                </w:rPr>
                <w:t>By-Laws of the Company as amended and restated through November 29, 2013 (incorporated by reference to Exhibit 3.2 to the Company’s Current Report on Form 8-K dated</w:t>
              </w:r>
            </w:hyperlink>
          </w:p>
        </w:tc>
      </w:tr>
      <w:tr>
        <w:trPr>
          <w:trHeight w:val="111"/>
        </w:trPr>
        <w:tc>
          <w:tcPr>
            <w:tcW w:w="1100" w:type="dxa"/>
            <w:vAlign w:val="bottom"/>
          </w:tcPr>
          <w:p>
            <w:pPr>
              <w:spacing w:after="0"/>
              <w:rPr>
                <w:sz w:val="9"/>
                <w:szCs w:val="9"/>
                <w:color w:val="auto"/>
              </w:rPr>
            </w:pPr>
          </w:p>
        </w:tc>
        <w:tc>
          <w:tcPr>
            <w:tcW w:w="1140" w:type="dxa"/>
            <w:vAlign w:val="bottom"/>
            <w:tcBorders>
              <w:top w:val="single" w:sz="8" w:color="0000FF"/>
              <w:bottom w:val="single" w:sz="8" w:color="0000FF"/>
            </w:tcBorders>
          </w:tcPr>
          <w:p>
            <w:pPr>
              <w:spacing w:after="0" w:line="111" w:lineRule="exact"/>
              <w:rPr>
                <w:rFonts w:ascii="Arial" w:cs="Arial" w:eastAsia="Arial" w:hAnsi="Arial"/>
                <w:sz w:val="12"/>
                <w:szCs w:val="12"/>
                <w:color w:val="0000FF"/>
                <w:w w:val="99"/>
              </w:rPr>
            </w:pPr>
            <w:hyperlink r:id="rId63">
              <w:r>
                <w:rPr>
                  <w:rFonts w:ascii="Arial" w:cs="Arial" w:eastAsia="Arial" w:hAnsi="Arial"/>
                  <w:sz w:val="12"/>
                  <w:szCs w:val="12"/>
                  <w:color w:val="0000FF"/>
                  <w:w w:val="99"/>
                </w:rPr>
                <w:t>November 29, 2013).</w:t>
              </w:r>
            </w:hyperlink>
          </w:p>
        </w:tc>
        <w:tc>
          <w:tcPr>
            <w:tcW w:w="8220" w:type="dxa"/>
            <w:vAlign w:val="bottom"/>
            <w:tcBorders>
              <w:top w:val="single" w:sz="8" w:color="0000FF"/>
            </w:tcBorders>
            <w:gridSpan w:val="8"/>
          </w:tcPr>
          <w:p>
            <w:pPr>
              <w:spacing w:after="0"/>
              <w:rPr>
                <w:sz w:val="9"/>
                <w:szCs w:val="9"/>
                <w:color w:val="auto"/>
              </w:rPr>
            </w:pPr>
          </w:p>
        </w:tc>
        <w:tc>
          <w:tcPr>
            <w:tcW w:w="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455"/>
        </w:trPr>
        <w:tc>
          <w:tcPr>
            <w:tcW w:w="1100" w:type="dxa"/>
            <w:vAlign w:val="bottom"/>
          </w:tcPr>
          <w:p>
            <w:pPr>
              <w:ind w:left="100"/>
              <w:spacing w:after="0"/>
              <w:rPr>
                <w:sz w:val="20"/>
                <w:szCs w:val="20"/>
                <w:color w:val="auto"/>
              </w:rPr>
            </w:pPr>
            <w:r>
              <w:rPr>
                <w:rFonts w:ascii="Arial" w:cs="Arial" w:eastAsia="Arial" w:hAnsi="Arial"/>
                <w:sz w:val="12"/>
                <w:szCs w:val="12"/>
                <w:color w:val="auto"/>
              </w:rPr>
              <w:t>4.1</w:t>
            </w:r>
          </w:p>
        </w:tc>
        <w:tc>
          <w:tcPr>
            <w:tcW w:w="10160" w:type="dxa"/>
            <w:vAlign w:val="bottom"/>
            <w:gridSpan w:val="18"/>
          </w:tcPr>
          <w:p>
            <w:pPr>
              <w:spacing w:after="0"/>
              <w:rPr>
                <w:rFonts w:ascii="Arial" w:cs="Arial" w:eastAsia="Arial" w:hAnsi="Arial"/>
                <w:sz w:val="12"/>
                <w:szCs w:val="12"/>
                <w:color w:val="0000FF"/>
              </w:rPr>
            </w:pPr>
            <w:hyperlink r:id="rId64">
              <w:r>
                <w:rPr>
                  <w:rFonts w:ascii="Arial" w:cs="Arial" w:eastAsia="Arial" w:hAnsi="Arial"/>
                  <w:sz w:val="12"/>
                  <w:szCs w:val="12"/>
                  <w:color w:val="0000FF"/>
                </w:rPr>
                <w:t>Senior Notes Indenture dated as of May 30, 2018, between the Company and The Bank of New York Mellon Trust Company, N.A., as Trustee (incorporated by reference to Exhibit 4.1 to the</w:t>
              </w:r>
            </w:hyperlink>
          </w:p>
        </w:tc>
      </w:tr>
      <w:tr>
        <w:trPr>
          <w:trHeight w:val="111"/>
        </w:trPr>
        <w:tc>
          <w:tcPr>
            <w:tcW w:w="1100" w:type="dxa"/>
            <w:vAlign w:val="bottom"/>
          </w:tcPr>
          <w:p>
            <w:pPr>
              <w:spacing w:after="0"/>
              <w:rPr>
                <w:sz w:val="9"/>
                <w:szCs w:val="9"/>
                <w:color w:val="auto"/>
              </w:rPr>
            </w:pPr>
          </w:p>
        </w:tc>
        <w:tc>
          <w:tcPr>
            <w:tcW w:w="10100" w:type="dxa"/>
            <w:vAlign w:val="bottom"/>
            <w:tcBorders>
              <w:top w:val="single" w:sz="8" w:color="0000FF"/>
            </w:tcBorders>
            <w:gridSpan w:val="16"/>
          </w:tcPr>
          <w:p>
            <w:pPr>
              <w:spacing w:after="0" w:line="111" w:lineRule="exact"/>
              <w:rPr>
                <w:rFonts w:ascii="Arial" w:cs="Arial" w:eastAsia="Arial" w:hAnsi="Arial"/>
                <w:sz w:val="12"/>
                <w:szCs w:val="12"/>
                <w:color w:val="0000FF"/>
              </w:rPr>
            </w:pPr>
            <w:hyperlink r:id="rId64">
              <w:r>
                <w:rPr>
                  <w:rFonts w:ascii="Arial" w:cs="Arial" w:eastAsia="Arial" w:hAnsi="Arial"/>
                  <w:sz w:val="12"/>
                  <w:szCs w:val="12"/>
                  <w:color w:val="0000FF"/>
                </w:rPr>
                <w:t>Company’s Current Report on Form 8-K dated May 30, 2018).</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5"/>
        </w:trPr>
        <w:tc>
          <w:tcPr>
            <w:tcW w:w="1100" w:type="dxa"/>
            <w:vAlign w:val="bottom"/>
          </w:tcPr>
          <w:p>
            <w:pPr>
              <w:ind w:left="100"/>
              <w:spacing w:after="0"/>
              <w:rPr>
                <w:sz w:val="20"/>
                <w:szCs w:val="20"/>
                <w:color w:val="auto"/>
              </w:rPr>
            </w:pPr>
            <w:r>
              <w:rPr>
                <w:rFonts w:ascii="Arial" w:cs="Arial" w:eastAsia="Arial" w:hAnsi="Arial"/>
                <w:sz w:val="12"/>
                <w:szCs w:val="12"/>
                <w:color w:val="auto"/>
              </w:rPr>
              <w:t>4.2</w:t>
            </w:r>
          </w:p>
        </w:tc>
        <w:tc>
          <w:tcPr>
            <w:tcW w:w="10080" w:type="dxa"/>
            <w:vAlign w:val="bottom"/>
            <w:tcBorders>
              <w:bottom w:val="single" w:sz="8" w:color="0000FF"/>
            </w:tcBorders>
            <w:gridSpan w:val="15"/>
          </w:tcPr>
          <w:p>
            <w:pPr>
              <w:spacing w:after="0"/>
              <w:rPr>
                <w:rFonts w:ascii="Arial" w:cs="Arial" w:eastAsia="Arial" w:hAnsi="Arial"/>
                <w:sz w:val="12"/>
                <w:szCs w:val="12"/>
                <w:color w:val="0000FF"/>
              </w:rPr>
            </w:pPr>
            <w:hyperlink r:id="rId65">
              <w:r>
                <w:rPr>
                  <w:rFonts w:ascii="Arial" w:cs="Arial" w:eastAsia="Arial" w:hAnsi="Arial"/>
                  <w:sz w:val="12"/>
                  <w:szCs w:val="12"/>
                  <w:color w:val="0000FF"/>
                </w:rPr>
                <w:t>First Supplemental Indenture, dated as of March 24, 2020, among Graham Healthcare Group, Inc., a Delaware corporation, a subsidiary of the Company, and The Bank of New York Mellon</w:t>
              </w:r>
            </w:hyperlink>
          </w:p>
        </w:tc>
        <w:tc>
          <w:tcPr>
            <w:tcW w:w="80" w:type="dxa"/>
            <w:vAlign w:val="bottom"/>
            <w:gridSpan w:val="3"/>
          </w:tcPr>
          <w:p>
            <w:pPr>
              <w:spacing w:after="0"/>
              <w:rPr>
                <w:sz w:val="24"/>
                <w:szCs w:val="24"/>
                <w:color w:val="auto"/>
              </w:rPr>
            </w:pPr>
          </w:p>
        </w:tc>
      </w:tr>
      <w:tr>
        <w:trPr>
          <w:trHeight w:val="121"/>
        </w:trPr>
        <w:tc>
          <w:tcPr>
            <w:tcW w:w="1100" w:type="dxa"/>
            <w:vAlign w:val="bottom"/>
          </w:tcPr>
          <w:p>
            <w:pPr>
              <w:spacing w:after="0"/>
              <w:rPr>
                <w:sz w:val="10"/>
                <w:szCs w:val="10"/>
                <w:color w:val="auto"/>
              </w:rPr>
            </w:pPr>
          </w:p>
        </w:tc>
        <w:tc>
          <w:tcPr>
            <w:tcW w:w="8720" w:type="dxa"/>
            <w:vAlign w:val="bottom"/>
            <w:tcBorders>
              <w:bottom w:val="single" w:sz="8" w:color="0000FF"/>
            </w:tcBorders>
            <w:gridSpan w:val="8"/>
          </w:tcPr>
          <w:p>
            <w:pPr>
              <w:spacing w:after="0" w:line="122" w:lineRule="exact"/>
              <w:rPr>
                <w:rFonts w:ascii="Arial" w:cs="Arial" w:eastAsia="Arial" w:hAnsi="Arial"/>
                <w:sz w:val="12"/>
                <w:szCs w:val="12"/>
                <w:color w:val="0000FF"/>
              </w:rPr>
            </w:pPr>
            <w:hyperlink r:id="rId65">
              <w:r>
                <w:rPr>
                  <w:rFonts w:ascii="Arial" w:cs="Arial" w:eastAsia="Arial" w:hAnsi="Arial"/>
                  <w:sz w:val="12"/>
                  <w:szCs w:val="12"/>
                  <w:color w:val="0000FF"/>
                </w:rPr>
                <w:t>Trust Company, N.A., as trustee (incorporated by reference to Exhibit 4.2 to the Company’s Quarterly Report on Form 10-Q for the quarter ended March 31, 2020).</w:t>
              </w:r>
            </w:hyperlink>
          </w:p>
        </w:tc>
        <w:tc>
          <w:tcPr>
            <w:tcW w:w="1440" w:type="dxa"/>
            <w:vAlign w:val="bottom"/>
            <w:gridSpan w:val="10"/>
          </w:tcPr>
          <w:p>
            <w:pPr>
              <w:spacing w:after="0"/>
              <w:rPr>
                <w:sz w:val="10"/>
                <w:szCs w:val="10"/>
                <w:color w:val="auto"/>
              </w:rPr>
            </w:pPr>
          </w:p>
        </w:tc>
      </w:tr>
      <w:tr>
        <w:trPr>
          <w:trHeight w:val="313"/>
        </w:trPr>
        <w:tc>
          <w:tcPr>
            <w:tcW w:w="1100" w:type="dxa"/>
            <w:vAlign w:val="bottom"/>
          </w:tcPr>
          <w:p>
            <w:pPr>
              <w:ind w:left="100"/>
              <w:spacing w:after="0"/>
              <w:rPr>
                <w:sz w:val="20"/>
                <w:szCs w:val="20"/>
                <w:color w:val="auto"/>
              </w:rPr>
            </w:pPr>
            <w:r>
              <w:rPr>
                <w:rFonts w:ascii="Arial" w:cs="Arial" w:eastAsia="Arial" w:hAnsi="Arial"/>
                <w:sz w:val="12"/>
                <w:szCs w:val="12"/>
                <w:color w:val="auto"/>
              </w:rPr>
              <w:t>4.3</w:t>
            </w:r>
          </w:p>
        </w:tc>
        <w:tc>
          <w:tcPr>
            <w:tcW w:w="10160" w:type="dxa"/>
            <w:vAlign w:val="bottom"/>
            <w:gridSpan w:val="18"/>
          </w:tcPr>
          <w:p>
            <w:pPr>
              <w:spacing w:after="0"/>
              <w:rPr>
                <w:rFonts w:ascii="Arial" w:cs="Arial" w:eastAsia="Arial" w:hAnsi="Arial"/>
                <w:sz w:val="12"/>
                <w:szCs w:val="12"/>
                <w:color w:val="0000FF"/>
              </w:rPr>
            </w:pPr>
            <w:hyperlink r:id="rId66">
              <w:r>
                <w:rPr>
                  <w:rFonts w:ascii="Arial" w:cs="Arial" w:eastAsia="Arial" w:hAnsi="Arial"/>
                  <w:sz w:val="12"/>
                  <w:szCs w:val="12"/>
                  <w:color w:val="0000FF"/>
                </w:rPr>
                <w:t>Second Supplemental Indenture, dated as of January 6, 2022, among Graham Automotive LLC, a Delaware limited liability company, a subsidiary of Graham Holdings Company, a Delaware</w:t>
              </w:r>
            </w:hyperlink>
          </w:p>
        </w:tc>
      </w:tr>
      <w:tr>
        <w:trPr>
          <w:trHeight w:val="111"/>
        </w:trPr>
        <w:tc>
          <w:tcPr>
            <w:tcW w:w="1100" w:type="dxa"/>
            <w:vAlign w:val="bottom"/>
          </w:tcPr>
          <w:p>
            <w:pPr>
              <w:spacing w:after="0"/>
              <w:rPr>
                <w:sz w:val="9"/>
                <w:szCs w:val="9"/>
                <w:color w:val="auto"/>
              </w:rPr>
            </w:pPr>
          </w:p>
        </w:tc>
        <w:tc>
          <w:tcPr>
            <w:tcW w:w="10140" w:type="dxa"/>
            <w:vAlign w:val="bottom"/>
            <w:tcBorders>
              <w:top w:val="single" w:sz="8" w:color="0000FF"/>
            </w:tcBorders>
            <w:gridSpan w:val="17"/>
          </w:tcPr>
          <w:p>
            <w:pPr>
              <w:spacing w:after="0" w:line="111" w:lineRule="exact"/>
              <w:rPr>
                <w:rFonts w:ascii="Arial" w:cs="Arial" w:eastAsia="Arial" w:hAnsi="Arial"/>
                <w:sz w:val="12"/>
                <w:szCs w:val="12"/>
                <w:color w:val="0000FF"/>
              </w:rPr>
            </w:pPr>
            <w:hyperlink r:id="rId66">
              <w:r>
                <w:rPr>
                  <w:rFonts w:ascii="Arial" w:cs="Arial" w:eastAsia="Arial" w:hAnsi="Arial"/>
                  <w:sz w:val="12"/>
                  <w:szCs w:val="12"/>
                  <w:color w:val="0000FF"/>
                </w:rPr>
                <w:t>corporation, and The Bank of New York Mellon Trust Company, N.A., as trustee (incorporated by reference to Exhibit 4.3 to the Company’s Annual Report on Form 10-K for the fiscal year</w:t>
              </w:r>
            </w:hyperlink>
          </w:p>
        </w:tc>
        <w:tc>
          <w:tcPr>
            <w:tcW w:w="20" w:type="dxa"/>
            <w:vAlign w:val="bottom"/>
          </w:tcPr>
          <w:p>
            <w:pPr>
              <w:spacing w:after="0"/>
              <w:rPr>
                <w:sz w:val="9"/>
                <w:szCs w:val="9"/>
                <w:color w:val="auto"/>
              </w:rPr>
            </w:pPr>
          </w:p>
        </w:tc>
      </w:tr>
      <w:tr>
        <w:trPr>
          <w:trHeight w:val="111"/>
        </w:trPr>
        <w:tc>
          <w:tcPr>
            <w:tcW w:w="1100" w:type="dxa"/>
            <w:vAlign w:val="bottom"/>
          </w:tcPr>
          <w:p>
            <w:pPr>
              <w:spacing w:after="0"/>
              <w:rPr>
                <w:sz w:val="9"/>
                <w:szCs w:val="9"/>
                <w:color w:val="auto"/>
              </w:rPr>
            </w:pPr>
          </w:p>
        </w:tc>
        <w:tc>
          <w:tcPr>
            <w:tcW w:w="1520" w:type="dxa"/>
            <w:vAlign w:val="bottom"/>
            <w:tcBorders>
              <w:top w:val="single" w:sz="8" w:color="0000FF"/>
              <w:bottom w:val="single" w:sz="8" w:color="0000FF"/>
            </w:tcBorders>
            <w:gridSpan w:val="2"/>
          </w:tcPr>
          <w:p>
            <w:pPr>
              <w:spacing w:after="0" w:line="111" w:lineRule="exact"/>
              <w:rPr>
                <w:rFonts w:ascii="Arial" w:cs="Arial" w:eastAsia="Arial" w:hAnsi="Arial"/>
                <w:sz w:val="12"/>
                <w:szCs w:val="12"/>
                <w:color w:val="0000FF"/>
              </w:rPr>
            </w:pPr>
            <w:hyperlink r:id="rId66">
              <w:r>
                <w:rPr>
                  <w:rFonts w:ascii="Arial" w:cs="Arial" w:eastAsia="Arial" w:hAnsi="Arial"/>
                  <w:sz w:val="12"/>
                  <w:szCs w:val="12"/>
                  <w:color w:val="0000FF"/>
                </w:rPr>
                <w:t>ended December 31, 2021).</w:t>
              </w:r>
            </w:hyperlink>
          </w:p>
        </w:tc>
        <w:tc>
          <w:tcPr>
            <w:tcW w:w="8420" w:type="dxa"/>
            <w:vAlign w:val="bottom"/>
            <w:tcBorders>
              <w:top w:val="single" w:sz="8" w:color="0000FF"/>
            </w:tcBorders>
            <w:gridSpan w:val="10"/>
          </w:tcPr>
          <w:p>
            <w:pPr>
              <w:spacing w:after="0"/>
              <w:rPr>
                <w:sz w:val="9"/>
                <w:szCs w:val="9"/>
                <w:color w:val="auto"/>
              </w:rPr>
            </w:pPr>
          </w:p>
        </w:tc>
        <w:tc>
          <w:tcPr>
            <w:tcW w:w="100" w:type="dxa"/>
            <w:vAlign w:val="bottom"/>
            <w:gridSpan w:val="2"/>
          </w:tcPr>
          <w:p>
            <w:pPr>
              <w:spacing w:after="0"/>
              <w:rPr>
                <w:sz w:val="9"/>
                <w:szCs w:val="9"/>
                <w:color w:val="auto"/>
              </w:rPr>
            </w:pPr>
          </w:p>
        </w:tc>
        <w:tc>
          <w:tcPr>
            <w:tcW w:w="120" w:type="dxa"/>
            <w:vAlign w:val="bottom"/>
            <w:gridSpan w:val="4"/>
          </w:tcPr>
          <w:p>
            <w:pPr>
              <w:spacing w:after="0"/>
              <w:rPr>
                <w:sz w:val="9"/>
                <w:szCs w:val="9"/>
                <w:color w:val="auto"/>
              </w:rPr>
            </w:pPr>
          </w:p>
        </w:tc>
      </w:tr>
      <w:tr>
        <w:trPr>
          <w:trHeight w:val="313"/>
        </w:trPr>
        <w:tc>
          <w:tcPr>
            <w:tcW w:w="1100" w:type="dxa"/>
            <w:vAlign w:val="bottom"/>
          </w:tcPr>
          <w:p>
            <w:pPr>
              <w:ind w:left="100"/>
              <w:spacing w:after="0"/>
              <w:rPr>
                <w:sz w:val="20"/>
                <w:szCs w:val="20"/>
                <w:color w:val="auto"/>
              </w:rPr>
            </w:pPr>
            <w:r>
              <w:rPr>
                <w:rFonts w:ascii="Arial" w:cs="Arial" w:eastAsia="Arial" w:hAnsi="Arial"/>
                <w:sz w:val="12"/>
                <w:szCs w:val="12"/>
                <w:color w:val="auto"/>
              </w:rPr>
              <w:t>10.1</w:t>
            </w:r>
          </w:p>
        </w:tc>
        <w:tc>
          <w:tcPr>
            <w:tcW w:w="10160" w:type="dxa"/>
            <w:vAlign w:val="bottom"/>
            <w:gridSpan w:val="18"/>
          </w:tcPr>
          <w:p>
            <w:pPr>
              <w:spacing w:after="0"/>
              <w:rPr>
                <w:sz w:val="20"/>
                <w:szCs w:val="20"/>
                <w:color w:val="auto"/>
              </w:rPr>
            </w:pPr>
            <w:r>
              <w:rPr>
                <w:rFonts w:ascii="Arial" w:cs="Arial" w:eastAsia="Arial" w:hAnsi="Arial"/>
                <w:sz w:val="12"/>
                <w:szCs w:val="12"/>
                <w:color w:val="0000FF"/>
              </w:rPr>
              <w:t>First Amendment to Second Amended and Restated Five Year Credit Agreement, dated as of July 28, 2023, among the Company, Kaplan U.K. Limited, and the foreign borrowers from time</w:t>
            </w:r>
          </w:p>
        </w:tc>
      </w:tr>
      <w:tr>
        <w:trPr>
          <w:trHeight w:val="121"/>
        </w:trPr>
        <w:tc>
          <w:tcPr>
            <w:tcW w:w="1100" w:type="dxa"/>
            <w:vAlign w:val="bottom"/>
          </w:tcPr>
          <w:p>
            <w:pPr>
              <w:spacing w:after="0"/>
              <w:rPr>
                <w:sz w:val="10"/>
                <w:szCs w:val="10"/>
                <w:color w:val="auto"/>
              </w:rPr>
            </w:pPr>
          </w:p>
        </w:tc>
        <w:tc>
          <w:tcPr>
            <w:tcW w:w="10040" w:type="dxa"/>
            <w:vAlign w:val="bottom"/>
            <w:tcBorders>
              <w:top w:val="single" w:sz="8" w:color="0000FF"/>
            </w:tcBorders>
            <w:gridSpan w:val="14"/>
          </w:tcPr>
          <w:p>
            <w:pPr>
              <w:spacing w:after="0" w:line="122" w:lineRule="exact"/>
              <w:rPr>
                <w:sz w:val="20"/>
                <w:szCs w:val="20"/>
                <w:color w:val="auto"/>
              </w:rPr>
            </w:pPr>
            <w:r>
              <w:rPr>
                <w:rFonts w:ascii="Arial" w:cs="Arial" w:eastAsia="Arial" w:hAnsi="Arial"/>
                <w:sz w:val="12"/>
                <w:szCs w:val="12"/>
                <w:color w:val="0000FF"/>
              </w:rPr>
              <w:t>to time party thereto, and certain of its domestic subsidiaries as guarantors, the several lenders from time to time party thereto, Wells Fargo Bank, National Association, as Administrative</w:t>
            </w:r>
          </w:p>
        </w:tc>
        <w:tc>
          <w:tcPr>
            <w:tcW w:w="120" w:type="dxa"/>
            <w:vAlign w:val="bottom"/>
            <w:gridSpan w:val="4"/>
          </w:tcPr>
          <w:p>
            <w:pPr>
              <w:spacing w:after="0"/>
              <w:rPr>
                <w:sz w:val="10"/>
                <w:szCs w:val="10"/>
                <w:color w:val="auto"/>
              </w:rPr>
            </w:pPr>
          </w:p>
        </w:tc>
      </w:tr>
      <w:tr>
        <w:trPr>
          <w:trHeight w:val="111"/>
        </w:trPr>
        <w:tc>
          <w:tcPr>
            <w:tcW w:w="1100" w:type="dxa"/>
            <w:vAlign w:val="bottom"/>
          </w:tcPr>
          <w:p>
            <w:pPr>
              <w:spacing w:after="0"/>
              <w:rPr>
                <w:sz w:val="9"/>
                <w:szCs w:val="9"/>
                <w:color w:val="auto"/>
              </w:rPr>
            </w:pPr>
          </w:p>
        </w:tc>
        <w:tc>
          <w:tcPr>
            <w:tcW w:w="3380" w:type="dxa"/>
            <w:vAlign w:val="bottom"/>
            <w:tcBorders>
              <w:top w:val="single" w:sz="8" w:color="0000FF"/>
              <w:bottom w:val="single" w:sz="8" w:color="0000FF"/>
            </w:tcBorders>
            <w:gridSpan w:val="5"/>
          </w:tcPr>
          <w:p>
            <w:pPr>
              <w:spacing w:after="0" w:line="111" w:lineRule="exact"/>
              <w:rPr>
                <w:sz w:val="20"/>
                <w:szCs w:val="20"/>
                <w:color w:val="auto"/>
              </w:rPr>
            </w:pPr>
            <w:r>
              <w:rPr>
                <w:rFonts w:ascii="Arial" w:cs="Arial" w:eastAsia="Arial" w:hAnsi="Arial"/>
                <w:sz w:val="12"/>
                <w:szCs w:val="12"/>
                <w:color w:val="0000FF"/>
              </w:rPr>
              <w:t>Agent and JPMorgan Chase Bank, N.A., as Syndication Agent.</w:t>
            </w:r>
          </w:p>
        </w:tc>
        <w:tc>
          <w:tcPr>
            <w:tcW w:w="6540" w:type="dxa"/>
            <w:vAlign w:val="bottom"/>
            <w:tcBorders>
              <w:top w:val="single" w:sz="8" w:color="0000FF"/>
            </w:tcBorders>
            <w:gridSpan w:val="6"/>
          </w:tcPr>
          <w:p>
            <w:pPr>
              <w:spacing w:after="0"/>
              <w:rPr>
                <w:sz w:val="9"/>
                <w:szCs w:val="9"/>
                <w:color w:val="auto"/>
              </w:rPr>
            </w:pPr>
          </w:p>
        </w:tc>
        <w:tc>
          <w:tcPr>
            <w:tcW w:w="240" w:type="dxa"/>
            <w:vAlign w:val="bottom"/>
            <w:gridSpan w:val="7"/>
          </w:tcPr>
          <w:p>
            <w:pPr>
              <w:spacing w:after="0"/>
              <w:rPr>
                <w:sz w:val="9"/>
                <w:szCs w:val="9"/>
                <w:color w:val="auto"/>
              </w:rPr>
            </w:pPr>
          </w:p>
        </w:tc>
      </w:tr>
      <w:tr>
        <w:trPr>
          <w:trHeight w:val="435"/>
        </w:trPr>
        <w:tc>
          <w:tcPr>
            <w:tcW w:w="1100" w:type="dxa"/>
            <w:vAlign w:val="bottom"/>
          </w:tcPr>
          <w:p>
            <w:pPr>
              <w:ind w:left="100"/>
              <w:spacing w:after="0"/>
              <w:rPr>
                <w:sz w:val="20"/>
                <w:szCs w:val="20"/>
                <w:color w:val="auto"/>
              </w:rPr>
            </w:pPr>
            <w:r>
              <w:rPr>
                <w:rFonts w:ascii="Arial" w:cs="Arial" w:eastAsia="Arial" w:hAnsi="Arial"/>
                <w:sz w:val="12"/>
                <w:szCs w:val="12"/>
                <w:color w:val="auto"/>
              </w:rPr>
              <w:t>31.1</w:t>
            </w:r>
          </w:p>
        </w:tc>
        <w:tc>
          <w:tcPr>
            <w:tcW w:w="3680" w:type="dxa"/>
            <w:vAlign w:val="bottom"/>
            <w:tcBorders>
              <w:bottom w:val="single" w:sz="8" w:color="0000FF"/>
            </w:tcBorders>
            <w:gridSpan w:val="7"/>
          </w:tcPr>
          <w:p>
            <w:pPr>
              <w:spacing w:after="0"/>
              <w:rPr>
                <w:sz w:val="20"/>
                <w:szCs w:val="20"/>
                <w:color w:val="auto"/>
              </w:rPr>
            </w:pPr>
            <w:r>
              <w:rPr>
                <w:rFonts w:ascii="Arial" w:cs="Arial" w:eastAsia="Arial" w:hAnsi="Arial"/>
                <w:sz w:val="12"/>
                <w:szCs w:val="12"/>
                <w:color w:val="0000FF"/>
              </w:rPr>
              <w:t>Rule 13a-14(a)/15d-14(a) Certification of the Chief Executive Officer.</w:t>
            </w:r>
          </w:p>
        </w:tc>
        <w:tc>
          <w:tcPr>
            <w:tcW w:w="6480" w:type="dxa"/>
            <w:vAlign w:val="bottom"/>
            <w:gridSpan w:val="11"/>
          </w:tcPr>
          <w:p>
            <w:pPr>
              <w:spacing w:after="0"/>
              <w:rPr>
                <w:sz w:val="24"/>
                <w:szCs w:val="24"/>
                <w:color w:val="auto"/>
              </w:rPr>
            </w:pPr>
          </w:p>
        </w:tc>
      </w:tr>
      <w:tr>
        <w:trPr>
          <w:trHeight w:val="313"/>
        </w:trPr>
        <w:tc>
          <w:tcPr>
            <w:tcW w:w="1100" w:type="dxa"/>
            <w:vAlign w:val="bottom"/>
          </w:tcPr>
          <w:p>
            <w:pPr>
              <w:ind w:left="100"/>
              <w:spacing w:after="0"/>
              <w:rPr>
                <w:sz w:val="20"/>
                <w:szCs w:val="20"/>
                <w:color w:val="auto"/>
              </w:rPr>
            </w:pPr>
            <w:r>
              <w:rPr>
                <w:rFonts w:ascii="Arial" w:cs="Arial" w:eastAsia="Arial" w:hAnsi="Arial"/>
                <w:sz w:val="12"/>
                <w:szCs w:val="12"/>
                <w:color w:val="auto"/>
              </w:rPr>
              <w:t>31.2</w:t>
            </w:r>
          </w:p>
        </w:tc>
        <w:tc>
          <w:tcPr>
            <w:tcW w:w="3640" w:type="dxa"/>
            <w:vAlign w:val="bottom"/>
            <w:tcBorders>
              <w:bottom w:val="single" w:sz="8" w:color="0000FF"/>
            </w:tcBorders>
            <w:gridSpan w:val="6"/>
          </w:tcPr>
          <w:p>
            <w:pPr>
              <w:spacing w:after="0"/>
              <w:rPr>
                <w:sz w:val="20"/>
                <w:szCs w:val="20"/>
                <w:color w:val="auto"/>
              </w:rPr>
            </w:pPr>
            <w:r>
              <w:rPr>
                <w:rFonts w:ascii="Arial" w:cs="Arial" w:eastAsia="Arial" w:hAnsi="Arial"/>
                <w:sz w:val="12"/>
                <w:szCs w:val="12"/>
                <w:color w:val="0000FF"/>
              </w:rPr>
              <w:t>Rule 13a-14(a)/15d-14(a) Certification of the Chief Financial Officer.</w:t>
            </w:r>
          </w:p>
        </w:tc>
        <w:tc>
          <w:tcPr>
            <w:tcW w:w="6520" w:type="dxa"/>
            <w:vAlign w:val="bottom"/>
            <w:gridSpan w:val="12"/>
          </w:tcPr>
          <w:p>
            <w:pPr>
              <w:spacing w:after="0"/>
              <w:rPr>
                <w:sz w:val="24"/>
                <w:szCs w:val="24"/>
                <w:color w:val="auto"/>
              </w:rPr>
            </w:pPr>
          </w:p>
        </w:tc>
      </w:tr>
    </w:tbl>
    <w:p>
      <w:pPr>
        <w:spacing w:after="0" w:line="206" w:lineRule="exact"/>
        <w:rPr>
          <w:sz w:val="20"/>
          <w:szCs w:val="20"/>
          <w:color w:val="auto"/>
        </w:rPr>
      </w:pPr>
    </w:p>
    <w:p>
      <w:pPr>
        <w:ind w:left="1100" w:hanging="995"/>
        <w:spacing w:after="0"/>
        <w:tabs>
          <w:tab w:leader="none" w:pos="1100" w:val="left"/>
        </w:tabs>
        <w:numPr>
          <w:ilvl w:val="0"/>
          <w:numId w:val="13"/>
        </w:numPr>
        <w:rPr>
          <w:rFonts w:ascii="Arial" w:cs="Arial" w:eastAsia="Arial" w:hAnsi="Arial"/>
          <w:sz w:val="12"/>
          <w:szCs w:val="12"/>
          <w:color w:val="auto"/>
        </w:rPr>
      </w:pPr>
      <w:r>
        <w:rPr>
          <w:rFonts w:ascii="Arial" w:cs="Arial" w:eastAsia="Arial" w:hAnsi="Arial"/>
          <w:sz w:val="12"/>
          <w:szCs w:val="12"/>
          <w:u w:val="single" w:color="auto"/>
          <w:color w:val="0000FF"/>
        </w:rPr>
        <w:t>Section 1350 Certification of the Chief Executive Officer and the Chief Financial Officer.</w:t>
      </w:r>
      <w:r>
        <w:rPr>
          <w:rFonts w:ascii="Arial" w:cs="Arial" w:eastAsia="Arial" w:hAnsi="Arial"/>
          <w:sz w:val="12"/>
          <w:szCs w:val="12"/>
          <w:color w:val="0000FF"/>
        </w:rPr>
        <w:t xml:space="preserve"> </w:t>
      </w:r>
      <w:r>
        <w:rPr>
          <w:rFonts w:ascii="Arial" w:cs="Arial" w:eastAsia="Arial" w:hAnsi="Arial"/>
          <w:sz w:val="12"/>
          <w:szCs w:val="12"/>
          <w:color w:val="000000"/>
        </w:rPr>
        <w:t>*</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740" w:type="dxa"/>
            <w:vAlign w:val="bottom"/>
          </w:tcPr>
          <w:p>
            <w:pPr>
              <w:spacing w:after="0"/>
              <w:rPr>
                <w:sz w:val="20"/>
                <w:szCs w:val="20"/>
                <w:color w:val="auto"/>
              </w:rPr>
            </w:pPr>
            <w:r>
              <w:rPr>
                <w:rFonts w:ascii="Arial" w:cs="Arial" w:eastAsia="Arial" w:hAnsi="Arial"/>
                <w:sz w:val="12"/>
                <w:szCs w:val="12"/>
                <w:color w:val="auto"/>
              </w:rPr>
              <w:t>101.INS</w:t>
            </w:r>
          </w:p>
        </w:tc>
        <w:tc>
          <w:tcPr>
            <w:tcW w:w="9500" w:type="dxa"/>
            <w:vAlign w:val="bottom"/>
          </w:tcPr>
          <w:p>
            <w:pPr>
              <w:ind w:left="260"/>
              <w:spacing w:after="0"/>
              <w:rPr>
                <w:sz w:val="20"/>
                <w:szCs w:val="20"/>
                <w:color w:val="auto"/>
              </w:rPr>
            </w:pPr>
            <w:r>
              <w:rPr>
                <w:rFonts w:ascii="Arial" w:cs="Arial" w:eastAsia="Arial" w:hAnsi="Arial"/>
                <w:sz w:val="12"/>
                <w:szCs w:val="12"/>
                <w:color w:val="auto"/>
              </w:rPr>
              <w:t>Inline XBRL Instance Document - the instance document does not appear in the Interactive Data File because its XBRL tags are embedded within the Inline XBRL document</w:t>
            </w:r>
          </w:p>
        </w:tc>
      </w:tr>
      <w:tr>
        <w:trPr>
          <w:trHeight w:val="333"/>
        </w:trPr>
        <w:tc>
          <w:tcPr>
            <w:tcW w:w="740" w:type="dxa"/>
            <w:vAlign w:val="bottom"/>
          </w:tcPr>
          <w:p>
            <w:pPr>
              <w:spacing w:after="0"/>
              <w:rPr>
                <w:sz w:val="20"/>
                <w:szCs w:val="20"/>
                <w:color w:val="auto"/>
              </w:rPr>
            </w:pPr>
            <w:r>
              <w:rPr>
                <w:rFonts w:ascii="Arial" w:cs="Arial" w:eastAsia="Arial" w:hAnsi="Arial"/>
                <w:sz w:val="12"/>
                <w:szCs w:val="12"/>
                <w:color w:val="auto"/>
              </w:rPr>
              <w:t>101.SCH</w:t>
            </w:r>
          </w:p>
        </w:tc>
        <w:tc>
          <w:tcPr>
            <w:tcW w:w="9500" w:type="dxa"/>
            <w:vAlign w:val="bottom"/>
          </w:tcPr>
          <w:p>
            <w:pPr>
              <w:ind w:left="260"/>
              <w:spacing w:after="0"/>
              <w:rPr>
                <w:sz w:val="20"/>
                <w:szCs w:val="20"/>
                <w:color w:val="auto"/>
              </w:rPr>
            </w:pPr>
            <w:r>
              <w:rPr>
                <w:rFonts w:ascii="Arial" w:cs="Arial" w:eastAsia="Arial" w:hAnsi="Arial"/>
                <w:sz w:val="12"/>
                <w:szCs w:val="12"/>
                <w:color w:val="auto"/>
              </w:rPr>
              <w:t>Inline XBRL Taxonomy Extension Schema Document</w:t>
            </w:r>
          </w:p>
        </w:tc>
      </w:tr>
      <w:tr>
        <w:trPr>
          <w:trHeight w:val="333"/>
        </w:trPr>
        <w:tc>
          <w:tcPr>
            <w:tcW w:w="740" w:type="dxa"/>
            <w:vAlign w:val="bottom"/>
          </w:tcPr>
          <w:p>
            <w:pPr>
              <w:spacing w:after="0"/>
              <w:rPr>
                <w:sz w:val="20"/>
                <w:szCs w:val="20"/>
                <w:color w:val="auto"/>
              </w:rPr>
            </w:pPr>
            <w:r>
              <w:rPr>
                <w:rFonts w:ascii="Arial" w:cs="Arial" w:eastAsia="Arial" w:hAnsi="Arial"/>
                <w:sz w:val="12"/>
                <w:szCs w:val="12"/>
                <w:color w:val="auto"/>
              </w:rPr>
              <w:t>101.CAL</w:t>
            </w:r>
          </w:p>
        </w:tc>
        <w:tc>
          <w:tcPr>
            <w:tcW w:w="9500" w:type="dxa"/>
            <w:vAlign w:val="bottom"/>
          </w:tcPr>
          <w:p>
            <w:pPr>
              <w:ind w:left="260"/>
              <w:spacing w:after="0"/>
              <w:rPr>
                <w:sz w:val="20"/>
                <w:szCs w:val="20"/>
                <w:color w:val="auto"/>
              </w:rPr>
            </w:pPr>
            <w:r>
              <w:rPr>
                <w:rFonts w:ascii="Arial" w:cs="Arial" w:eastAsia="Arial" w:hAnsi="Arial"/>
                <w:sz w:val="12"/>
                <w:szCs w:val="12"/>
                <w:color w:val="auto"/>
              </w:rPr>
              <w:t>Inline XBRL Taxonomy Extension Calculation Linkbase Document</w:t>
            </w:r>
          </w:p>
        </w:tc>
      </w:tr>
      <w:tr>
        <w:trPr>
          <w:trHeight w:val="333"/>
        </w:trPr>
        <w:tc>
          <w:tcPr>
            <w:tcW w:w="740" w:type="dxa"/>
            <w:vAlign w:val="bottom"/>
          </w:tcPr>
          <w:p>
            <w:pPr>
              <w:spacing w:after="0"/>
              <w:rPr>
                <w:sz w:val="20"/>
                <w:szCs w:val="20"/>
                <w:color w:val="auto"/>
              </w:rPr>
            </w:pPr>
            <w:r>
              <w:rPr>
                <w:rFonts w:ascii="Arial" w:cs="Arial" w:eastAsia="Arial" w:hAnsi="Arial"/>
                <w:sz w:val="12"/>
                <w:szCs w:val="12"/>
                <w:color w:val="auto"/>
              </w:rPr>
              <w:t>101.DEF</w:t>
            </w:r>
          </w:p>
        </w:tc>
        <w:tc>
          <w:tcPr>
            <w:tcW w:w="9500" w:type="dxa"/>
            <w:vAlign w:val="bottom"/>
          </w:tcPr>
          <w:p>
            <w:pPr>
              <w:ind w:left="260"/>
              <w:spacing w:after="0"/>
              <w:rPr>
                <w:sz w:val="20"/>
                <w:szCs w:val="20"/>
                <w:color w:val="auto"/>
              </w:rPr>
            </w:pPr>
            <w:r>
              <w:rPr>
                <w:rFonts w:ascii="Arial" w:cs="Arial" w:eastAsia="Arial" w:hAnsi="Arial"/>
                <w:sz w:val="12"/>
                <w:szCs w:val="12"/>
                <w:color w:val="auto"/>
              </w:rPr>
              <w:t>Inline XBRL Taxonomy Extension Definition Linkbase Document</w:t>
            </w:r>
          </w:p>
        </w:tc>
      </w:tr>
      <w:tr>
        <w:trPr>
          <w:trHeight w:val="344"/>
        </w:trPr>
        <w:tc>
          <w:tcPr>
            <w:tcW w:w="740" w:type="dxa"/>
            <w:vAlign w:val="bottom"/>
          </w:tcPr>
          <w:p>
            <w:pPr>
              <w:spacing w:after="0"/>
              <w:rPr>
                <w:sz w:val="20"/>
                <w:szCs w:val="20"/>
                <w:color w:val="auto"/>
              </w:rPr>
            </w:pPr>
            <w:r>
              <w:rPr>
                <w:rFonts w:ascii="Arial" w:cs="Arial" w:eastAsia="Arial" w:hAnsi="Arial"/>
                <w:sz w:val="12"/>
                <w:szCs w:val="12"/>
                <w:color w:val="auto"/>
              </w:rPr>
              <w:t>101.LAB</w:t>
            </w:r>
          </w:p>
        </w:tc>
        <w:tc>
          <w:tcPr>
            <w:tcW w:w="9500" w:type="dxa"/>
            <w:vAlign w:val="bottom"/>
          </w:tcPr>
          <w:p>
            <w:pPr>
              <w:ind w:left="260"/>
              <w:spacing w:after="0"/>
              <w:rPr>
                <w:sz w:val="20"/>
                <w:szCs w:val="20"/>
                <w:color w:val="auto"/>
              </w:rPr>
            </w:pPr>
            <w:r>
              <w:rPr>
                <w:rFonts w:ascii="Arial" w:cs="Arial" w:eastAsia="Arial" w:hAnsi="Arial"/>
                <w:sz w:val="12"/>
                <w:szCs w:val="12"/>
                <w:color w:val="auto"/>
              </w:rPr>
              <w:t>Inline XBRL Taxonomy Extension Label Linkbase Document</w:t>
            </w:r>
          </w:p>
        </w:tc>
      </w:tr>
      <w:tr>
        <w:trPr>
          <w:trHeight w:val="333"/>
        </w:trPr>
        <w:tc>
          <w:tcPr>
            <w:tcW w:w="740" w:type="dxa"/>
            <w:vAlign w:val="bottom"/>
          </w:tcPr>
          <w:p>
            <w:pPr>
              <w:spacing w:after="0"/>
              <w:rPr>
                <w:sz w:val="20"/>
                <w:szCs w:val="20"/>
                <w:color w:val="auto"/>
              </w:rPr>
            </w:pPr>
            <w:r>
              <w:rPr>
                <w:rFonts w:ascii="Arial" w:cs="Arial" w:eastAsia="Arial" w:hAnsi="Arial"/>
                <w:sz w:val="12"/>
                <w:szCs w:val="12"/>
                <w:color w:val="auto"/>
              </w:rPr>
              <w:t>101.PRE</w:t>
            </w:r>
          </w:p>
        </w:tc>
        <w:tc>
          <w:tcPr>
            <w:tcW w:w="9500" w:type="dxa"/>
            <w:vAlign w:val="bottom"/>
          </w:tcPr>
          <w:p>
            <w:pPr>
              <w:ind w:left="260"/>
              <w:spacing w:after="0"/>
              <w:rPr>
                <w:sz w:val="20"/>
                <w:szCs w:val="20"/>
                <w:color w:val="auto"/>
              </w:rPr>
            </w:pPr>
            <w:r>
              <w:rPr>
                <w:rFonts w:ascii="Arial" w:cs="Arial" w:eastAsia="Arial" w:hAnsi="Arial"/>
                <w:sz w:val="12"/>
                <w:szCs w:val="12"/>
                <w:color w:val="auto"/>
              </w:rPr>
              <w:t>Inline XBRL Taxonomy Extension Presentation Linkbase Document</w:t>
            </w:r>
          </w:p>
        </w:tc>
      </w:tr>
    </w:tbl>
    <w:p>
      <w:pPr>
        <w:spacing w:after="0" w:line="180" w:lineRule="exact"/>
        <w:rPr>
          <w:sz w:val="20"/>
          <w:szCs w:val="20"/>
          <w:color w:val="auto"/>
        </w:rPr>
      </w:pPr>
    </w:p>
    <w:p>
      <w:pPr>
        <w:ind w:left="1100" w:hanging="995"/>
        <w:spacing w:after="0"/>
        <w:tabs>
          <w:tab w:leader="none" w:pos="1100" w:val="left"/>
        </w:tabs>
        <w:numPr>
          <w:ilvl w:val="1"/>
          <w:numId w:val="14"/>
        </w:numPr>
        <w:rPr>
          <w:rFonts w:ascii="Arial" w:cs="Arial" w:eastAsia="Arial" w:hAnsi="Arial"/>
          <w:sz w:val="12"/>
          <w:szCs w:val="12"/>
          <w:color w:val="auto"/>
        </w:rPr>
      </w:pPr>
      <w:r>
        <w:rPr>
          <w:rFonts w:ascii="Arial" w:cs="Arial" w:eastAsia="Arial" w:hAnsi="Arial"/>
          <w:sz w:val="12"/>
          <w:szCs w:val="12"/>
          <w:color w:val="auto"/>
        </w:rPr>
        <w:t>Cover Page Interactive Data File, formatted in Inline XBRL and included as Exhibit 101</w:t>
      </w:r>
    </w:p>
    <w:p>
      <w:pPr>
        <w:spacing w:after="0" w:line="18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0"/>
          <w:szCs w:val="10"/>
          <w:color w:val="auto"/>
        </w:rPr>
        <w:t>*   Furnished herewith.</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9201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689"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40" w:type="dxa"/>
            <w:vAlign w:val="bottom"/>
          </w:tcPr>
          <w:p>
            <w:pPr>
              <w:jc w:val="center"/>
              <w:spacing w:after="0"/>
              <w:rPr>
                <w:sz w:val="20"/>
                <w:szCs w:val="20"/>
                <w:color w:val="auto"/>
              </w:rPr>
            </w:pPr>
            <w:r>
              <w:rPr>
                <w:rFonts w:ascii="Arial" w:cs="Arial" w:eastAsia="Arial" w:hAnsi="Arial"/>
                <w:sz w:val="13"/>
                <w:szCs w:val="13"/>
                <w:color w:val="auto"/>
              </w:rPr>
              <w:t>GRAHAM HOLDINGS COMPANY</w:t>
            </w:r>
          </w:p>
        </w:tc>
      </w:tr>
      <w:tr>
        <w:trPr>
          <w:trHeight w:val="192"/>
        </w:trPr>
        <w:tc>
          <w:tcPr>
            <w:tcW w:w="33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040" w:type="dxa"/>
            <w:vAlign w:val="bottom"/>
          </w:tcPr>
          <w:p>
            <w:pPr>
              <w:jc w:val="center"/>
              <w:spacing w:after="0"/>
              <w:rPr>
                <w:sz w:val="20"/>
                <w:szCs w:val="20"/>
                <w:color w:val="auto"/>
              </w:rPr>
            </w:pPr>
            <w:r>
              <w:rPr>
                <w:rFonts w:ascii="Arial" w:cs="Arial" w:eastAsia="Arial" w:hAnsi="Arial"/>
                <w:sz w:val="13"/>
                <w:szCs w:val="13"/>
                <w:color w:val="auto"/>
              </w:rPr>
              <w:t>(Registrant)</w:t>
            </w:r>
          </w:p>
        </w:tc>
      </w:tr>
      <w:tr>
        <w:trPr>
          <w:trHeight w:val="404"/>
        </w:trPr>
        <w:tc>
          <w:tcPr>
            <w:tcW w:w="3380" w:type="dxa"/>
            <w:vAlign w:val="bottom"/>
          </w:tcPr>
          <w:p>
            <w:pPr>
              <w:spacing w:after="0"/>
              <w:rPr>
                <w:sz w:val="20"/>
                <w:szCs w:val="20"/>
                <w:color w:val="auto"/>
              </w:rPr>
            </w:pPr>
            <w:r>
              <w:rPr>
                <w:rFonts w:ascii="Arial" w:cs="Arial" w:eastAsia="Arial" w:hAnsi="Arial"/>
                <w:sz w:val="13"/>
                <w:szCs w:val="13"/>
                <w:color w:val="auto"/>
              </w:rPr>
              <w:t>Date: August 2, 2023</w:t>
            </w:r>
          </w:p>
        </w:tc>
        <w:tc>
          <w:tcPr>
            <w:tcW w:w="380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3"/>
                <w:szCs w:val="13"/>
                <w:color w:val="auto"/>
              </w:rPr>
              <w:t>/s/ Timothy J. O’Shaughnessy</w:t>
            </w:r>
          </w:p>
        </w:tc>
      </w:tr>
      <w:tr>
        <w:trPr>
          <w:trHeight w:val="21"/>
        </w:trPr>
        <w:tc>
          <w:tcPr>
            <w:tcW w:w="3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r>
      <w:tr>
        <w:trPr>
          <w:trHeight w:val="103"/>
        </w:trPr>
        <w:tc>
          <w:tcPr>
            <w:tcW w:w="3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4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w w:val="97"/>
              </w:rPr>
              <w:t>Timothy J. O’Shaughnessy,</w:t>
            </w:r>
          </w:p>
        </w:tc>
      </w:tr>
      <w:tr>
        <w:trPr>
          <w:trHeight w:val="109"/>
        </w:trPr>
        <w:tc>
          <w:tcPr>
            <w:tcW w:w="33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4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8"/>
              </w:rPr>
              <w:t>President &amp; Chief Executive Officer</w:t>
            </w:r>
          </w:p>
        </w:tc>
      </w:tr>
      <w:tr>
        <w:trPr>
          <w:trHeight w:val="149"/>
        </w:trPr>
        <w:tc>
          <w:tcPr>
            <w:tcW w:w="3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40" w:type="dxa"/>
            <w:vAlign w:val="bottom"/>
          </w:tcPr>
          <w:p>
            <w:pPr>
              <w:jc w:val="center"/>
              <w:spacing w:after="0"/>
              <w:rPr>
                <w:sz w:val="20"/>
                <w:szCs w:val="20"/>
                <w:color w:val="auto"/>
              </w:rPr>
            </w:pPr>
            <w:r>
              <w:rPr>
                <w:rFonts w:ascii="Arial" w:cs="Arial" w:eastAsia="Arial" w:hAnsi="Arial"/>
                <w:sz w:val="11"/>
                <w:szCs w:val="11"/>
                <w:b w:val="1"/>
                <w:bCs w:val="1"/>
                <w:color w:val="auto"/>
                <w:w w:val="96"/>
              </w:rPr>
              <w:t>(Principal Executive Officer)</w:t>
            </w:r>
          </w:p>
        </w:tc>
      </w:tr>
      <w:tr>
        <w:trPr>
          <w:trHeight w:val="391"/>
        </w:trPr>
        <w:tc>
          <w:tcPr>
            <w:tcW w:w="3380" w:type="dxa"/>
            <w:vAlign w:val="bottom"/>
          </w:tcPr>
          <w:p>
            <w:pPr>
              <w:spacing w:after="0"/>
              <w:rPr>
                <w:sz w:val="20"/>
                <w:szCs w:val="20"/>
                <w:color w:val="auto"/>
              </w:rPr>
            </w:pPr>
            <w:r>
              <w:rPr>
                <w:rFonts w:ascii="Arial" w:cs="Arial" w:eastAsia="Arial" w:hAnsi="Arial"/>
                <w:sz w:val="13"/>
                <w:szCs w:val="13"/>
                <w:color w:val="auto"/>
              </w:rPr>
              <w:t>Date: August 2, 2023</w:t>
            </w:r>
          </w:p>
        </w:tc>
        <w:tc>
          <w:tcPr>
            <w:tcW w:w="3800" w:type="dxa"/>
            <w:vAlign w:val="bottom"/>
          </w:tcPr>
          <w:p>
            <w:pPr>
              <w:spacing w:after="0"/>
              <w:rPr>
                <w:sz w:val="24"/>
                <w:szCs w:val="24"/>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Wallace R. Cooney</w:t>
            </w:r>
          </w:p>
        </w:tc>
      </w:tr>
      <w:tr>
        <w:trPr>
          <w:trHeight w:val="118"/>
        </w:trPr>
        <w:tc>
          <w:tcPr>
            <w:tcW w:w="33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40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Wallace R. Cooney,</w:t>
            </w:r>
          </w:p>
        </w:tc>
      </w:tr>
      <w:tr>
        <w:trPr>
          <w:trHeight w:val="121"/>
        </w:trPr>
        <w:tc>
          <w:tcPr>
            <w:tcW w:w="33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4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Chief Financial Officer</w:t>
            </w:r>
          </w:p>
        </w:tc>
      </w:tr>
      <w:tr>
        <w:trPr>
          <w:trHeight w:val="149"/>
        </w:trPr>
        <w:tc>
          <w:tcPr>
            <w:tcW w:w="3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40" w:type="dxa"/>
            <w:vAlign w:val="bottom"/>
          </w:tcPr>
          <w:p>
            <w:pPr>
              <w:jc w:val="center"/>
              <w:spacing w:after="0"/>
              <w:rPr>
                <w:sz w:val="20"/>
                <w:szCs w:val="20"/>
                <w:color w:val="auto"/>
              </w:rPr>
            </w:pPr>
            <w:r>
              <w:rPr>
                <w:rFonts w:ascii="Arial" w:cs="Arial" w:eastAsia="Arial" w:hAnsi="Arial"/>
                <w:sz w:val="11"/>
                <w:szCs w:val="11"/>
                <w:b w:val="1"/>
                <w:bCs w:val="1"/>
                <w:color w:val="auto"/>
                <w:w w:val="97"/>
              </w:rPr>
              <w:t>(Principal Financial Officer)</w:t>
            </w:r>
          </w:p>
        </w:tc>
      </w:tr>
      <w:tr>
        <w:trPr>
          <w:trHeight w:val="525"/>
        </w:trPr>
        <w:tc>
          <w:tcPr>
            <w:tcW w:w="3380" w:type="dxa"/>
            <w:vAlign w:val="bottom"/>
          </w:tcPr>
          <w:p>
            <w:pPr>
              <w:spacing w:after="0"/>
              <w:rPr>
                <w:sz w:val="24"/>
                <w:szCs w:val="24"/>
                <w:color w:val="auto"/>
              </w:rPr>
            </w:pPr>
          </w:p>
        </w:tc>
        <w:tc>
          <w:tcPr>
            <w:tcW w:w="3800" w:type="dxa"/>
            <w:vAlign w:val="bottom"/>
          </w:tcPr>
          <w:p>
            <w:pPr>
              <w:jc w:val="right"/>
              <w:ind w:right="1433"/>
              <w:spacing w:after="0"/>
              <w:rPr>
                <w:sz w:val="20"/>
                <w:szCs w:val="20"/>
                <w:color w:val="auto"/>
              </w:rPr>
            </w:pPr>
            <w:r>
              <w:rPr>
                <w:rFonts w:ascii="Arial" w:cs="Arial" w:eastAsia="Arial" w:hAnsi="Arial"/>
                <w:sz w:val="13"/>
                <w:szCs w:val="13"/>
                <w:color w:val="auto"/>
              </w:rPr>
              <w:t>40</w:t>
            </w:r>
          </w:p>
        </w:tc>
        <w:tc>
          <w:tcPr>
            <w:tcW w:w="4040" w:type="dxa"/>
            <w:vAlign w:val="bottom"/>
          </w:tcPr>
          <w:p>
            <w:pPr>
              <w:spacing w:after="0"/>
              <w:rPr>
                <w:sz w:val="24"/>
                <w:szCs w:val="24"/>
                <w:color w:val="auto"/>
              </w:rPr>
            </w:pPr>
          </w:p>
        </w:tc>
      </w:tr>
    </w:tbl>
    <w:p>
      <w:pPr>
        <w:sectPr>
          <w:pgSz w:w="11900" w:h="16838" w:orient="portrait"/>
          <w:cols w:equalWidth="0" w:num="1">
            <w:col w:w="11260"/>
          </w:cols>
          <w:pgMar w:left="300" w:top="81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5"/>
          <w:szCs w:val="15"/>
          <w:b w:val="1"/>
          <w:bCs w:val="1"/>
          <w:color w:val="auto"/>
        </w:rPr>
        <w:t>Exhibit 10.1</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200" w:lineRule="exact"/>
        <w:rPr>
          <w:sz w:val="20"/>
          <w:szCs w:val="20"/>
          <w:color w:val="auto"/>
        </w:rPr>
      </w:pPr>
    </w:p>
    <w:p>
      <w:pPr>
        <w:spacing w:after="0" w:line="203"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FIRST AMENDMENT TO SECOND AMENDED AND RESTATED FIVE YEAR CREDIT AGREEMENT</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THIS FIRST AMENDMENT TO SECOND AMENDED AND RESTATED FIVE YEAR</w:t>
      </w:r>
    </w:p>
    <w:p>
      <w:pPr>
        <w:spacing w:after="0" w:line="225" w:lineRule="auto"/>
        <w:rPr>
          <w:sz w:val="20"/>
          <w:szCs w:val="20"/>
          <w:color w:val="auto"/>
        </w:rPr>
      </w:pPr>
      <w:r>
        <w:rPr>
          <w:rFonts w:ascii="Arial" w:cs="Arial" w:eastAsia="Arial" w:hAnsi="Arial"/>
          <w:sz w:val="14"/>
          <w:szCs w:val="14"/>
          <w:b w:val="1"/>
          <w:bCs w:val="1"/>
          <w:color w:val="auto"/>
        </w:rPr>
        <w:t xml:space="preserve">CREDIT AGREEMENT </w:t>
      </w:r>
      <w:r>
        <w:rPr>
          <w:rFonts w:ascii="Arial" w:cs="Arial" w:eastAsia="Arial" w:hAnsi="Arial"/>
          <w:sz w:val="14"/>
          <w:szCs w:val="14"/>
          <w:color w:val="auto"/>
        </w:rPr>
        <w:t>(this “</w:t>
      </w:r>
      <w:r>
        <w:rPr>
          <w:rFonts w:ascii="Arial" w:cs="Arial" w:eastAsia="Arial" w:hAnsi="Arial"/>
          <w:sz w:val="14"/>
          <w:szCs w:val="14"/>
          <w:u w:val="single" w:color="auto"/>
          <w:color w:val="auto"/>
        </w:rPr>
        <w:t>Amendment</w:t>
      </w:r>
      <w:r>
        <w:rPr>
          <w:rFonts w:ascii="Arial" w:cs="Arial" w:eastAsia="Arial" w:hAnsi="Arial"/>
          <w:sz w:val="14"/>
          <w:szCs w:val="14"/>
          <w:color w:val="auto"/>
        </w:rPr>
        <w:t>”), dated as of July 28, 2023, is by and among</w:t>
      </w:r>
      <w:r>
        <w:rPr>
          <w:rFonts w:ascii="Arial" w:cs="Arial" w:eastAsia="Arial" w:hAnsi="Arial"/>
          <w:sz w:val="14"/>
          <w:szCs w:val="14"/>
          <w:b w:val="1"/>
          <w:bCs w:val="1"/>
          <w:color w:val="auto"/>
        </w:rPr>
        <w:t xml:space="preserve"> GRAHAM HOLDINGS COMPANY</w:t>
      </w:r>
      <w:r>
        <w:rPr>
          <w:rFonts w:ascii="Arial" w:cs="Arial" w:eastAsia="Arial" w:hAnsi="Arial"/>
          <w:sz w:val="14"/>
          <w:szCs w:val="14"/>
          <w:color w:val="auto"/>
        </w:rPr>
        <w:t>,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the</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Foreign Borrowers party hereto (the “</w:t>
      </w:r>
      <w:r>
        <w:rPr>
          <w:rFonts w:ascii="Arial" w:cs="Arial" w:eastAsia="Arial" w:hAnsi="Arial"/>
          <w:sz w:val="13"/>
          <w:szCs w:val="13"/>
          <w:u w:val="single" w:color="auto"/>
          <w:color w:val="auto"/>
        </w:rPr>
        <w:t>Foreign Borrowers</w:t>
      </w:r>
      <w:r>
        <w:rPr>
          <w:rFonts w:ascii="Arial" w:cs="Arial" w:eastAsia="Arial" w:hAnsi="Arial"/>
          <w:sz w:val="13"/>
          <w:szCs w:val="13"/>
          <w:color w:val="auto"/>
        </w:rPr>
        <w:t xml:space="preserve"> ”), Graham Digital Holding Company LLC, a Delaware limited liability company (the “</w:t>
      </w:r>
      <w:r>
        <w:rPr>
          <w:rFonts w:ascii="Arial" w:cs="Arial" w:eastAsia="Arial" w:hAnsi="Arial"/>
          <w:sz w:val="13"/>
          <w:szCs w:val="13"/>
          <w:u w:val="single" w:color="auto"/>
          <w:color w:val="auto"/>
        </w:rPr>
        <w:t>New Guarantor</w:t>
      </w:r>
      <w:r>
        <w:rPr>
          <w:rFonts w:ascii="Arial" w:cs="Arial" w:eastAsia="Arial" w:hAnsi="Arial"/>
          <w:sz w:val="13"/>
          <w:szCs w:val="13"/>
          <w:color w:val="auto"/>
        </w:rPr>
        <w:t xml:space="preserve">”), the Guarantors party hereto (including the New Guarantor), the Lenders party hereto and </w:t>
      </w:r>
      <w:r>
        <w:rPr>
          <w:rFonts w:ascii="Arial" w:cs="Arial" w:eastAsia="Arial" w:hAnsi="Arial"/>
          <w:sz w:val="13"/>
          <w:szCs w:val="13"/>
          <w:b w:val="1"/>
          <w:bCs w:val="1"/>
          <w:color w:val="auto"/>
        </w:rPr>
        <w:t>WELLS FARGO BANK, NATIONAL ASSOCIATION</w:t>
      </w:r>
      <w:r>
        <w:rPr>
          <w:rFonts w:ascii="Arial" w:cs="Arial" w:eastAsia="Arial" w:hAnsi="Arial"/>
          <w:sz w:val="13"/>
          <w:szCs w:val="13"/>
          <w:color w:val="auto"/>
        </w:rPr>
        <w:t>, as administrative agent on behalf of the Lenders (in such</w:t>
      </w:r>
    </w:p>
    <w:p>
      <w:pPr>
        <w:spacing w:after="0" w:line="227" w:lineRule="auto"/>
        <w:rPr>
          <w:sz w:val="20"/>
          <w:szCs w:val="20"/>
          <w:color w:val="auto"/>
        </w:rPr>
      </w:pPr>
      <w:r>
        <w:rPr>
          <w:rFonts w:ascii="Arial" w:cs="Arial" w:eastAsia="Arial" w:hAnsi="Arial"/>
          <w:sz w:val="15"/>
          <w:szCs w:val="15"/>
          <w:color w:val="auto"/>
        </w:rPr>
        <w:t>capacity,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as a Lender. Capitalized terms used herein and not otherwise defined herein shall have the meanings ascribed thereto in the Credit Agreement (as hereinafter defined).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W I T N E S S E T H</w:t>
      </w:r>
    </w:p>
    <w:p>
      <w:pPr>
        <w:spacing w:after="0" w:line="161" w:lineRule="exact"/>
        <w:rPr>
          <w:sz w:val="20"/>
          <w:szCs w:val="20"/>
          <w:color w:val="auto"/>
        </w:rPr>
      </w:pPr>
    </w:p>
    <w:p>
      <w:pPr>
        <w:ind w:firstLine="484"/>
        <w:spacing w:after="0" w:line="248"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the Foreign Borrowers, certain banks and financial institutions from time to time party thereto (the “</w:t>
      </w:r>
      <w:r>
        <w:rPr>
          <w:rFonts w:ascii="Arial" w:cs="Arial" w:eastAsia="Arial" w:hAnsi="Arial"/>
          <w:sz w:val="13"/>
          <w:szCs w:val="13"/>
          <w:u w:val="single" w:color="auto"/>
          <w:color w:val="auto"/>
        </w:rPr>
        <w:t>Lenders</w:t>
      </w:r>
      <w:r>
        <w:rPr>
          <w:rFonts w:ascii="Arial" w:cs="Arial" w:eastAsia="Arial" w:hAnsi="Arial"/>
          <w:sz w:val="13"/>
          <w:szCs w:val="13"/>
          <w:color w:val="auto"/>
        </w:rPr>
        <w:t>”) and Administrative Agent are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to that certain Second Amended and Restated Five Year Credit Agreement, dated as of May 3, 2022 (as amended, modified, extended, restated, replaced, or supplemented prior to the date</w:t>
      </w:r>
    </w:p>
    <w:p>
      <w:pPr>
        <w:spacing w:after="0"/>
        <w:rPr>
          <w:sz w:val="20"/>
          <w:szCs w:val="20"/>
          <w:color w:val="auto"/>
        </w:rPr>
      </w:pPr>
      <w:r>
        <w:rPr>
          <w:rFonts w:ascii="Arial" w:cs="Arial" w:eastAsia="Arial" w:hAnsi="Arial"/>
          <w:sz w:val="15"/>
          <w:szCs w:val="15"/>
          <w:color w:val="auto"/>
        </w:rPr>
        <w:t>hereof, the “</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and as amended by the terms of this Amendment,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w:t>
      </w:r>
    </w:p>
    <w:p>
      <w:pPr>
        <w:spacing w:after="0" w:line="206" w:lineRule="exact"/>
        <w:rPr>
          <w:sz w:val="20"/>
          <w:szCs w:val="20"/>
          <w:color w:val="auto"/>
        </w:rPr>
      </w:pPr>
    </w:p>
    <w:p>
      <w:pPr>
        <w:ind w:right="20" w:firstLine="484"/>
        <w:spacing w:after="0" w:line="239"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Credit Parties have requested that the Lenders amend certain provisions of the Existing Credit Agreement to, among other things, provide a senior unsecured</w:t>
      </w:r>
      <w:r>
        <w:rPr>
          <w:rFonts w:ascii="Arial" w:cs="Arial" w:eastAsia="Arial" w:hAnsi="Arial"/>
          <w:sz w:val="15"/>
          <w:szCs w:val="15"/>
          <w:b w:val="1"/>
          <w:bCs w:val="1"/>
          <w:color w:val="auto"/>
        </w:rPr>
        <w:t xml:space="preserve"> </w:t>
      </w:r>
      <w:r>
        <w:rPr>
          <w:rFonts w:ascii="Arial" w:cs="Arial" w:eastAsia="Arial" w:hAnsi="Arial"/>
          <w:sz w:val="15"/>
          <w:szCs w:val="15"/>
          <w:color w:val="auto"/>
        </w:rPr>
        <w:t>term loan facility in the principal amount of $150,000,000; and</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Lenders are willing to make such amendments to the Existing Credit Agreement, in accordance with and subject to the terms and conditions set forth herein.</w:t>
      </w:r>
    </w:p>
    <w:p>
      <w:pPr>
        <w:spacing w:after="0" w:line="174" w:lineRule="exact"/>
        <w:rPr>
          <w:sz w:val="20"/>
          <w:szCs w:val="20"/>
          <w:color w:val="auto"/>
        </w:rPr>
      </w:pPr>
    </w:p>
    <w:p>
      <w:pPr>
        <w:ind w:right="20" w:firstLine="484"/>
        <w:spacing w:after="0" w:line="239"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agreements hereinafter set forth, and for other good and valuable consideration, the receipt and adequacy of which are hereby</w:t>
      </w:r>
      <w:r>
        <w:rPr>
          <w:rFonts w:ascii="Arial" w:cs="Arial" w:eastAsia="Arial" w:hAnsi="Arial"/>
          <w:sz w:val="15"/>
          <w:szCs w:val="15"/>
          <w:b w:val="1"/>
          <w:bCs w:val="1"/>
          <w:color w:val="auto"/>
        </w:rPr>
        <w:t xml:space="preserve"> </w:t>
      </w:r>
      <w:r>
        <w:rPr>
          <w:rFonts w:ascii="Arial" w:cs="Arial" w:eastAsia="Arial" w:hAnsi="Arial"/>
          <w:sz w:val="15"/>
          <w:szCs w:val="15"/>
          <w:color w:val="auto"/>
        </w:rPr>
        <w:t>acknowledged, the parties hereto agree as follows:</w:t>
      </w:r>
    </w:p>
    <w:p>
      <w:pPr>
        <w:spacing w:after="0" w:line="141"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ARTICLE I AMENDMENTS TO CREDIT AGREEMENT</w:t>
      </w:r>
    </w:p>
    <w:p>
      <w:pPr>
        <w:spacing w:after="0" w:line="156"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1.1</w:t>
      </w:r>
      <w:r>
        <w:rPr>
          <w:sz w:val="20"/>
          <w:szCs w:val="20"/>
          <w:color w:val="auto"/>
        </w:rPr>
        <w:tab/>
      </w:r>
      <w:r>
        <w:rPr>
          <w:rFonts w:ascii="Arial" w:cs="Arial" w:eastAsia="Arial" w:hAnsi="Arial"/>
          <w:sz w:val="13"/>
          <w:szCs w:val="13"/>
          <w:u w:val="single" w:color="auto"/>
          <w:color w:val="auto"/>
        </w:rPr>
        <w:t>Credit Agreement</w:t>
      </w:r>
      <w:r>
        <w:rPr>
          <w:rFonts w:ascii="Arial" w:cs="Arial" w:eastAsia="Arial" w:hAnsi="Arial"/>
          <w:sz w:val="13"/>
          <w:szCs w:val="13"/>
          <w:color w:val="auto"/>
        </w:rPr>
        <w:t>. In reliance on the representations, warranties, covenants and agreements contained in this Amendment, and subject to the satisfaction of the conditions</w:t>
      </w:r>
    </w:p>
    <w:p>
      <w:pPr>
        <w:ind w:right="20"/>
        <w:spacing w:after="0" w:line="235" w:lineRule="auto"/>
        <w:rPr>
          <w:sz w:val="20"/>
          <w:szCs w:val="20"/>
          <w:color w:val="auto"/>
        </w:rPr>
      </w:pPr>
      <w:r>
        <w:rPr>
          <w:rFonts w:ascii="Arial" w:cs="Arial" w:eastAsia="Arial" w:hAnsi="Arial"/>
          <w:sz w:val="13"/>
          <w:szCs w:val="13"/>
          <w:color w:val="auto"/>
        </w:rPr>
        <w:t xml:space="preserve">to effectiveness set forth in Article II hereof, the parties hereto agree that, effective as of the First Amendment Effective Date (as defined below), the Existing Credit Agreement is hereby amended to delete the stricken text (indicated textually in the same manner as the following example: </w:t>
      </w:r>
      <w:r>
        <w:rPr>
          <w:rFonts w:ascii="Arial" w:cs="Arial" w:eastAsia="Arial" w:hAnsi="Arial"/>
          <w:sz w:val="13"/>
          <w:szCs w:val="13"/>
          <w:color w:val="FF0000"/>
          <w:strike w:val="1"/>
        </w:rPr>
        <w:t>stricken text</w:t>
      </w:r>
      <w:r>
        <w:rPr>
          <w:rFonts w:ascii="Arial" w:cs="Arial" w:eastAsia="Arial" w:hAnsi="Arial"/>
          <w:sz w:val="13"/>
          <w:szCs w:val="13"/>
          <w:color w:val="auto"/>
        </w:rPr>
        <w:t>) and to add the underlined text (indicated textually in the same manner</w:t>
      </w:r>
    </w:p>
    <w:p>
      <w:pPr>
        <w:spacing w:after="0"/>
        <w:rPr>
          <w:sz w:val="20"/>
          <w:szCs w:val="20"/>
          <w:color w:val="auto"/>
        </w:rPr>
      </w:pPr>
      <w:r>
        <w:rPr>
          <w:rFonts w:ascii="Arial" w:cs="Arial" w:eastAsia="Arial" w:hAnsi="Arial"/>
          <w:sz w:val="15"/>
          <w:szCs w:val="15"/>
          <w:color w:val="auto"/>
        </w:rPr>
        <w:t xml:space="preserve">as the following example: </w:t>
      </w:r>
      <w:r>
        <w:rPr>
          <w:rFonts w:ascii="Arial" w:cs="Arial" w:eastAsia="Arial" w:hAnsi="Arial"/>
          <w:sz w:val="15"/>
          <w:szCs w:val="15"/>
          <w:u w:val="single" w:color="auto"/>
          <w:color w:val="0000FF"/>
        </w:rPr>
        <w:t>underlined text</w:t>
      </w:r>
      <w:r>
        <w:rPr>
          <w:rFonts w:ascii="Arial" w:cs="Arial" w:eastAsia="Arial" w:hAnsi="Arial"/>
          <w:sz w:val="15"/>
          <w:szCs w:val="15"/>
          <w:color w:val="auto"/>
        </w:rPr>
        <w:t xml:space="preserve">) as set forth in the Credit Agreement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206" w:lineRule="exact"/>
        <w:rPr>
          <w:sz w:val="20"/>
          <w:szCs w:val="20"/>
          <w:color w:val="auto"/>
        </w:rPr>
      </w:pPr>
    </w:p>
    <w:p>
      <w:pPr>
        <w:ind w:right="340" w:firstLine="484"/>
        <w:spacing w:after="0" w:line="239" w:lineRule="auto"/>
        <w:rPr>
          <w:sz w:val="20"/>
          <w:szCs w:val="20"/>
          <w:color w:val="auto"/>
        </w:rPr>
      </w:pPr>
      <w:r>
        <w:rPr>
          <w:rFonts w:ascii="Arial" w:cs="Arial" w:eastAsia="Arial" w:hAnsi="Arial"/>
          <w:sz w:val="15"/>
          <w:szCs w:val="15"/>
          <w:b w:val="1"/>
          <w:bCs w:val="1"/>
          <w:color w:val="auto"/>
        </w:rPr>
        <w:t xml:space="preserve">1.2 </w:t>
      </w:r>
      <w:r>
        <w:rPr>
          <w:rFonts w:ascii="Arial" w:cs="Arial" w:eastAsia="Arial" w:hAnsi="Arial"/>
          <w:sz w:val="15"/>
          <w:szCs w:val="15"/>
          <w:u w:val="single" w:color="auto"/>
          <w:color w:val="auto"/>
        </w:rPr>
        <w:t>Schedules</w:t>
      </w:r>
      <w:r>
        <w:rPr>
          <w:rFonts w:ascii="Arial" w:cs="Arial" w:eastAsia="Arial" w:hAnsi="Arial"/>
          <w:sz w:val="15"/>
          <w:szCs w:val="15"/>
          <w:b w:val="1"/>
          <w:bCs w:val="1"/>
          <w:color w:val="auto"/>
        </w:rPr>
        <w:t xml:space="preserve">. </w:t>
      </w:r>
      <w:r>
        <w:rPr>
          <w:rFonts w:ascii="Arial" w:cs="Arial" w:eastAsia="Arial" w:hAnsi="Arial"/>
          <w:sz w:val="15"/>
          <w:szCs w:val="15"/>
          <w:color w:val="auto"/>
        </w:rPr>
        <w:t>The Schedules to the Credit Agreement are hereby amended to replace the name of Schedule (I) with Schedule I(a), and to insert Schedule I(b) in the form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set out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w:t>
      </w:r>
    </w:p>
    <w:p>
      <w:pPr>
        <w:spacing w:after="0" w:line="131" w:lineRule="exact"/>
        <w:rPr>
          <w:sz w:val="20"/>
          <w:szCs w:val="20"/>
          <w:color w:val="auto"/>
        </w:rPr>
      </w:pPr>
    </w:p>
    <w:p>
      <w:pPr>
        <w:ind w:right="360" w:firstLine="484"/>
        <w:spacing w:after="0" w:line="239" w:lineRule="auto"/>
        <w:rPr>
          <w:sz w:val="20"/>
          <w:szCs w:val="20"/>
          <w:color w:val="auto"/>
        </w:rPr>
      </w:pPr>
      <w:r>
        <w:rPr>
          <w:rFonts w:ascii="Arial" w:cs="Arial" w:eastAsia="Arial" w:hAnsi="Arial"/>
          <w:sz w:val="15"/>
          <w:szCs w:val="15"/>
          <w:b w:val="1"/>
          <w:bCs w:val="1"/>
          <w:color w:val="auto"/>
        </w:rPr>
        <w:t xml:space="preserve">1.3 </w:t>
      </w:r>
      <w:r>
        <w:rPr>
          <w:rFonts w:ascii="Arial" w:cs="Arial" w:eastAsia="Arial" w:hAnsi="Arial"/>
          <w:sz w:val="15"/>
          <w:szCs w:val="15"/>
          <w:u w:val="single" w:color="auto"/>
          <w:color w:val="auto"/>
        </w:rPr>
        <w:t>Exhibits</w:t>
      </w:r>
      <w:r>
        <w:rPr>
          <w:rFonts w:ascii="Arial" w:cs="Arial" w:eastAsia="Arial" w:hAnsi="Arial"/>
          <w:sz w:val="15"/>
          <w:szCs w:val="15"/>
          <w:color w:val="auto"/>
        </w:rPr>
        <w:t>. Exhibit A-2 is hereby added to the Credit Agreement and Exhibits A-1, B-1, B- 2, C and F to the Credit Agreement are hereby amended and restated in their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entirety, in each case in the forms set out on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w:t>
      </w:r>
    </w:p>
    <w:p>
      <w:pPr>
        <w:sectPr>
          <w:pgSz w:w="11900" w:h="16838" w:orient="portrait"/>
          <w:cols w:equalWidth="0" w:num="1">
            <w:col w:w="11060"/>
          </w:cols>
          <w:pgMar w:left="380" w:top="1073" w:right="459" w:bottom="1440" w:gutter="0" w:footer="0" w:header="0"/>
        </w:sectPr>
      </w:pPr>
    </w:p>
    <w:bookmarkStart w:id="43" w:name="page44"/>
    <w:bookmarkEnd w:id="43"/>
    <w:p>
      <w:pPr>
        <w:jc w:val="center"/>
        <w:ind w:right="-79"/>
        <w:spacing w:after="0"/>
        <w:rPr>
          <w:sz w:val="20"/>
          <w:szCs w:val="20"/>
          <w:color w:val="auto"/>
        </w:rPr>
      </w:pPr>
      <w:r>
        <w:rPr>
          <w:rFonts w:ascii="Arial" w:cs="Arial" w:eastAsia="Arial" w:hAnsi="Arial"/>
          <w:sz w:val="15"/>
          <w:szCs w:val="15"/>
          <w:b w:val="1"/>
          <w:bCs w:val="1"/>
          <w:color w:val="auto"/>
        </w:rPr>
        <w:t>ARTICLE II</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JOINDER</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 xml:space="preserve">2.1 </w:t>
      </w:r>
      <w:r>
        <w:rPr>
          <w:rFonts w:ascii="Arial" w:cs="Arial" w:eastAsia="Arial" w:hAnsi="Arial"/>
          <w:sz w:val="13"/>
          <w:szCs w:val="13"/>
          <w:b w:val="1"/>
          <w:bCs w:val="1"/>
          <w:u w:val="single" w:color="auto"/>
          <w:color w:val="auto"/>
        </w:rPr>
        <w:t>New Guarantor</w:t>
      </w:r>
      <w:r>
        <w:rPr>
          <w:rFonts w:ascii="Arial" w:cs="Arial" w:eastAsia="Arial" w:hAnsi="Arial"/>
          <w:sz w:val="13"/>
          <w:szCs w:val="13"/>
          <w:b w:val="1"/>
          <w:bCs w:val="1"/>
          <w:color w:val="auto"/>
        </w:rPr>
        <w:t xml:space="preserve">. </w:t>
      </w:r>
      <w:r>
        <w:rPr>
          <w:rFonts w:ascii="Arial" w:cs="Arial" w:eastAsia="Arial" w:hAnsi="Arial"/>
          <w:sz w:val="13"/>
          <w:szCs w:val="13"/>
          <w:color w:val="auto"/>
        </w:rPr>
        <w:t>The New Guarantor hereby acknowledges, agrees and confirms that, by its execution of this Amendment, the New Guarantor will be deemed to be a party</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to and a Guarantor under the Credit Agreement with the full force and effect as if originally listed on the signature pages thereof as a Guarantor and the New Guarantor shall have all of the obligations of a Guarantor thereunder as if it had executed the Credit Agreement as such. The New Guarantor hereby ratifies, as of the date hereof, and agrees to be bound by, all of</w:t>
      </w:r>
    </w:p>
    <w:p>
      <w:pPr>
        <w:spacing w:after="0"/>
        <w:rPr>
          <w:sz w:val="20"/>
          <w:szCs w:val="20"/>
          <w:color w:val="auto"/>
        </w:rPr>
      </w:pPr>
      <w:r>
        <w:rPr>
          <w:rFonts w:ascii="Arial" w:cs="Arial" w:eastAsia="Arial" w:hAnsi="Arial"/>
          <w:sz w:val="13"/>
          <w:szCs w:val="13"/>
          <w:color w:val="auto"/>
        </w:rPr>
        <w:t>the terms, provisions and conditions contained in the Credit Agreement and any Note(s) issued pursuant thereto to the extent any such term, provision or condition is applicable to it as a</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Guarantor, and further agrees to all of the affirmative and negative covenants set forth in Article V of the Credit Agreement applicable to it as a Guarantor. Without limiting the generality of the foregoing terms of this paragraph (b), the New Guarantor hereby absolutely and unconditionally and irrevocably guarantees, jointly and severally with the other Guarantors, to the</w:t>
      </w:r>
    </w:p>
    <w:p>
      <w:pPr>
        <w:spacing w:after="0"/>
        <w:rPr>
          <w:sz w:val="20"/>
          <w:szCs w:val="20"/>
          <w:color w:val="auto"/>
        </w:rPr>
      </w:pPr>
      <w:r>
        <w:rPr>
          <w:rFonts w:ascii="Arial" w:cs="Arial" w:eastAsia="Arial" w:hAnsi="Arial"/>
          <w:sz w:val="13"/>
          <w:szCs w:val="13"/>
          <w:color w:val="auto"/>
        </w:rPr>
        <w:t>Administrative Agent, the prompt payment of the Borrower Obligations in full when and as the same become due (whether at stated maturity, upon acceleration or otherwise), and at all</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15"/>
          <w:szCs w:val="15"/>
          <w:color w:val="auto"/>
        </w:rPr>
        <w:t>times thereafter, to the extent of and in accordance with Article VIII of the Credit Agreement. Each reference to a “Guarantor” in the Credit Agreement shall be deemed to include the New Guarantor.</w:t>
      </w:r>
    </w:p>
    <w:p>
      <w:pPr>
        <w:spacing w:after="0" w:line="203" w:lineRule="exact"/>
        <w:rPr>
          <w:sz w:val="20"/>
          <w:szCs w:val="20"/>
          <w:color w:val="auto"/>
        </w:rPr>
      </w:pPr>
    </w:p>
    <w:p>
      <w:pPr>
        <w:ind w:left="2720"/>
        <w:spacing w:after="0"/>
        <w:rPr>
          <w:sz w:val="20"/>
          <w:szCs w:val="20"/>
          <w:color w:val="auto"/>
        </w:rPr>
      </w:pPr>
      <w:r>
        <w:rPr>
          <w:rFonts w:ascii="Arial" w:cs="Arial" w:eastAsia="Arial" w:hAnsi="Arial"/>
          <w:sz w:val="15"/>
          <w:szCs w:val="15"/>
          <w:b w:val="1"/>
          <w:bCs w:val="1"/>
          <w:color w:val="auto"/>
        </w:rPr>
        <w:t>ARTICLE III CONDITIONS TO EFFECTIVENESS</w:t>
      </w:r>
    </w:p>
    <w:p>
      <w:pPr>
        <w:spacing w:after="0" w:line="146"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u w:val="single" w:color="auto"/>
          <w:color w:val="auto"/>
        </w:rPr>
        <w:t>Closing Conditions</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This Amendment shall become effective as of the day and year set forth above (the “</w:t>
      </w:r>
      <w:r>
        <w:rPr>
          <w:rFonts w:ascii="Arial" w:cs="Arial" w:eastAsia="Arial" w:hAnsi="Arial"/>
          <w:sz w:val="13"/>
          <w:szCs w:val="13"/>
          <w:u w:val="single" w:color="auto"/>
          <w:color w:val="auto"/>
        </w:rPr>
        <w:t>First Amendment Effective Date</w:t>
      </w:r>
      <w:r>
        <w:rPr>
          <w:rFonts w:ascii="Arial" w:cs="Arial" w:eastAsia="Arial" w:hAnsi="Arial"/>
          <w:sz w:val="13"/>
          <w:szCs w:val="13"/>
          <w:color w:val="auto"/>
        </w:rPr>
        <w:t>”) upon satisfaction (or waiver)</w:t>
      </w:r>
    </w:p>
    <w:p>
      <w:pPr>
        <w:spacing w:after="0"/>
        <w:rPr>
          <w:sz w:val="20"/>
          <w:szCs w:val="20"/>
          <w:color w:val="auto"/>
        </w:rPr>
      </w:pPr>
      <w:r>
        <w:rPr>
          <w:rFonts w:ascii="Arial" w:cs="Arial" w:eastAsia="Arial" w:hAnsi="Arial"/>
          <w:sz w:val="15"/>
          <w:szCs w:val="15"/>
          <w:color w:val="auto"/>
        </w:rPr>
        <w:t>of the following conditions:</w:t>
      </w:r>
    </w:p>
    <w:p>
      <w:pPr>
        <w:spacing w:after="0" w:line="149" w:lineRule="exact"/>
        <w:rPr>
          <w:sz w:val="20"/>
          <w:szCs w:val="20"/>
          <w:color w:val="auto"/>
        </w:rPr>
      </w:pPr>
    </w:p>
    <w:p>
      <w:pPr>
        <w:ind w:left="480" w:firstLine="492"/>
        <w:spacing w:after="0" w:line="236" w:lineRule="auto"/>
        <w:tabs>
          <w:tab w:leader="none" w:pos="1369"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Executed Amendment</w:t>
      </w:r>
      <w:r>
        <w:rPr>
          <w:rFonts w:ascii="Arial" w:cs="Arial" w:eastAsia="Arial" w:hAnsi="Arial"/>
          <w:sz w:val="15"/>
          <w:szCs w:val="15"/>
          <w:color w:val="auto"/>
        </w:rPr>
        <w:t>. The Administrative Agent shall have received a copy of this Amendment duly executed by each of the Credit Parties, the Lenders and Administrative Agent.</w:t>
      </w:r>
    </w:p>
    <w:p>
      <w:pPr>
        <w:spacing w:after="0" w:line="145" w:lineRule="exact"/>
        <w:rPr>
          <w:rFonts w:ascii="Arial" w:cs="Arial" w:eastAsia="Arial" w:hAnsi="Arial"/>
          <w:sz w:val="15"/>
          <w:szCs w:val="15"/>
          <w:color w:val="auto"/>
        </w:rPr>
      </w:pPr>
    </w:p>
    <w:p>
      <w:pPr>
        <w:ind w:left="480" w:firstLine="492"/>
        <w:spacing w:after="0" w:line="229" w:lineRule="auto"/>
        <w:tabs>
          <w:tab w:leader="none" w:pos="1369"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Administrative Agent shall have received on or before the First Amendment Effective Date the following, each dated such day, in form and substance satisfactory to the Administrative Agent:</w:t>
      </w:r>
    </w:p>
    <w:p>
      <w:pPr>
        <w:spacing w:after="0" w:line="156" w:lineRule="exact"/>
        <w:rPr>
          <w:sz w:val="20"/>
          <w:szCs w:val="20"/>
          <w:color w:val="auto"/>
        </w:rPr>
      </w:pPr>
    </w:p>
    <w:p>
      <w:pPr>
        <w:ind w:left="1040"/>
        <w:spacing w:after="0"/>
        <w:tabs>
          <w:tab w:leader="none" w:pos="1440" w:val="left"/>
        </w:tabs>
        <w:rPr>
          <w:sz w:val="20"/>
          <w:szCs w:val="20"/>
          <w:color w:val="auto"/>
        </w:rPr>
      </w:pPr>
      <w:r>
        <w:rPr>
          <w:rFonts w:ascii="Arial" w:cs="Arial" w:eastAsia="Arial" w:hAnsi="Arial"/>
          <w:sz w:val="15"/>
          <w:szCs w:val="15"/>
          <w:color w:val="auto"/>
        </w:rPr>
        <w:t>(i).</w:t>
      </w:r>
      <w:r>
        <w:rPr>
          <w:sz w:val="20"/>
          <w:szCs w:val="20"/>
          <w:color w:val="auto"/>
        </w:rPr>
        <w:tab/>
      </w:r>
      <w:r>
        <w:rPr>
          <w:rFonts w:ascii="Arial" w:cs="Arial" w:eastAsia="Arial" w:hAnsi="Arial"/>
          <w:sz w:val="13"/>
          <w:szCs w:val="13"/>
          <w:color w:val="auto"/>
        </w:rPr>
        <w:t>A Term Loan Note to any Term Loan Lender requesting a Term Loan Note at least three Business Days prior to the First Amendment Effective Date.</w:t>
      </w:r>
    </w:p>
    <w:p>
      <w:pPr>
        <w:spacing w:after="0" w:line="151" w:lineRule="exact"/>
        <w:rPr>
          <w:sz w:val="20"/>
          <w:szCs w:val="20"/>
          <w:color w:val="auto"/>
        </w:rPr>
      </w:pPr>
    </w:p>
    <w:p>
      <w:pPr>
        <w:jc w:val="right"/>
        <w:ind w:left="1000"/>
        <w:spacing w:after="0" w:line="234" w:lineRule="auto"/>
        <w:rPr>
          <w:sz w:val="20"/>
          <w:szCs w:val="20"/>
          <w:color w:val="auto"/>
        </w:rPr>
      </w:pPr>
      <w:r>
        <w:rPr>
          <w:rFonts w:ascii="Arial" w:cs="Arial" w:eastAsia="Arial" w:hAnsi="Arial"/>
          <w:sz w:val="14"/>
          <w:szCs w:val="14"/>
          <w:color w:val="auto"/>
        </w:rPr>
        <w:t>(ii).    Certified copies of (1) the resolutions of the board of directors (or equivalent governing body) of each Credit Party approving this Amendment and of all documents evidencing other necessary corporate or other action and governmental approvals, if any, with respect to this Amendment, (2) the articles of</w:t>
      </w:r>
    </w:p>
    <w:p>
      <w:pPr>
        <w:spacing w:after="0" w:line="1" w:lineRule="exact"/>
        <w:rPr>
          <w:sz w:val="20"/>
          <w:szCs w:val="20"/>
          <w:color w:val="auto"/>
        </w:rPr>
      </w:pPr>
    </w:p>
    <w:p>
      <w:pPr>
        <w:ind w:left="1460"/>
        <w:spacing w:after="0" w:line="220" w:lineRule="auto"/>
        <w:rPr>
          <w:sz w:val="20"/>
          <w:szCs w:val="20"/>
          <w:color w:val="auto"/>
        </w:rPr>
      </w:pPr>
      <w:r>
        <w:rPr>
          <w:rFonts w:ascii="Arial" w:cs="Arial" w:eastAsia="Arial" w:hAnsi="Arial"/>
          <w:sz w:val="15"/>
          <w:szCs w:val="15"/>
          <w:color w:val="auto"/>
        </w:rPr>
        <w:t>incorporation or other constitutional or charter documents, as applicable, of each Credit Party and (3) the bylaws or comparable operating agreement, as applicable, of each Credit Party.</w:t>
      </w:r>
    </w:p>
    <w:p>
      <w:pPr>
        <w:spacing w:after="0" w:line="138"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5"/>
          <w:szCs w:val="15"/>
          <w:color w:val="auto"/>
        </w:rPr>
        <w:t>(iii).</w:t>
      </w:r>
      <w:r>
        <w:rPr>
          <w:sz w:val="20"/>
          <w:szCs w:val="20"/>
          <w:color w:val="auto"/>
        </w:rPr>
        <w:tab/>
      </w:r>
      <w:r>
        <w:rPr>
          <w:rFonts w:ascii="Arial" w:cs="Arial" w:eastAsia="Arial" w:hAnsi="Arial"/>
          <w:sz w:val="14"/>
          <w:szCs w:val="14"/>
          <w:color w:val="auto"/>
        </w:rPr>
        <w:t>Certificates of good standing, existence or its equivalent with respect to each Credit Party certified as of a recent date by the appropriate Governmental</w:t>
      </w:r>
    </w:p>
    <w:p>
      <w:pPr>
        <w:ind w:left="1460"/>
        <w:spacing w:after="0" w:line="220" w:lineRule="auto"/>
        <w:rPr>
          <w:sz w:val="20"/>
          <w:szCs w:val="20"/>
          <w:color w:val="auto"/>
        </w:rPr>
      </w:pPr>
      <w:r>
        <w:rPr>
          <w:rFonts w:ascii="Arial" w:cs="Arial" w:eastAsia="Arial" w:hAnsi="Arial"/>
          <w:sz w:val="15"/>
          <w:szCs w:val="15"/>
          <w:color w:val="auto"/>
        </w:rPr>
        <w:t>Authorities of the state of incorporation or organization and each other state in which the failure to so qualify and be in good standing would reasonably be expected to have a Material Adverse Effect.</w:t>
      </w:r>
    </w:p>
    <w:p>
      <w:pPr>
        <w:spacing w:after="0" w:line="15" w:lineRule="exact"/>
        <w:rPr>
          <w:sz w:val="20"/>
          <w:szCs w:val="20"/>
          <w:color w:val="auto"/>
        </w:rPr>
      </w:pPr>
    </w:p>
    <w:p>
      <w:pPr>
        <w:ind w:left="1460" w:hanging="492"/>
        <w:spacing w:after="0" w:line="236" w:lineRule="auto"/>
        <w:tabs>
          <w:tab w:leader="none" w:pos="1440" w:val="left"/>
        </w:tabs>
        <w:rPr>
          <w:sz w:val="20"/>
          <w:szCs w:val="20"/>
          <w:color w:val="auto"/>
        </w:rPr>
      </w:pPr>
      <w:r>
        <w:rPr>
          <w:rFonts w:ascii="Arial" w:cs="Arial" w:eastAsia="Arial" w:hAnsi="Arial"/>
          <w:sz w:val="15"/>
          <w:szCs w:val="15"/>
          <w:color w:val="auto"/>
        </w:rPr>
        <w:t>(iv).</w:t>
      </w:r>
      <w:r>
        <w:rPr>
          <w:sz w:val="20"/>
          <w:szCs w:val="20"/>
          <w:color w:val="auto"/>
        </w:rPr>
        <w:tab/>
      </w:r>
      <w:r>
        <w:rPr>
          <w:rFonts w:ascii="Arial" w:cs="Arial" w:eastAsia="Arial" w:hAnsi="Arial"/>
          <w:sz w:val="15"/>
          <w:szCs w:val="15"/>
          <w:color w:val="auto"/>
        </w:rPr>
        <w:t>A certificate of the Secretary or an Assistant Secretary of each Credit Party certifying the names and true signatures of the officers of such Credit Party authorized to sign this Amendment and the other documents to be delivered by it hereunder.</w:t>
      </w:r>
    </w:p>
    <w:p>
      <w:pPr>
        <w:spacing w:after="0" w:line="146" w:lineRule="exact"/>
        <w:rPr>
          <w:sz w:val="20"/>
          <w:szCs w:val="20"/>
          <w:color w:val="auto"/>
        </w:rPr>
      </w:pPr>
    </w:p>
    <w:p>
      <w:pPr>
        <w:ind w:left="1460" w:hanging="452"/>
        <w:spacing w:after="0" w:line="236" w:lineRule="auto"/>
        <w:tabs>
          <w:tab w:leader="none" w:pos="1440" w:val="left"/>
        </w:tabs>
        <w:rPr>
          <w:sz w:val="20"/>
          <w:szCs w:val="20"/>
          <w:color w:val="auto"/>
        </w:rPr>
      </w:pPr>
      <w:r>
        <w:rPr>
          <w:rFonts w:ascii="Arial" w:cs="Arial" w:eastAsia="Arial" w:hAnsi="Arial"/>
          <w:sz w:val="15"/>
          <w:szCs w:val="15"/>
          <w:color w:val="auto"/>
        </w:rPr>
        <w:t>(v).</w:t>
      </w:r>
      <w:r>
        <w:rPr>
          <w:sz w:val="20"/>
          <w:szCs w:val="20"/>
          <w:color w:val="auto"/>
        </w:rPr>
        <w:tab/>
      </w:r>
      <w:r>
        <w:rPr>
          <w:rFonts w:ascii="Arial" w:cs="Arial" w:eastAsia="Arial" w:hAnsi="Arial"/>
          <w:sz w:val="15"/>
          <w:szCs w:val="15"/>
          <w:color w:val="auto"/>
        </w:rPr>
        <w:t>A favorable opinion of each of (i) Cravath, Swaine &amp; Moore LLP, special New York counsel for the Credit Parties and (ii) Latham, Luna, Eden &amp; Beaudine, LLP, special Florida counsel for the Credit Parties, in each case, in form and substance satisfactory to the Administrative Agent.</w:t>
      </w:r>
    </w:p>
    <w:p>
      <w:pPr>
        <w:sectPr>
          <w:pgSz w:w="11900" w:h="16838" w:orient="portrait"/>
          <w:cols w:equalWidth="0" w:num="1">
            <w:col w:w="11040"/>
          </w:cols>
          <w:pgMar w:left="380" w:top="1022" w:right="479" w:bottom="1440" w:gutter="0" w:footer="0" w:header="0"/>
        </w:sectPr>
      </w:pPr>
    </w:p>
    <w:bookmarkStart w:id="44" w:name="page45"/>
    <w:bookmarkEnd w:id="44"/>
    <w:p>
      <w:pPr>
        <w:ind w:left="1460" w:right="20" w:hanging="492"/>
        <w:spacing w:after="0" w:line="236" w:lineRule="auto"/>
        <w:tabs>
          <w:tab w:leader="none" w:pos="1440" w:val="left"/>
        </w:tabs>
        <w:rPr>
          <w:sz w:val="20"/>
          <w:szCs w:val="20"/>
          <w:color w:val="auto"/>
        </w:rPr>
      </w:pPr>
      <w:r>
        <w:rPr>
          <w:rFonts w:ascii="Arial" w:cs="Arial" w:eastAsia="Arial" w:hAnsi="Arial"/>
          <w:sz w:val="15"/>
          <w:szCs w:val="15"/>
          <w:color w:val="auto"/>
        </w:rPr>
        <w:t>(vi).</w:t>
      </w:r>
      <w:r>
        <w:rPr>
          <w:sz w:val="20"/>
          <w:szCs w:val="20"/>
          <w:color w:val="auto"/>
        </w:rPr>
        <w:tab/>
      </w:r>
      <w:r>
        <w:rPr>
          <w:rFonts w:ascii="Arial" w:cs="Arial" w:eastAsia="Arial" w:hAnsi="Arial"/>
          <w:sz w:val="15"/>
          <w:szCs w:val="15"/>
          <w:color w:val="auto"/>
        </w:rPr>
        <w:t>An officer’s certificate prepared by the chief financial officer of the Company as to the solvency of the Company and its Subsidiaries, on a consolidated basis after giving effect to the effectiveness of this Amendment, in substantially the form of Exhibit G to the Credit Agreement.</w:t>
      </w:r>
    </w:p>
    <w:p>
      <w:pPr>
        <w:spacing w:after="0" w:line="146" w:lineRule="exact"/>
        <w:rPr>
          <w:sz w:val="20"/>
          <w:szCs w:val="20"/>
          <w:color w:val="auto"/>
        </w:rPr>
      </w:pPr>
    </w:p>
    <w:p>
      <w:pPr>
        <w:ind w:left="1380" w:hanging="408"/>
        <w:spacing w:after="0"/>
        <w:tabs>
          <w:tab w:leader="none" w:pos="1380"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No Default</w:t>
      </w:r>
      <w:r>
        <w:rPr>
          <w:rFonts w:ascii="Arial" w:cs="Arial" w:eastAsia="Arial" w:hAnsi="Arial"/>
          <w:sz w:val="14"/>
          <w:szCs w:val="14"/>
          <w:color w:val="auto"/>
        </w:rPr>
        <w:t>. No Default or Event of Default exists as of the First Amendment Effective Date and after giving effect to the transactions contemplated hereby.</w:t>
      </w:r>
    </w:p>
    <w:p>
      <w:pPr>
        <w:spacing w:after="0" w:line="172" w:lineRule="exact"/>
        <w:rPr>
          <w:rFonts w:ascii="Arial" w:cs="Arial" w:eastAsia="Arial" w:hAnsi="Arial"/>
          <w:sz w:val="14"/>
          <w:szCs w:val="14"/>
          <w:color w:val="auto"/>
        </w:rPr>
      </w:pPr>
    </w:p>
    <w:p>
      <w:pPr>
        <w:jc w:val="both"/>
        <w:ind w:left="480" w:right="20" w:firstLine="492"/>
        <w:spacing w:after="0" w:line="218" w:lineRule="auto"/>
        <w:tabs>
          <w:tab w:leader="none" w:pos="1369"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contained in Section 4.01 of the Credit Agreement are true and correct in all material respects on and as of the First Amendment Effective Date, except to the extent any such representation and warranty is qualified by materiality or reference to Material Adverse Effect, in which case, such representation and warranty shall be true and correct in all respects, on the First Amendment Effective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136" w:lineRule="exact"/>
        <w:rPr>
          <w:rFonts w:ascii="Arial" w:cs="Arial" w:eastAsia="Arial" w:hAnsi="Arial"/>
          <w:sz w:val="15"/>
          <w:szCs w:val="15"/>
          <w:color w:val="auto"/>
        </w:rPr>
      </w:pPr>
    </w:p>
    <w:p>
      <w:pPr>
        <w:jc w:val="both"/>
        <w:ind w:left="480" w:firstLine="492"/>
        <w:spacing w:after="0" w:line="227" w:lineRule="auto"/>
        <w:tabs>
          <w:tab w:leader="none" w:pos="1369"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Fees and Expenses</w:t>
      </w:r>
      <w:r>
        <w:rPr>
          <w:rFonts w:ascii="Arial" w:cs="Arial" w:eastAsia="Arial" w:hAnsi="Arial"/>
          <w:sz w:val="15"/>
          <w:szCs w:val="15"/>
          <w:color w:val="auto"/>
        </w:rPr>
        <w:t>. Administrative Agent shall have received from the Company such fees and expenses that are payable in connection with this Amendment and King &amp; Spalding LLP shall have received from the Company payment of all outstanding fees and expenses previously incurred and all fees and expenses incurred in connection with this Amendment.</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ARTICLE IV MISCELLANEOUS</w:t>
      </w:r>
    </w:p>
    <w:p>
      <w:pPr>
        <w:spacing w:after="0" w:line="171" w:lineRule="exact"/>
        <w:rPr>
          <w:sz w:val="20"/>
          <w:szCs w:val="20"/>
          <w:color w:val="auto"/>
        </w:rPr>
      </w:pPr>
    </w:p>
    <w:p>
      <w:pPr>
        <w:ind w:right="20" w:firstLine="484"/>
        <w:spacing w:after="0" w:line="248" w:lineRule="auto"/>
        <w:rPr>
          <w:sz w:val="20"/>
          <w:szCs w:val="20"/>
          <w:color w:val="auto"/>
        </w:rPr>
      </w:pPr>
      <w:r>
        <w:rPr>
          <w:rFonts w:ascii="Arial" w:cs="Arial" w:eastAsia="Arial" w:hAnsi="Arial"/>
          <w:sz w:val="13"/>
          <w:szCs w:val="13"/>
          <w:b w:val="1"/>
          <w:bCs w:val="1"/>
          <w:color w:val="auto"/>
        </w:rPr>
        <w:t xml:space="preserve">4.1 </w:t>
      </w:r>
      <w:r>
        <w:rPr>
          <w:rFonts w:ascii="Arial" w:cs="Arial" w:eastAsia="Arial" w:hAnsi="Arial"/>
          <w:sz w:val="13"/>
          <w:szCs w:val="13"/>
          <w:b w:val="1"/>
          <w:bCs w:val="1"/>
          <w:u w:val="single" w:color="auto"/>
          <w:color w:val="auto"/>
        </w:rPr>
        <w:t>Amended Terms</w:t>
      </w:r>
      <w:r>
        <w:rPr>
          <w:rFonts w:ascii="Arial" w:cs="Arial" w:eastAsia="Arial" w:hAnsi="Arial"/>
          <w:sz w:val="13"/>
          <w:szCs w:val="13"/>
          <w:b w:val="1"/>
          <w:bCs w:val="1"/>
          <w:color w:val="auto"/>
        </w:rPr>
        <w:t xml:space="preserve">. </w:t>
      </w:r>
      <w:r>
        <w:rPr>
          <w:rFonts w:ascii="Arial" w:cs="Arial" w:eastAsia="Arial" w:hAnsi="Arial"/>
          <w:sz w:val="13"/>
          <w:szCs w:val="13"/>
          <w:color w:val="auto"/>
        </w:rPr>
        <w:t>On and after the First Amendment Effective Date, all references to the Credit Agreement in each of the Loan Documents shall hereafter mean the Credit</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as amended by this Amendment. Except as specifically amended hereby or otherwise agreed, the Credit Agreement is hereby ratified and confirmed and shall remain in full</w:t>
      </w:r>
    </w:p>
    <w:p>
      <w:pPr>
        <w:spacing w:after="0"/>
        <w:rPr>
          <w:sz w:val="20"/>
          <w:szCs w:val="20"/>
          <w:color w:val="auto"/>
        </w:rPr>
      </w:pPr>
      <w:r>
        <w:rPr>
          <w:rFonts w:ascii="Arial" w:cs="Arial" w:eastAsia="Arial" w:hAnsi="Arial"/>
          <w:sz w:val="15"/>
          <w:szCs w:val="15"/>
          <w:color w:val="auto"/>
        </w:rPr>
        <w:t>force and effect according to its terms.</w:t>
      </w:r>
    </w:p>
    <w:p>
      <w:pPr>
        <w:spacing w:after="0" w:line="155"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u w:val="single" w:color="auto"/>
          <w:color w:val="auto"/>
        </w:rPr>
        <w:t>Representations and Warranties of Credit Parties</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Each of the Credit Parties represents and warrants as follows:</w:t>
      </w:r>
    </w:p>
    <w:p>
      <w:pPr>
        <w:spacing w:after="0" w:line="185" w:lineRule="exact"/>
        <w:rPr>
          <w:sz w:val="20"/>
          <w:szCs w:val="20"/>
          <w:color w:val="auto"/>
        </w:rPr>
      </w:pPr>
    </w:p>
    <w:p>
      <w:pPr>
        <w:ind w:left="1380" w:hanging="408"/>
        <w:spacing w:after="0"/>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It has taken all necessary corporate and other organizational action to authorize the execution, delivery and performance of this Amendment.</w:t>
      </w:r>
    </w:p>
    <w:p>
      <w:pPr>
        <w:spacing w:after="0" w:line="160" w:lineRule="exact"/>
        <w:rPr>
          <w:rFonts w:ascii="Arial" w:cs="Arial" w:eastAsia="Arial" w:hAnsi="Arial"/>
          <w:sz w:val="15"/>
          <w:szCs w:val="15"/>
          <w:color w:val="auto"/>
        </w:rPr>
      </w:pPr>
    </w:p>
    <w:p>
      <w:pPr>
        <w:jc w:val="both"/>
        <w:ind w:left="480" w:firstLine="492"/>
        <w:spacing w:after="0" w:line="274" w:lineRule="auto"/>
        <w:tabs>
          <w:tab w:leader="none" w:pos="1369"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This Amendment has been duly executed and delivered by such Person and constitutes such Person’s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24" w:lineRule="exact"/>
        <w:rPr>
          <w:rFonts w:ascii="Arial" w:cs="Arial" w:eastAsia="Arial" w:hAnsi="Arial"/>
          <w:sz w:val="13"/>
          <w:szCs w:val="13"/>
          <w:color w:val="auto"/>
        </w:rPr>
      </w:pPr>
    </w:p>
    <w:p>
      <w:pPr>
        <w:jc w:val="both"/>
        <w:ind w:left="480" w:right="20" w:firstLine="492"/>
        <w:spacing w:after="0" w:line="220" w:lineRule="auto"/>
        <w:tabs>
          <w:tab w:leader="none" w:pos="1369"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representations and warranties set forth in Section 4.01 of the Credit Agreement are true and correct in all material respects, except to the extent any such representation and warranty is qualified by materiality or reference to Material Adverse Effect, in which case, such representation and warranty shall be true and correct in all respects, on and as of the date hereof (except for any such representation and warranty that by its terms is made only as of an earlier date, which representation and warranty shall remain true and correct as of such earlier date).</w:t>
      </w:r>
    </w:p>
    <w:p>
      <w:pPr>
        <w:spacing w:after="0" w:line="145" w:lineRule="exact"/>
        <w:rPr>
          <w:rFonts w:ascii="Arial" w:cs="Arial" w:eastAsia="Arial" w:hAnsi="Arial"/>
          <w:sz w:val="15"/>
          <w:szCs w:val="15"/>
          <w:color w:val="auto"/>
        </w:rPr>
      </w:pPr>
    </w:p>
    <w:p>
      <w:pPr>
        <w:ind w:left="1380" w:hanging="408"/>
        <w:spacing w:after="0"/>
        <w:tabs>
          <w:tab w:leader="none" w:pos="1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After giving effect to this Amendment, no event has occurred and is continuing which constitutes a Default or an Event of Default.</w:t>
      </w:r>
    </w:p>
    <w:p>
      <w:pPr>
        <w:spacing w:after="0" w:line="152"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u w:val="single" w:color="auto"/>
          <w:color w:val="auto"/>
        </w:rPr>
        <w:t>Reaffirmation of Obligations</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Each Credit Party hereby ratifies the Credit Agreement as amended by this Amendment and acknowledges and reaffirms (a) that it is</w:t>
      </w:r>
    </w:p>
    <w:p>
      <w:pPr>
        <w:ind w:right="20"/>
        <w:spacing w:after="0" w:line="235" w:lineRule="auto"/>
        <w:rPr>
          <w:sz w:val="20"/>
          <w:szCs w:val="20"/>
          <w:color w:val="auto"/>
        </w:rPr>
      </w:pPr>
      <w:r>
        <w:rPr>
          <w:rFonts w:ascii="Arial" w:cs="Arial" w:eastAsia="Arial" w:hAnsi="Arial"/>
          <w:sz w:val="13"/>
          <w:szCs w:val="13"/>
          <w:color w:val="auto"/>
        </w:rPr>
        <w:t>bound by all terms of the Credit Agreement as so amended applicable to it and (b) that it is responsible for the observance and full performance of its respective obligations under the Credit Agreement and the other Loan Documents. Each Credit Party further ratifies and confirms the terms of the Guaranty of such Credit Party with respect to the indebtedness now or</w:t>
      </w:r>
    </w:p>
    <w:p>
      <w:pPr>
        <w:spacing w:after="0"/>
        <w:rPr>
          <w:sz w:val="20"/>
          <w:szCs w:val="20"/>
          <w:color w:val="auto"/>
        </w:rPr>
      </w:pPr>
      <w:r>
        <w:rPr>
          <w:rFonts w:ascii="Arial" w:cs="Arial" w:eastAsia="Arial" w:hAnsi="Arial"/>
          <w:sz w:val="15"/>
          <w:szCs w:val="15"/>
          <w:color w:val="auto"/>
        </w:rPr>
        <w:t>hereafter outstanding under the Credit Agreement as amended hereby. Each</w:t>
      </w:r>
    </w:p>
    <w:p>
      <w:pPr>
        <w:sectPr>
          <w:pgSz w:w="11900" w:h="16838" w:orient="portrait"/>
          <w:cols w:equalWidth="0" w:num="1">
            <w:col w:w="11060"/>
          </w:cols>
          <w:pgMar w:left="380" w:top="1026" w:right="459" w:bottom="1440" w:gutter="0" w:footer="0" w:header="0"/>
        </w:sectPr>
      </w:pPr>
    </w:p>
    <w:bookmarkStart w:id="45" w:name="page46"/>
    <w:bookmarkEnd w:id="45"/>
    <w:p>
      <w:pPr>
        <w:jc w:val="both"/>
        <w:spacing w:after="0" w:line="252" w:lineRule="auto"/>
        <w:rPr>
          <w:sz w:val="20"/>
          <w:szCs w:val="20"/>
          <w:color w:val="auto"/>
        </w:rPr>
      </w:pPr>
      <w:r>
        <w:rPr>
          <w:rFonts w:ascii="Arial" w:cs="Arial" w:eastAsia="Arial" w:hAnsi="Arial"/>
          <w:sz w:val="13"/>
          <w:szCs w:val="13"/>
          <w:color w:val="auto"/>
        </w:rPr>
        <w:t>Credit Party acknowledges that, notwithstanding anything to the contrary contained herein or in any other Loan Document, or any actions now or hereafter taken by the Lenders with respect to any obligation of Borrowers, the Guaranty of such Credit Party (i) is and shall continue to be a primary obligation of such Credit Party, (ii) is and shall continue to be an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absolute, unconditional, continuing and irrevocable guaranty of payment, and (iii) is and shall continue to be in full force and effect in accordance with its terms. Nothing contained herein to the contrary shall release, discharge, modify, change or affect the original liability of any Credit Party under the Guaranty of such Credit Party.</w:t>
      </w:r>
    </w:p>
    <w:p>
      <w:pPr>
        <w:spacing w:after="0" w:line="142"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3"/>
          <w:szCs w:val="13"/>
          <w:b w:val="1"/>
          <w:bCs w:val="1"/>
          <w:u w:val="single" w:color="auto"/>
          <w:color w:val="auto"/>
        </w:rPr>
        <w:t>Loan Document</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This Amendment shall constitute a Loan Document under the terms of the Credit Agreement.</w:t>
      </w:r>
    </w:p>
    <w:p>
      <w:pPr>
        <w:spacing w:after="0" w:line="161" w:lineRule="exact"/>
        <w:rPr>
          <w:sz w:val="20"/>
          <w:szCs w:val="20"/>
          <w:color w:val="auto"/>
        </w:rPr>
      </w:pPr>
    </w:p>
    <w:p>
      <w:pPr>
        <w:jc w:val="both"/>
        <w:ind w:firstLine="484"/>
        <w:spacing w:after="0" w:line="231" w:lineRule="auto"/>
        <w:rPr>
          <w:sz w:val="20"/>
          <w:szCs w:val="20"/>
          <w:color w:val="auto"/>
        </w:rPr>
      </w:pPr>
      <w:r>
        <w:rPr>
          <w:rFonts w:ascii="Arial" w:cs="Arial" w:eastAsia="Arial" w:hAnsi="Arial"/>
          <w:sz w:val="15"/>
          <w:szCs w:val="15"/>
          <w:b w:val="1"/>
          <w:bCs w:val="1"/>
          <w:color w:val="auto"/>
        </w:rPr>
        <w:t xml:space="preserve">4.5 </w:t>
      </w:r>
      <w:r>
        <w:rPr>
          <w:rFonts w:ascii="Arial" w:cs="Arial" w:eastAsia="Arial" w:hAnsi="Arial"/>
          <w:sz w:val="15"/>
          <w:szCs w:val="15"/>
          <w:b w:val="1"/>
          <w:bCs w:val="1"/>
          <w:u w:val="single" w:color="auto"/>
          <w:color w:val="auto"/>
        </w:rPr>
        <w:t>Further Assurances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Credit Parties agree to promptly take such action, upon the reasonable request of Administrative Agent, as is necessary to carry out the intent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w:t>
      </w:r>
    </w:p>
    <w:p>
      <w:pPr>
        <w:spacing w:after="0" w:line="153" w:lineRule="exact"/>
        <w:rPr>
          <w:sz w:val="20"/>
          <w:szCs w:val="20"/>
          <w:color w:val="auto"/>
        </w:rPr>
      </w:pPr>
    </w:p>
    <w:p>
      <w:pPr>
        <w:jc w:val="both"/>
        <w:ind w:firstLine="484"/>
        <w:spacing w:after="0" w:line="231" w:lineRule="auto"/>
        <w:rPr>
          <w:sz w:val="20"/>
          <w:szCs w:val="20"/>
          <w:color w:val="auto"/>
        </w:rPr>
      </w:pPr>
      <w:r>
        <w:rPr>
          <w:rFonts w:ascii="Arial" w:cs="Arial" w:eastAsia="Arial" w:hAnsi="Arial"/>
          <w:sz w:val="15"/>
          <w:szCs w:val="15"/>
          <w:b w:val="1"/>
          <w:bCs w:val="1"/>
          <w:color w:val="auto"/>
        </w:rPr>
        <w:t xml:space="preserve">4.6 </w:t>
      </w:r>
      <w:r>
        <w:rPr>
          <w:rFonts w:ascii="Arial" w:cs="Arial" w:eastAsia="Arial" w:hAnsi="Arial"/>
          <w:sz w:val="15"/>
          <w:szCs w:val="15"/>
          <w:b w:val="1"/>
          <w:bCs w:val="1"/>
          <w:u w:val="single" w:color="auto"/>
          <w:color w:val="auto"/>
        </w:rPr>
        <w:t>Entirety</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 reflects the entire understanding of the parties with respect to the transactions contemplated hereby and shall not be contradicted or qualified by</w:t>
      </w:r>
      <w:r>
        <w:rPr>
          <w:rFonts w:ascii="Arial" w:cs="Arial" w:eastAsia="Arial" w:hAnsi="Arial"/>
          <w:sz w:val="15"/>
          <w:szCs w:val="15"/>
          <w:b w:val="1"/>
          <w:bCs w:val="1"/>
          <w:color w:val="auto"/>
        </w:rPr>
        <w:t xml:space="preserve"> </w:t>
      </w:r>
      <w:r>
        <w:rPr>
          <w:rFonts w:ascii="Arial" w:cs="Arial" w:eastAsia="Arial" w:hAnsi="Arial"/>
          <w:sz w:val="15"/>
          <w:szCs w:val="15"/>
          <w:color w:val="auto"/>
        </w:rPr>
        <w:t>any other agreement, oral or written, before the date hereof.</w:t>
      </w:r>
    </w:p>
    <w:p>
      <w:pPr>
        <w:spacing w:after="0" w:line="13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b w:val="1"/>
          <w:bCs w:val="1"/>
          <w:color w:val="auto"/>
        </w:rPr>
        <w:t>4.7</w:t>
      </w:r>
      <w:r>
        <w:rPr>
          <w:sz w:val="20"/>
          <w:szCs w:val="20"/>
          <w:color w:val="auto"/>
        </w:rPr>
        <w:tab/>
      </w:r>
      <w:r>
        <w:rPr>
          <w:rFonts w:ascii="Arial" w:cs="Arial" w:eastAsia="Arial" w:hAnsi="Arial"/>
          <w:sz w:val="14"/>
          <w:szCs w:val="14"/>
          <w:b w:val="1"/>
          <w:bCs w:val="1"/>
          <w:u w:val="single" w:color="auto"/>
          <w:color w:val="auto"/>
        </w:rPr>
        <w:t>Counterparts; Telecopy</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This Amendment may be executed in any number of counterparts and by different parties on separate counterparts, each of which, when</w:t>
      </w:r>
    </w:p>
    <w:p>
      <w:pPr>
        <w:jc w:val="both"/>
        <w:spacing w:after="0" w:line="235" w:lineRule="auto"/>
        <w:rPr>
          <w:sz w:val="20"/>
          <w:szCs w:val="20"/>
          <w:color w:val="auto"/>
        </w:rPr>
      </w:pPr>
      <w:r>
        <w:rPr>
          <w:rFonts w:ascii="Arial" w:cs="Arial" w:eastAsia="Arial" w:hAnsi="Arial"/>
          <w:sz w:val="13"/>
          <w:szCs w:val="13"/>
          <w:color w:val="auto"/>
        </w:rPr>
        <w:t>executed and delivered, shall be deemed to be an original, and all of which, when taken together, shall constitute but one and the same Amendment. Delivery of an executed counterpart of this Amendment by telefacsimile or other electronic method of transmission shall be equally as effective as delivery of an original executed counterpart of this Amendment. Any party</w:t>
      </w:r>
    </w:p>
    <w:p>
      <w:pPr>
        <w:jc w:val="both"/>
        <w:spacing w:after="0" w:line="227" w:lineRule="auto"/>
        <w:rPr>
          <w:sz w:val="20"/>
          <w:szCs w:val="20"/>
          <w:color w:val="auto"/>
        </w:rPr>
      </w:pPr>
      <w:r>
        <w:rPr>
          <w:rFonts w:ascii="Arial" w:cs="Arial" w:eastAsia="Arial" w:hAnsi="Arial"/>
          <w:sz w:val="15"/>
          <w:szCs w:val="15"/>
          <w:color w:val="auto"/>
        </w:rPr>
        <w:t>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spacing w:after="0" w:line="133" w:lineRule="exact"/>
        <w:rPr>
          <w:sz w:val="20"/>
          <w:szCs w:val="20"/>
          <w:color w:val="auto"/>
        </w:rPr>
      </w:pPr>
    </w:p>
    <w:p>
      <w:pPr>
        <w:jc w:val="both"/>
        <w:ind w:firstLine="484"/>
        <w:spacing w:after="0" w:line="229" w:lineRule="auto"/>
        <w:rPr>
          <w:sz w:val="20"/>
          <w:szCs w:val="20"/>
          <w:color w:val="auto"/>
        </w:rPr>
      </w:pPr>
      <w:r>
        <w:rPr>
          <w:rFonts w:ascii="Arial" w:cs="Arial" w:eastAsia="Arial" w:hAnsi="Arial"/>
          <w:sz w:val="15"/>
          <w:szCs w:val="15"/>
          <w:b w:val="1"/>
          <w:bCs w:val="1"/>
          <w:color w:val="auto"/>
        </w:rPr>
        <w:t xml:space="preserve">4.8 </w:t>
      </w: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THE CONSTRUCTION, INTERPRETATION, AND ENFORCEMENT OF THIS AMENDMENT, THE RIGHTS OF THE PARTIES HERETO AND THERETO WITH RESPECT TO ALL MATTERS ARISING HEREUNDER OR THEREUNDER OR RELATED HERETO, AND ANY CLAIMS, CONTROVERSIES OR DISPUTES ARISING</w:t>
      </w:r>
    </w:p>
    <w:p>
      <w:pPr>
        <w:sectPr>
          <w:pgSz w:w="11900" w:h="16838" w:orient="portrait"/>
          <w:cols w:equalWidth="0" w:num="1">
            <w:col w:w="11040"/>
          </w:cols>
          <w:pgMar w:left="380" w:top="1026" w:right="479" w:bottom="1440" w:gutter="0" w:footer="0" w:header="0"/>
        </w:sectPr>
      </w:pPr>
    </w:p>
    <w:bookmarkStart w:id="46" w:name="page47"/>
    <w:bookmarkEnd w:id="46"/>
    <w:p>
      <w:pPr>
        <w:spacing w:after="0" w:line="231" w:lineRule="auto"/>
        <w:rPr>
          <w:sz w:val="20"/>
          <w:szCs w:val="20"/>
          <w:color w:val="auto"/>
        </w:rPr>
      </w:pPr>
      <w:r>
        <w:rPr>
          <w:rFonts w:ascii="Arial" w:cs="Arial" w:eastAsia="Arial" w:hAnsi="Arial"/>
          <w:sz w:val="15"/>
          <w:szCs w:val="15"/>
          <w:b w:val="1"/>
          <w:bCs w:val="1"/>
          <w:color w:val="auto"/>
        </w:rPr>
        <w:t>HEREUNDER OR RELATED HERETO SHALL BE DETERMINED UNDER, GOVERNED BY, AND CONSTRUED IN ACCORDANCE WITH THE LAWS OF THE STATE OF NEW YORK.</w:t>
      </w:r>
    </w:p>
    <w:p>
      <w:pPr>
        <w:spacing w:after="0" w:line="153" w:lineRule="exact"/>
        <w:rPr>
          <w:sz w:val="20"/>
          <w:szCs w:val="20"/>
          <w:color w:val="auto"/>
        </w:rPr>
      </w:pPr>
    </w:p>
    <w:p>
      <w:pPr>
        <w:ind w:right="120" w:firstLine="484"/>
        <w:spacing w:after="0" w:line="295" w:lineRule="auto"/>
        <w:rPr>
          <w:sz w:val="20"/>
          <w:szCs w:val="20"/>
          <w:color w:val="auto"/>
        </w:rPr>
      </w:pPr>
      <w:r>
        <w:rPr>
          <w:rFonts w:ascii="Arial" w:cs="Arial" w:eastAsia="Arial" w:hAnsi="Arial"/>
          <w:sz w:val="13"/>
          <w:szCs w:val="13"/>
          <w:b w:val="1"/>
          <w:bCs w:val="1"/>
          <w:color w:val="auto"/>
        </w:rPr>
        <w:t xml:space="preserve">4.9 </w:t>
      </w: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shall bind and inure to the benefit of the respective successors and assigns of each of the parties hereto; provided, that no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Borrower may assign this Amendment or any rights or duties hereunder without the Lenders’ prior written consent and any prohibited assignment shall be absolutely void </w:t>
      </w:r>
      <w:r>
        <w:rPr>
          <w:rFonts w:ascii="Arial" w:cs="Arial" w:eastAsia="Arial" w:hAnsi="Arial"/>
          <w:sz w:val="13"/>
          <w:szCs w:val="13"/>
          <w:i w:val="1"/>
          <w:iCs w:val="1"/>
          <w:color w:val="auto"/>
        </w:rPr>
        <w:t>ab initio</w:t>
      </w:r>
      <w:r>
        <w:rPr>
          <w:rFonts w:ascii="Arial" w:cs="Arial" w:eastAsia="Arial" w:hAnsi="Arial"/>
          <w:sz w:val="13"/>
          <w:szCs w:val="13"/>
          <w:color w:val="auto"/>
        </w:rPr>
        <w:t>.</w:t>
      </w:r>
    </w:p>
    <w:p>
      <w:pPr>
        <w:spacing w:after="0" w:line="117" w:lineRule="exact"/>
        <w:rPr>
          <w:sz w:val="20"/>
          <w:szCs w:val="20"/>
          <w:color w:val="auto"/>
        </w:rPr>
      </w:pPr>
    </w:p>
    <w:p>
      <w:pPr>
        <w:ind w:right="120" w:firstLine="484"/>
        <w:spacing w:after="0" w:line="231" w:lineRule="auto"/>
        <w:rPr>
          <w:sz w:val="20"/>
          <w:szCs w:val="20"/>
          <w:color w:val="auto"/>
        </w:rPr>
      </w:pPr>
      <w:r>
        <w:rPr>
          <w:rFonts w:ascii="Arial" w:cs="Arial" w:eastAsia="Arial" w:hAnsi="Arial"/>
          <w:sz w:val="15"/>
          <w:szCs w:val="15"/>
          <w:b w:val="1"/>
          <w:bCs w:val="1"/>
          <w:color w:val="auto"/>
        </w:rPr>
        <w:t xml:space="preserve">4.10 </w:t>
      </w:r>
      <w:r>
        <w:rPr>
          <w:rFonts w:ascii="Arial" w:cs="Arial" w:eastAsia="Arial" w:hAnsi="Arial"/>
          <w:sz w:val="15"/>
          <w:szCs w:val="15"/>
          <w:b w:val="1"/>
          <w:bCs w:val="1"/>
          <w:u w:val="single" w:color="auto"/>
          <w:color w:val="auto"/>
        </w:rPr>
        <w:t>Additional Consents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jurisdiction, jury trial waiver, venue, indemnification and judicial reference provisions set forth in Article IX of the Credit Agreement are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hereby incorporated by reference, </w:t>
      </w:r>
      <w:r>
        <w:rPr>
          <w:rFonts w:ascii="Arial" w:cs="Arial" w:eastAsia="Arial" w:hAnsi="Arial"/>
          <w:sz w:val="15"/>
          <w:szCs w:val="15"/>
          <w:i w:val="1"/>
          <w:iCs w:val="1"/>
          <w:color w:val="auto"/>
        </w:rPr>
        <w:t>mutatis mutandis</w:t>
      </w:r>
      <w:r>
        <w:rPr>
          <w:rFonts w:ascii="Arial" w:cs="Arial" w:eastAsia="Arial" w:hAnsi="Arial"/>
          <w:sz w:val="15"/>
          <w:szCs w:val="15"/>
          <w:color w:val="auto"/>
        </w:rPr>
        <w: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[REMAINDER OF PAGE INTENTIONALLY LEFT BLANK]</w:t>
      </w:r>
    </w:p>
    <w:p>
      <w:pPr>
        <w:sectPr>
          <w:pgSz w:w="11900" w:h="16838" w:orient="portrait"/>
          <w:cols w:equalWidth="0" w:num="1">
            <w:col w:w="11160"/>
          </w:cols>
          <w:pgMar w:left="380" w:top="1265" w:right="359" w:bottom="1440" w:gutter="0" w:footer="0" w:header="0"/>
        </w:sectPr>
      </w:pPr>
    </w:p>
    <w:bookmarkStart w:id="47" w:name="page48"/>
    <w:bookmarkEnd w:id="47"/>
    <w:p>
      <w:pPr>
        <w:ind w:left="540"/>
        <w:spacing w:after="0"/>
        <w:rPr>
          <w:sz w:val="20"/>
          <w:szCs w:val="20"/>
          <w:color w:val="auto"/>
        </w:rPr>
      </w:pPr>
      <w:r>
        <w:rPr>
          <w:rFonts w:ascii="Arial" w:cs="Arial" w:eastAsia="Arial" w:hAnsi="Arial"/>
          <w:sz w:val="13"/>
          <w:szCs w:val="13"/>
          <w:color w:val="auto"/>
        </w:rPr>
        <w:t>IN WITNESS WHEREOF the parties hereto have caused this Amendment to be duly executed on the date first above written.</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GRAHAM HOLDINGS COMPANY</w:t>
      </w:r>
    </w:p>
    <w:p>
      <w:pPr>
        <w:spacing w:after="0" w:line="388" w:lineRule="exact"/>
        <w:rPr>
          <w:sz w:val="20"/>
          <w:szCs w:val="20"/>
          <w:color w:val="auto"/>
        </w:rPr>
      </w:pPr>
    </w:p>
    <w:p>
      <w:pPr>
        <w:ind w:left="2980"/>
        <w:spacing w:after="0"/>
        <w:tabs>
          <w:tab w:leader="none" w:pos="32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Wallace R. Cooney</w:t>
      </w:r>
    </w:p>
    <w:p>
      <w:pPr>
        <w:ind w:left="2980"/>
        <w:spacing w:after="0" w:line="210" w:lineRule="auto"/>
        <w:rPr>
          <w:sz w:val="20"/>
          <w:szCs w:val="20"/>
          <w:color w:val="auto"/>
        </w:rPr>
      </w:pPr>
      <w:r>
        <w:rPr>
          <w:rFonts w:ascii="Arial" w:cs="Arial" w:eastAsia="Arial" w:hAnsi="Arial"/>
          <w:sz w:val="15"/>
          <w:szCs w:val="15"/>
          <w:color w:val="auto"/>
        </w:rPr>
        <w:t>Name: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-94615</wp:posOffset>
            </wp:positionV>
            <wp:extent cx="93091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930910"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5"/>
          <w:szCs w:val="15"/>
          <w:color w:val="auto"/>
        </w:rPr>
        <w:t>Title: Senior Vice President-Finance and Chief Financial Officer</w:t>
      </w:r>
    </w:p>
    <w:p>
      <w:pPr>
        <w:spacing w:after="0" w:line="337" w:lineRule="exact"/>
        <w:rPr>
          <w:sz w:val="20"/>
          <w:szCs w:val="20"/>
          <w:color w:val="auto"/>
        </w:rPr>
      </w:pPr>
    </w:p>
    <w:p>
      <w:pPr>
        <w:ind w:left="60"/>
        <w:spacing w:after="0"/>
        <w:tabs>
          <w:tab w:leader="none" w:pos="1860" w:val="left"/>
        </w:tabs>
        <w:rPr>
          <w:sz w:val="20"/>
          <w:szCs w:val="20"/>
          <w:color w:val="auto"/>
        </w:rPr>
      </w:pPr>
      <w:r>
        <w:rPr>
          <w:rFonts w:ascii="Arial" w:cs="Arial" w:eastAsia="Arial" w:hAnsi="Arial"/>
          <w:sz w:val="15"/>
          <w:szCs w:val="15"/>
          <w:b w:val="1"/>
          <w:bCs w:val="1"/>
          <w:u w:val="single" w:color="auto"/>
          <w:color w:val="auto"/>
        </w:rPr>
        <w:t>FOREIGN BORROWER</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KAPLAN U.K. LIMITED</w:t>
      </w:r>
    </w:p>
    <w:p>
      <w:pPr>
        <w:spacing w:after="0" w:line="200" w:lineRule="exact"/>
        <w:rPr>
          <w:sz w:val="20"/>
          <w:szCs w:val="20"/>
          <w:color w:val="auto"/>
        </w:rPr>
      </w:pPr>
    </w:p>
    <w:p>
      <w:pPr>
        <w:spacing w:after="0" w:line="209" w:lineRule="exact"/>
        <w:rPr>
          <w:sz w:val="20"/>
          <w:szCs w:val="20"/>
          <w:color w:val="auto"/>
        </w:rPr>
      </w:pPr>
    </w:p>
    <w:p>
      <w:pPr>
        <w:ind w:left="2980"/>
        <w:spacing w:after="0"/>
        <w:tabs>
          <w:tab w:leader="none" w:pos="32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Peter Martin Houillon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-5080</wp:posOffset>
            </wp:positionV>
            <wp:extent cx="103695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036955" cy="6350"/>
                    </a:xfrm>
                    <a:prstGeom prst="rect">
                      <a:avLst/>
                    </a:prstGeom>
                    <a:noFill/>
                  </pic:spPr>
                </pic:pic>
              </a:graphicData>
            </a:graphic>
          </wp:anchor>
        </w:drawing>
      </w:r>
    </w:p>
    <w:p>
      <w:pPr>
        <w:ind w:left="2980"/>
        <w:spacing w:after="0" w:line="224" w:lineRule="auto"/>
        <w:rPr>
          <w:sz w:val="20"/>
          <w:szCs w:val="20"/>
          <w:color w:val="auto"/>
        </w:rPr>
      </w:pPr>
      <w:r>
        <w:rPr>
          <w:rFonts w:ascii="Arial" w:cs="Arial" w:eastAsia="Arial" w:hAnsi="Arial"/>
          <w:sz w:val="15"/>
          <w:szCs w:val="15"/>
          <w:color w:val="auto"/>
        </w:rPr>
        <w:t>Name: Peter Martin Houillon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5"/>
          <w:szCs w:val="15"/>
          <w:b w:val="1"/>
          <w:bCs w:val="1"/>
          <w:u w:val="single" w:color="auto"/>
          <w:color w:val="auto"/>
        </w:rPr>
        <w:t>NEW GUARANTOR</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GRAHAM DIGITAL HOLDING COMPANY LLC</w:t>
      </w:r>
    </w:p>
    <w:p>
      <w:pPr>
        <w:spacing w:after="0" w:line="200" w:lineRule="exact"/>
        <w:rPr>
          <w:sz w:val="20"/>
          <w:szCs w:val="20"/>
          <w:color w:val="auto"/>
        </w:rPr>
      </w:pPr>
    </w:p>
    <w:p>
      <w:pPr>
        <w:spacing w:after="0" w:line="209" w:lineRule="exact"/>
        <w:rPr>
          <w:sz w:val="20"/>
          <w:szCs w:val="20"/>
          <w:color w:val="auto"/>
        </w:rPr>
      </w:pPr>
    </w:p>
    <w:p>
      <w:pPr>
        <w:ind w:left="2980"/>
        <w:spacing w:after="0"/>
        <w:tabs>
          <w:tab w:leader="none" w:pos="32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Jacob M. Maas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-5080</wp:posOffset>
            </wp:positionV>
            <wp:extent cx="77851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78510" cy="6350"/>
                    </a:xfrm>
                    <a:prstGeom prst="rect">
                      <a:avLst/>
                    </a:prstGeom>
                    <a:noFill/>
                  </pic:spPr>
                </pic:pic>
              </a:graphicData>
            </a:graphic>
          </wp:anchor>
        </w:drawing>
      </w:r>
    </w:p>
    <w:p>
      <w:pPr>
        <w:ind w:left="2980"/>
        <w:spacing w:after="0" w:line="224" w:lineRule="auto"/>
        <w:rPr>
          <w:sz w:val="20"/>
          <w:szCs w:val="20"/>
          <w:color w:val="auto"/>
        </w:rPr>
      </w:pPr>
      <w:r>
        <w:rPr>
          <w:rFonts w:ascii="Arial" w:cs="Arial" w:eastAsia="Arial" w:hAnsi="Arial"/>
          <w:sz w:val="15"/>
          <w:szCs w:val="15"/>
          <w:color w:val="auto"/>
        </w:rPr>
        <w:t>Name: Jacob M. Maas</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auto"/>
        </w:rPr>
        <w:t>Signature Page to First Amendment to Credit Agreement</w:t>
      </w:r>
    </w:p>
    <w:p>
      <w:pPr>
        <w:sectPr>
          <w:pgSz w:w="11900" w:h="16838" w:orient="portrait"/>
          <w:cols w:equalWidth="0" w:num="1">
            <w:col w:w="10139"/>
          </w:cols>
          <w:pgMar w:left="320" w:top="1077" w:right="1440" w:bottom="1440" w:gutter="0" w:footer="0" w:header="0"/>
        </w:sectPr>
      </w:pPr>
    </w:p>
    <w:bookmarkStart w:id="48" w:name="page49"/>
    <w:bookmarkEnd w:id="48"/>
    <w:p>
      <w:pPr>
        <w:ind w:left="60"/>
        <w:spacing w:after="0"/>
        <w:tabs>
          <w:tab w:leader="none" w:pos="1240" w:val="left"/>
        </w:tabs>
        <w:rPr>
          <w:sz w:val="20"/>
          <w:szCs w:val="20"/>
          <w:color w:val="auto"/>
        </w:rPr>
      </w:pPr>
      <w:r>
        <w:rPr>
          <w:rFonts w:ascii="Arial" w:cs="Arial" w:eastAsia="Arial" w:hAnsi="Arial"/>
          <w:sz w:val="15"/>
          <w:szCs w:val="15"/>
          <w:u w:val="single" w:color="auto"/>
          <w:color w:val="auto"/>
        </w:rPr>
        <w:t>GUARANTORS</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GRAHAM MEDIA GROUP, INC.</w:t>
      </w:r>
    </w:p>
    <w:p>
      <w:pPr>
        <w:spacing w:after="0" w:line="33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Heidi Schmid Whiting</w:t>
      </w:r>
    </w:p>
    <w:p>
      <w:pPr>
        <w:ind w:left="2980"/>
        <w:spacing w:after="0" w:line="210" w:lineRule="auto"/>
        <w:rPr>
          <w:sz w:val="20"/>
          <w:szCs w:val="20"/>
          <w:color w:val="auto"/>
        </w:rPr>
      </w:pPr>
      <w:r>
        <w:rPr>
          <w:rFonts w:ascii="Arial" w:cs="Arial" w:eastAsia="Arial" w:hAnsi="Arial"/>
          <w:sz w:val="15"/>
          <w:szCs w:val="15"/>
          <w:color w:val="auto"/>
        </w:rPr>
        <w:t>Name: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-94615</wp:posOffset>
            </wp:positionV>
            <wp:extent cx="105600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5"/>
          <w:szCs w:val="15"/>
          <w:color w:val="auto"/>
        </w:rPr>
        <w:t>Title: Vice President and General Counsel</w:t>
      </w:r>
    </w:p>
    <w:p>
      <w:pPr>
        <w:spacing w:after="0" w:line="33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GRAHAM MEDIA GROUP, FLORIDA, INC.</w:t>
      </w:r>
    </w:p>
    <w:p>
      <w:pPr>
        <w:spacing w:after="0" w:line="34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105600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ind w:left="2980"/>
        <w:spacing w:after="0" w:line="196" w:lineRule="auto"/>
        <w:rPr>
          <w:sz w:val="20"/>
          <w:szCs w:val="20"/>
          <w:color w:val="auto"/>
        </w:rPr>
      </w:pPr>
      <w:r>
        <w:rPr>
          <w:rFonts w:ascii="Arial" w:cs="Arial" w:eastAsia="Arial" w:hAnsi="Arial"/>
          <w:sz w:val="15"/>
          <w:szCs w:val="15"/>
          <w:color w:val="auto"/>
        </w:rPr>
        <w:t>Name: Heidi Schmid Whiting</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Vice President and General Counsel</w:t>
      </w:r>
    </w:p>
    <w:p>
      <w:pPr>
        <w:spacing w:after="0" w:line="34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GRAHAM MEDIA GROUP, HOUSTON, INC.</w:t>
      </w:r>
    </w:p>
    <w:p>
      <w:pPr>
        <w:spacing w:after="0" w:line="32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10560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ind w:left="2980"/>
        <w:spacing w:after="0" w:line="210" w:lineRule="auto"/>
        <w:rPr>
          <w:sz w:val="20"/>
          <w:szCs w:val="20"/>
          <w:color w:val="auto"/>
        </w:rPr>
      </w:pPr>
      <w:r>
        <w:rPr>
          <w:rFonts w:ascii="Arial" w:cs="Arial" w:eastAsia="Arial" w:hAnsi="Arial"/>
          <w:sz w:val="15"/>
          <w:szCs w:val="15"/>
          <w:color w:val="auto"/>
        </w:rPr>
        <w:t>Name: Heidi Schmid Whiting</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Vice President and General Counsel</w:t>
      </w:r>
    </w:p>
    <w:p>
      <w:pPr>
        <w:spacing w:after="0" w:line="33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GRAHAM MEDIA GROUP, MICHIGAN, INC.</w:t>
      </w:r>
    </w:p>
    <w:p>
      <w:pPr>
        <w:spacing w:after="0" w:line="32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Heidi Schmid Whiting</w:t>
      </w:r>
    </w:p>
    <w:p>
      <w:pPr>
        <w:ind w:left="2980"/>
        <w:spacing w:after="0" w:line="224" w:lineRule="auto"/>
        <w:rPr>
          <w:sz w:val="20"/>
          <w:szCs w:val="20"/>
          <w:color w:val="auto"/>
        </w:rPr>
      </w:pPr>
      <w:r>
        <w:rPr>
          <w:rFonts w:ascii="Arial" w:cs="Arial" w:eastAsia="Arial" w:hAnsi="Arial"/>
          <w:sz w:val="15"/>
          <w:szCs w:val="15"/>
          <w:color w:val="auto"/>
        </w:rPr>
        <w:t>Name: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-100965</wp:posOffset>
            </wp:positionV>
            <wp:extent cx="10560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5"/>
          <w:szCs w:val="15"/>
          <w:color w:val="auto"/>
        </w:rPr>
        <w:t>Title: Vice President and General Counsel</w:t>
      </w:r>
    </w:p>
    <w:p>
      <w:pPr>
        <w:spacing w:after="0" w:line="34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GRAHAM MEDIA GROUP, ORLANDO, INC.</w:t>
      </w:r>
    </w:p>
    <w:p>
      <w:pPr>
        <w:spacing w:after="0" w:line="33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10560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ind w:left="2980"/>
        <w:spacing w:after="0" w:line="210" w:lineRule="auto"/>
        <w:rPr>
          <w:sz w:val="20"/>
          <w:szCs w:val="20"/>
          <w:color w:val="auto"/>
        </w:rPr>
      </w:pPr>
      <w:r>
        <w:rPr>
          <w:rFonts w:ascii="Arial" w:cs="Arial" w:eastAsia="Arial" w:hAnsi="Arial"/>
          <w:sz w:val="15"/>
          <w:szCs w:val="15"/>
          <w:color w:val="auto"/>
        </w:rPr>
        <w:t>Name: Heidi Schmid Whiting</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Vice President and General Counsel</w:t>
      </w:r>
    </w:p>
    <w:p>
      <w:pPr>
        <w:spacing w:after="0" w:line="331" w:lineRule="exact"/>
        <w:rPr>
          <w:sz w:val="20"/>
          <w:szCs w:val="20"/>
          <w:color w:val="auto"/>
        </w:rPr>
      </w:pPr>
    </w:p>
    <w:p>
      <w:pPr>
        <w:jc w:val="right"/>
        <w:ind w:right="4039"/>
        <w:spacing w:after="0"/>
        <w:rPr>
          <w:sz w:val="20"/>
          <w:szCs w:val="20"/>
          <w:color w:val="auto"/>
        </w:rPr>
      </w:pPr>
      <w:r>
        <w:rPr>
          <w:rFonts w:ascii="Arial" w:cs="Arial" w:eastAsia="Arial" w:hAnsi="Arial"/>
          <w:sz w:val="15"/>
          <w:szCs w:val="15"/>
          <w:color w:val="auto"/>
        </w:rPr>
        <w:t>GRAHAM MEDIA GROUP, SAN ANTONIO, INC.</w:t>
      </w:r>
    </w:p>
    <w:p>
      <w:pPr>
        <w:spacing w:after="0" w:line="32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Heidi Schmid Whiting</w:t>
      </w:r>
    </w:p>
    <w:p>
      <w:pPr>
        <w:ind w:left="2980"/>
        <w:spacing w:after="0" w:line="210" w:lineRule="auto"/>
        <w:rPr>
          <w:sz w:val="20"/>
          <w:szCs w:val="20"/>
          <w:color w:val="auto"/>
        </w:rPr>
      </w:pPr>
      <w:r>
        <w:rPr>
          <w:rFonts w:ascii="Arial" w:cs="Arial" w:eastAsia="Arial" w:hAnsi="Arial"/>
          <w:sz w:val="15"/>
          <w:szCs w:val="15"/>
          <w:color w:val="auto"/>
        </w:rPr>
        <w:t>Name: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-94615</wp:posOffset>
            </wp:positionV>
            <wp:extent cx="105600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5"/>
          <w:szCs w:val="15"/>
          <w:color w:val="auto"/>
        </w:rPr>
        <w:t>Title: Vice President and General Counsel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Signature Page to First Amendment to Credit Agreement</w:t>
      </w:r>
    </w:p>
    <w:p>
      <w:pPr>
        <w:sectPr>
          <w:pgSz w:w="11900" w:h="16838" w:orient="portrait"/>
          <w:cols w:equalWidth="0" w:num="1">
            <w:col w:w="10139"/>
          </w:cols>
          <w:pgMar w:left="320" w:top="1259" w:right="1440" w:bottom="1440" w:gutter="0" w:footer="0" w:header="0"/>
        </w:sectPr>
      </w:pPr>
    </w:p>
    <w:bookmarkStart w:id="49" w:name="page50"/>
    <w:bookmarkEnd w:id="49"/>
    <w:p>
      <w:pPr>
        <w:ind w:left="2980"/>
        <w:spacing w:after="0"/>
        <w:rPr>
          <w:sz w:val="20"/>
          <w:szCs w:val="20"/>
          <w:color w:val="auto"/>
        </w:rPr>
      </w:pPr>
      <w:r>
        <w:rPr>
          <w:rFonts w:ascii="Arial" w:cs="Arial" w:eastAsia="Arial" w:hAnsi="Arial"/>
          <w:sz w:val="15"/>
          <w:szCs w:val="15"/>
          <w:color w:val="auto"/>
        </w:rPr>
        <w:t>GROUP DEKKO INC.</w:t>
      </w:r>
    </w:p>
    <w:p>
      <w:pPr>
        <w:spacing w:after="0" w:line="33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David Burnsworth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90360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903605" cy="6350"/>
                    </a:xfrm>
                    <a:prstGeom prst="rect">
                      <a:avLst/>
                    </a:prstGeom>
                    <a:noFill/>
                  </pic:spPr>
                </pic:pic>
              </a:graphicData>
            </a:graphic>
          </wp:anchor>
        </w:drawing>
      </w:r>
    </w:p>
    <w:p>
      <w:pPr>
        <w:ind w:left="2980"/>
        <w:spacing w:after="0" w:line="196" w:lineRule="auto"/>
        <w:rPr>
          <w:sz w:val="20"/>
          <w:szCs w:val="20"/>
          <w:color w:val="auto"/>
        </w:rPr>
      </w:pPr>
      <w:r>
        <w:rPr>
          <w:rFonts w:ascii="Arial" w:cs="Arial" w:eastAsia="Arial" w:hAnsi="Arial"/>
          <w:sz w:val="15"/>
          <w:szCs w:val="15"/>
          <w:color w:val="auto"/>
        </w:rPr>
        <w:t>Name: David Burnsworth</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President and CEO</w:t>
      </w:r>
    </w:p>
    <w:p>
      <w:pPr>
        <w:spacing w:after="0" w:line="34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GROUP DEKKO HOLDINGS INC..</w:t>
      </w:r>
    </w:p>
    <w:p>
      <w:pPr>
        <w:spacing w:after="0" w:line="33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David Burnsworth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90360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903605" cy="6350"/>
                    </a:xfrm>
                    <a:prstGeom prst="rect">
                      <a:avLst/>
                    </a:prstGeom>
                    <a:noFill/>
                  </pic:spPr>
                </pic:pic>
              </a:graphicData>
            </a:graphic>
          </wp:anchor>
        </w:drawing>
      </w:r>
    </w:p>
    <w:p>
      <w:pPr>
        <w:ind w:left="2980"/>
        <w:spacing w:after="0" w:line="210" w:lineRule="auto"/>
        <w:rPr>
          <w:sz w:val="20"/>
          <w:szCs w:val="20"/>
          <w:color w:val="auto"/>
        </w:rPr>
      </w:pPr>
      <w:r>
        <w:rPr>
          <w:rFonts w:ascii="Arial" w:cs="Arial" w:eastAsia="Arial" w:hAnsi="Arial"/>
          <w:sz w:val="15"/>
          <w:szCs w:val="15"/>
          <w:color w:val="auto"/>
        </w:rPr>
        <w:t>Name: David Burnsworth</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President and CEO</w:t>
      </w: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FRTW HOLDINGS LLC</w:t>
      </w:r>
    </w:p>
    <w:p>
      <w:pPr>
        <w:spacing w:after="0" w:line="33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David Gillrie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70548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05485" cy="6350"/>
                    </a:xfrm>
                    <a:prstGeom prst="rect">
                      <a:avLst/>
                    </a:prstGeom>
                    <a:noFill/>
                  </pic:spPr>
                </pic:pic>
              </a:graphicData>
            </a:graphic>
          </wp:anchor>
        </w:drawing>
      </w:r>
    </w:p>
    <w:p>
      <w:pPr>
        <w:ind w:left="2980"/>
        <w:spacing w:after="0" w:line="196" w:lineRule="auto"/>
        <w:rPr>
          <w:sz w:val="20"/>
          <w:szCs w:val="20"/>
          <w:color w:val="auto"/>
        </w:rPr>
      </w:pPr>
      <w:r>
        <w:rPr>
          <w:rFonts w:ascii="Arial" w:cs="Arial" w:eastAsia="Arial" w:hAnsi="Arial"/>
          <w:sz w:val="15"/>
          <w:szCs w:val="15"/>
          <w:color w:val="auto"/>
        </w:rPr>
        <w:t>Name: David Gillrie</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President</w:t>
      </w:r>
    </w:p>
    <w:p>
      <w:pPr>
        <w:spacing w:after="0" w:line="34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KAPLAN, INC.</w:t>
      </w:r>
    </w:p>
    <w:p>
      <w:pPr>
        <w:spacing w:after="0" w:line="32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Matthew Seelye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81470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814705" cy="6350"/>
                    </a:xfrm>
                    <a:prstGeom prst="rect">
                      <a:avLst/>
                    </a:prstGeom>
                    <a:noFill/>
                  </pic:spPr>
                </pic:pic>
              </a:graphicData>
            </a:graphic>
          </wp:anchor>
        </w:drawing>
      </w:r>
    </w:p>
    <w:p>
      <w:pPr>
        <w:ind w:left="2980"/>
        <w:spacing w:after="0" w:line="210" w:lineRule="auto"/>
        <w:rPr>
          <w:sz w:val="20"/>
          <w:szCs w:val="20"/>
          <w:color w:val="auto"/>
        </w:rPr>
      </w:pPr>
      <w:r>
        <w:rPr>
          <w:rFonts w:ascii="Arial" w:cs="Arial" w:eastAsia="Arial" w:hAnsi="Arial"/>
          <w:sz w:val="15"/>
          <w:szCs w:val="15"/>
          <w:color w:val="auto"/>
        </w:rPr>
        <w:t>Name: Matthew Seelye</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3"/>
          <w:szCs w:val="13"/>
          <w:color w:val="auto"/>
        </w:rPr>
        <w:t>Title: Executive Vice President, Chief Financial Officer and Treasurer</w:t>
      </w:r>
    </w:p>
    <w:p>
      <w:pPr>
        <w:spacing w:after="0" w:line="354"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KAPLAN NORTH AMERICA, LLC</w:t>
      </w:r>
    </w:p>
    <w:p>
      <w:pPr>
        <w:spacing w:after="0" w:line="33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David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72072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20725" cy="6350"/>
                    </a:xfrm>
                    <a:prstGeom prst="rect">
                      <a:avLst/>
                    </a:prstGeom>
                    <a:noFill/>
                  </pic:spPr>
                </pic:pic>
              </a:graphicData>
            </a:graphic>
          </wp:anchor>
        </w:drawing>
      </w:r>
    </w:p>
    <w:p>
      <w:pPr>
        <w:ind w:left="2980"/>
        <w:spacing w:after="0" w:line="210" w:lineRule="auto"/>
        <w:rPr>
          <w:sz w:val="20"/>
          <w:szCs w:val="20"/>
          <w:color w:val="auto"/>
        </w:rPr>
      </w:pPr>
      <w:r>
        <w:rPr>
          <w:rFonts w:ascii="Arial" w:cs="Arial" w:eastAsia="Arial" w:hAnsi="Arial"/>
          <w:sz w:val="15"/>
          <w:szCs w:val="15"/>
          <w:color w:val="auto"/>
        </w:rPr>
        <w:t>Name: David Adams</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Senior Vice President and General Counsel</w:t>
      </w:r>
    </w:p>
    <w:p>
      <w:pPr>
        <w:spacing w:after="0" w:line="33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DF INSTITUTE, LLC</w:t>
      </w:r>
    </w:p>
    <w:p>
      <w:pPr>
        <w:spacing w:after="0" w:line="32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David Adams</w:t>
      </w:r>
    </w:p>
    <w:p>
      <w:pPr>
        <w:ind w:left="2980"/>
        <w:spacing w:after="0" w:line="224" w:lineRule="auto"/>
        <w:rPr>
          <w:sz w:val="20"/>
          <w:szCs w:val="20"/>
          <w:color w:val="auto"/>
        </w:rPr>
      </w:pPr>
      <w:r>
        <w:rPr>
          <w:rFonts w:ascii="Arial" w:cs="Arial" w:eastAsia="Arial" w:hAnsi="Arial"/>
          <w:sz w:val="15"/>
          <w:szCs w:val="15"/>
          <w:color w:val="auto"/>
        </w:rPr>
        <w:t>Name: David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-100965</wp:posOffset>
            </wp:positionV>
            <wp:extent cx="72072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0725"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5"/>
          <w:szCs w:val="15"/>
          <w:color w:val="auto"/>
        </w:rPr>
        <w:t>Title: 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Signature Page to First Amendment to Credit Agreement</w:t>
      </w:r>
    </w:p>
    <w:p>
      <w:pPr>
        <w:sectPr>
          <w:pgSz w:w="11900" w:h="16838" w:orient="portrait"/>
          <w:cols w:equalWidth="0" w:num="1">
            <w:col w:w="10139"/>
          </w:cols>
          <w:pgMar w:left="320" w:top="1077" w:right="1440" w:bottom="1440" w:gutter="0" w:footer="0" w:header="0"/>
        </w:sectPr>
      </w:pPr>
    </w:p>
    <w:bookmarkStart w:id="50" w:name="page51"/>
    <w:bookmarkEnd w:id="50"/>
    <w:p>
      <w:pPr>
        <w:jc w:val="right"/>
        <w:ind w:right="3739"/>
        <w:spacing w:after="0"/>
        <w:rPr>
          <w:sz w:val="20"/>
          <w:szCs w:val="20"/>
          <w:color w:val="auto"/>
        </w:rPr>
      </w:pPr>
      <w:r>
        <w:rPr>
          <w:rFonts w:ascii="Arial" w:cs="Arial" w:eastAsia="Arial" w:hAnsi="Arial"/>
          <w:sz w:val="15"/>
          <w:szCs w:val="15"/>
          <w:color w:val="auto"/>
        </w:rPr>
        <w:t>KAPLAN INTERNATIONAL NORTH AMERICA, LLC</w:t>
      </w:r>
    </w:p>
    <w:p>
      <w:pPr>
        <w:spacing w:after="0" w:line="33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Ashley Pomonis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82042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ind w:left="2980"/>
        <w:spacing w:after="0" w:line="210" w:lineRule="auto"/>
        <w:rPr>
          <w:sz w:val="20"/>
          <w:szCs w:val="20"/>
          <w:color w:val="auto"/>
        </w:rPr>
      </w:pPr>
      <w:r>
        <w:rPr>
          <w:rFonts w:ascii="Arial" w:cs="Arial" w:eastAsia="Arial" w:hAnsi="Arial"/>
          <w:sz w:val="15"/>
          <w:szCs w:val="15"/>
          <w:color w:val="auto"/>
        </w:rPr>
        <w:t>Name: Ashley Pomonis</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Secretary</w:t>
      </w:r>
    </w:p>
    <w:p>
      <w:pPr>
        <w:spacing w:after="0" w:line="200" w:lineRule="exact"/>
        <w:rPr>
          <w:sz w:val="20"/>
          <w:szCs w:val="20"/>
          <w:color w:val="auto"/>
        </w:rPr>
      </w:pPr>
    </w:p>
    <w:p>
      <w:pPr>
        <w:spacing w:after="0" w:line="282"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GRAHAM AUTOMOTIVE LLC</w:t>
      </w:r>
    </w:p>
    <w:p>
      <w:pPr>
        <w:spacing w:after="0" w:line="33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Jacob M. Maas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-5080</wp:posOffset>
            </wp:positionV>
            <wp:extent cx="77851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78510" cy="6350"/>
                    </a:xfrm>
                    <a:prstGeom prst="rect">
                      <a:avLst/>
                    </a:prstGeom>
                    <a:noFill/>
                  </pic:spPr>
                </pic:pic>
              </a:graphicData>
            </a:graphic>
          </wp:anchor>
        </w:drawing>
      </w:r>
    </w:p>
    <w:p>
      <w:pPr>
        <w:ind w:left="2980"/>
        <w:spacing w:after="0" w:line="210" w:lineRule="auto"/>
        <w:rPr>
          <w:sz w:val="20"/>
          <w:szCs w:val="20"/>
          <w:color w:val="auto"/>
        </w:rPr>
      </w:pPr>
      <w:r>
        <w:rPr>
          <w:rFonts w:ascii="Arial" w:cs="Arial" w:eastAsia="Arial" w:hAnsi="Arial"/>
          <w:sz w:val="15"/>
          <w:szCs w:val="15"/>
          <w:color w:val="auto"/>
        </w:rPr>
        <w:t>Name: Jacob M. Maas</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Title: President</w:t>
      </w:r>
    </w:p>
    <w:p>
      <w:pPr>
        <w:spacing w:after="0" w:line="200" w:lineRule="exact"/>
        <w:rPr>
          <w:sz w:val="20"/>
          <w:szCs w:val="20"/>
          <w:color w:val="auto"/>
        </w:rPr>
      </w:pPr>
    </w:p>
    <w:p>
      <w:pPr>
        <w:spacing w:after="0" w:line="262"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GRAHAM HEALTHCARE GROUP, INC.</w:t>
      </w:r>
    </w:p>
    <w:p>
      <w:pPr>
        <w:spacing w:after="0" w:line="324" w:lineRule="exact"/>
        <w:rPr>
          <w:sz w:val="20"/>
          <w:szCs w:val="20"/>
          <w:color w:val="auto"/>
        </w:rPr>
      </w:pPr>
    </w:p>
    <w:p>
      <w:pPr>
        <w:ind w:left="2980"/>
        <w:spacing w:after="0"/>
        <w:tabs>
          <w:tab w:leader="none" w:pos="3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David Curtis</w:t>
      </w:r>
    </w:p>
    <w:p>
      <w:pPr>
        <w:ind w:left="2980"/>
        <w:spacing w:after="0" w:line="224" w:lineRule="auto"/>
        <w:rPr>
          <w:sz w:val="20"/>
          <w:szCs w:val="20"/>
          <w:color w:val="auto"/>
        </w:rPr>
      </w:pPr>
      <w:r>
        <w:rPr>
          <w:rFonts w:ascii="Arial" w:cs="Arial" w:eastAsia="Arial" w:hAnsi="Arial"/>
          <w:sz w:val="15"/>
          <w:szCs w:val="15"/>
          <w:color w:val="auto"/>
        </w:rPr>
        <w:t>Name: David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-100965</wp:posOffset>
            </wp:positionV>
            <wp:extent cx="68961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89610" cy="63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5"/>
          <w:szCs w:val="15"/>
          <w:color w:val="auto"/>
        </w:rPr>
        <w:t>Title: CEO</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Signature Page to First Amendment to Credit Agreement</w:t>
      </w:r>
    </w:p>
    <w:p>
      <w:pPr>
        <w:sectPr>
          <w:pgSz w:w="11900" w:h="16838" w:orient="portrait"/>
          <w:cols w:equalWidth="0" w:num="1">
            <w:col w:w="10139"/>
          </w:cols>
          <w:pgMar w:left="320" w:top="1259" w:right="1440" w:bottom="1440" w:gutter="0" w:footer="0" w:header="0"/>
        </w:sectPr>
      </w:pPr>
    </w:p>
    <w:bookmarkStart w:id="51" w:name="page52"/>
    <w:bookmarkEnd w:id="51"/>
    <w:p>
      <w:pPr>
        <w:ind w:left="60"/>
        <w:spacing w:after="0"/>
        <w:tabs>
          <w:tab w:leader="none" w:pos="2000" w:val="left"/>
        </w:tabs>
        <w:rPr>
          <w:sz w:val="20"/>
          <w:szCs w:val="20"/>
          <w:color w:val="auto"/>
        </w:rPr>
      </w:pPr>
      <w:r>
        <w:rPr>
          <w:rFonts w:ascii="Arial" w:cs="Arial" w:eastAsia="Arial" w:hAnsi="Arial"/>
          <w:sz w:val="15"/>
          <w:szCs w:val="15"/>
          <w:u w:val="single" w:color="auto"/>
          <w:color w:val="auto"/>
        </w:rPr>
        <w:t>ADMINISTRATIVE AGENT</w:t>
      </w:r>
      <w:r>
        <w:rPr>
          <w:rFonts w:ascii="Arial" w:cs="Arial" w:eastAsia="Arial" w:hAnsi="Arial"/>
          <w:sz w:val="15"/>
          <w:szCs w:val="15"/>
          <w:color w:val="auto"/>
        </w:rPr>
        <w:t>:</w:t>
      </w:r>
      <w:r>
        <w:rPr>
          <w:sz w:val="20"/>
          <w:szCs w:val="20"/>
          <w:color w:val="auto"/>
        </w:rPr>
        <w:tab/>
      </w:r>
      <w:r>
        <w:rPr>
          <w:rFonts w:ascii="Arial" w:cs="Arial" w:eastAsia="Arial" w:hAnsi="Arial"/>
          <w:sz w:val="14"/>
          <w:szCs w:val="14"/>
          <w:b w:val="1"/>
          <w:bCs w:val="1"/>
          <w:color w:val="auto"/>
        </w:rPr>
        <w:t>WELLS FARGO BANK, NATIONAL</w:t>
      </w:r>
    </w:p>
    <w:p>
      <w:pPr>
        <w:spacing w:after="0" w:line="5" w:lineRule="exact"/>
        <w:rPr>
          <w:sz w:val="20"/>
          <w:szCs w:val="20"/>
          <w:color w:val="auto"/>
        </w:rPr>
      </w:pPr>
    </w:p>
    <w:p>
      <w:pPr>
        <w:jc w:val="right"/>
        <w:ind w:right="1319"/>
        <w:spacing w:after="0"/>
        <w:rPr>
          <w:sz w:val="20"/>
          <w:szCs w:val="20"/>
          <w:color w:val="auto"/>
        </w:rPr>
      </w:pPr>
      <w:r>
        <w:rPr>
          <w:rFonts w:ascii="Arial" w:cs="Arial" w:eastAsia="Arial" w:hAnsi="Arial"/>
          <w:sz w:val="15"/>
          <w:szCs w:val="15"/>
          <w:b w:val="1"/>
          <w:bCs w:val="1"/>
          <w:color w:val="auto"/>
        </w:rPr>
        <w:t>ASSOCIATION</w:t>
      </w:r>
      <w:r>
        <w:rPr>
          <w:rFonts w:ascii="Arial" w:cs="Arial" w:eastAsia="Arial" w:hAnsi="Arial"/>
          <w:sz w:val="15"/>
          <w:szCs w:val="15"/>
          <w:color w:val="auto"/>
        </w:rPr>
        <w:t>, a national banking association, as Administrative Agent and as a Lender</w:t>
      </w:r>
    </w:p>
    <w:p>
      <w:pPr>
        <w:spacing w:after="0" w:line="140"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By: /s/ Timothy Favinger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-5080</wp:posOffset>
            </wp:positionV>
            <wp:extent cx="88328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883285" cy="6350"/>
                    </a:xfrm>
                    <a:prstGeom prst="rect">
                      <a:avLst/>
                    </a:prstGeom>
                    <a:noFill/>
                  </pic:spPr>
                </pic:pic>
              </a:graphicData>
            </a:graphic>
          </wp:anchor>
        </w:drawing>
      </w:r>
    </w:p>
    <w:p>
      <w:pPr>
        <w:ind w:left="3460"/>
        <w:spacing w:after="0" w:line="196" w:lineRule="auto"/>
        <w:rPr>
          <w:sz w:val="20"/>
          <w:szCs w:val="20"/>
          <w:color w:val="auto"/>
        </w:rPr>
      </w:pPr>
      <w:r>
        <w:rPr>
          <w:rFonts w:ascii="Arial" w:cs="Arial" w:eastAsia="Arial" w:hAnsi="Arial"/>
          <w:sz w:val="15"/>
          <w:szCs w:val="15"/>
          <w:color w:val="auto"/>
        </w:rPr>
        <w:t>Name: Timothy Favinger</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Title: Director</w:t>
      </w: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auto"/>
        </w:rPr>
        <w:t>Signature Page to First Amendment to Credit Agreement</w:t>
      </w:r>
    </w:p>
    <w:p>
      <w:pPr>
        <w:sectPr>
          <w:pgSz w:w="11900" w:h="16838" w:orient="portrait"/>
          <w:cols w:equalWidth="0" w:num="1">
            <w:col w:w="10139"/>
          </w:cols>
          <w:pgMar w:left="320" w:top="1083"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5"/>
          <w:szCs w:val="15"/>
          <w:u w:val="single" w:color="auto"/>
          <w:color w:val="auto"/>
        </w:rPr>
        <w:t>LENDERS</w:t>
      </w:r>
      <w:r>
        <w:rPr>
          <w:rFonts w:ascii="Arial" w:cs="Arial" w:eastAsia="Arial" w:hAnsi="Arial"/>
          <w:sz w:val="15"/>
          <w:szCs w:val="15"/>
          <w:color w:val="auto"/>
        </w:rPr>
        <w:t>:</w:t>
      </w:r>
    </w:p>
    <w:p>
      <w:pPr>
        <w:ind w:left="7320"/>
        <w:spacing w:after="0"/>
        <w:rPr>
          <w:sz w:val="20"/>
          <w:szCs w:val="20"/>
          <w:color w:val="auto"/>
        </w:rPr>
      </w:pPr>
      <w:r>
        <w:rPr>
          <w:rFonts w:ascii="Arial" w:cs="Arial" w:eastAsia="Arial" w:hAnsi="Arial"/>
          <w:sz w:val="14"/>
          <w:szCs w:val="14"/>
          <w:color w:val="auto"/>
        </w:rPr>
        <w:t>WELLS FARGO BANK, NATIONAL ASSOCIATION</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Timothy Favinger</w:t>
      </w:r>
    </w:p>
    <w:p>
      <w:pPr>
        <w:ind w:left="7320"/>
        <w:spacing w:after="0" w:line="196" w:lineRule="auto"/>
        <w:rPr>
          <w:sz w:val="20"/>
          <w:szCs w:val="20"/>
          <w:color w:val="auto"/>
        </w:rPr>
      </w:pPr>
      <w:r>
        <w:rPr>
          <w:rFonts w:ascii="Arial" w:cs="Arial" w:eastAsia="Arial" w:hAnsi="Arial"/>
          <w:sz w:val="15"/>
          <w:szCs w:val="15"/>
          <w:color w:val="auto"/>
        </w:rPr>
        <w:t>Name: Timothy Favinger</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Title: Director</w:t>
      </w:r>
    </w:p>
    <w:p>
      <w:pPr>
        <w:spacing w:after="0" w:line="149"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JPMORGAN CHASE BANK, N.A.</w:t>
      </w:r>
    </w:p>
    <w:p>
      <w:pPr>
        <w:spacing w:after="0" w:line="14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By /s/ Rohan Bhatia</w:t>
      </w:r>
    </w:p>
    <w:p>
      <w:pPr>
        <w:ind w:left="7320"/>
        <w:spacing w:after="0" w:line="224" w:lineRule="auto"/>
        <w:rPr>
          <w:sz w:val="20"/>
          <w:szCs w:val="20"/>
          <w:color w:val="auto"/>
        </w:rPr>
      </w:pPr>
      <w:r>
        <w:rPr>
          <w:rFonts w:ascii="Arial" w:cs="Arial" w:eastAsia="Arial" w:hAnsi="Arial"/>
          <w:sz w:val="15"/>
          <w:szCs w:val="15"/>
          <w:color w:val="auto"/>
        </w:rPr>
        <w:t>Name: Rohan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-100965</wp:posOffset>
            </wp:positionV>
            <wp:extent cx="72072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0725" cy="635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color w:val="auto"/>
        </w:rPr>
        <w:t>Title: Vice President</w:t>
      </w:r>
    </w:p>
    <w:p>
      <w:pPr>
        <w:spacing w:after="0" w:line="159"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HSBC BANK USA, NATIONAL ASSOCIATION</w:t>
      </w:r>
    </w:p>
    <w:p>
      <w:pPr>
        <w:spacing w:after="0" w:line="14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By /s/ Alyssa V. Champion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-5080</wp:posOffset>
            </wp:positionV>
            <wp:extent cx="96075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960755" cy="6350"/>
                    </a:xfrm>
                    <a:prstGeom prst="rect">
                      <a:avLst/>
                    </a:prstGeom>
                    <a:noFill/>
                  </pic:spPr>
                </pic:pic>
              </a:graphicData>
            </a:graphic>
          </wp:anchor>
        </w:drawing>
      </w:r>
    </w:p>
    <w:p>
      <w:pPr>
        <w:ind w:left="7320"/>
        <w:spacing w:after="0" w:line="210" w:lineRule="auto"/>
        <w:rPr>
          <w:sz w:val="20"/>
          <w:szCs w:val="20"/>
          <w:color w:val="auto"/>
        </w:rPr>
      </w:pPr>
      <w:r>
        <w:rPr>
          <w:rFonts w:ascii="Arial" w:cs="Arial" w:eastAsia="Arial" w:hAnsi="Arial"/>
          <w:sz w:val="15"/>
          <w:szCs w:val="15"/>
          <w:color w:val="auto"/>
        </w:rPr>
        <w:t>Name: Alyssa V. Champion</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Title: Senior Vice President</w:t>
      </w:r>
    </w:p>
    <w:p>
      <w:pPr>
        <w:spacing w:after="0" w:line="139"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BANK OF AMERICA, N.A.</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By /s/ Colleen Landau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-5080</wp:posOffset>
            </wp:positionV>
            <wp:extent cx="80454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804545" cy="6350"/>
                    </a:xfrm>
                    <a:prstGeom prst="rect">
                      <a:avLst/>
                    </a:prstGeom>
                    <a:noFill/>
                  </pic:spPr>
                </pic:pic>
              </a:graphicData>
            </a:graphic>
          </wp:anchor>
        </w:drawing>
      </w:r>
    </w:p>
    <w:p>
      <w:pPr>
        <w:ind w:left="7320"/>
        <w:spacing w:after="0" w:line="210" w:lineRule="auto"/>
        <w:rPr>
          <w:sz w:val="20"/>
          <w:szCs w:val="20"/>
          <w:color w:val="auto"/>
        </w:rPr>
      </w:pPr>
      <w:r>
        <w:rPr>
          <w:rFonts w:ascii="Arial" w:cs="Arial" w:eastAsia="Arial" w:hAnsi="Arial"/>
          <w:sz w:val="15"/>
          <w:szCs w:val="15"/>
          <w:color w:val="auto"/>
        </w:rPr>
        <w:t>Name: Colleen Landau</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Title: Senior Vice President</w:t>
      </w:r>
    </w:p>
    <w:p>
      <w:pPr>
        <w:spacing w:after="0" w:line="159"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PNC BANK, NATIONAL ASSOCIATION</w:t>
      </w:r>
    </w:p>
    <w:p>
      <w:pPr>
        <w:spacing w:after="0" w:line="14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By /s/ David Notaro</w:t>
      </w:r>
    </w:p>
    <w:p>
      <w:pPr>
        <w:ind w:left="7320"/>
        <w:spacing w:after="0" w:line="210" w:lineRule="auto"/>
        <w:rPr>
          <w:sz w:val="20"/>
          <w:szCs w:val="20"/>
          <w:color w:val="auto"/>
        </w:rPr>
      </w:pPr>
      <w:r>
        <w:rPr>
          <w:rFonts w:ascii="Arial" w:cs="Arial" w:eastAsia="Arial" w:hAnsi="Arial"/>
          <w:sz w:val="15"/>
          <w:szCs w:val="15"/>
          <w:color w:val="auto"/>
        </w:rPr>
        <w:t>Name: David Notaro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-94615</wp:posOffset>
            </wp:positionV>
            <wp:extent cx="72072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0725" cy="635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5"/>
          <w:szCs w:val="15"/>
          <w:color w:val="auto"/>
        </w:rPr>
        <w:t>Title: Senior Vice President</w:t>
      </w:r>
    </w:p>
    <w:p>
      <w:pPr>
        <w:spacing w:after="0" w:line="149"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THE BANK OF NEW YORK MELLON</w:t>
      </w:r>
    </w:p>
    <w:p>
      <w:pPr>
        <w:spacing w:after="0" w:line="152"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By /s/ Yipeng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-5080</wp:posOffset>
            </wp:positionV>
            <wp:extent cx="73850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38505" cy="6350"/>
                    </a:xfrm>
                    <a:prstGeom prst="rect">
                      <a:avLst/>
                    </a:prstGeom>
                    <a:noFill/>
                  </pic:spPr>
                </pic:pic>
              </a:graphicData>
            </a:graphic>
          </wp:anchor>
        </w:drawing>
      </w:r>
    </w:p>
    <w:p>
      <w:pPr>
        <w:ind w:left="7320"/>
        <w:spacing w:after="0" w:line="196" w:lineRule="auto"/>
        <w:rPr>
          <w:sz w:val="20"/>
          <w:szCs w:val="20"/>
          <w:color w:val="auto"/>
        </w:rPr>
      </w:pPr>
      <w:r>
        <w:rPr>
          <w:rFonts w:ascii="Arial" w:cs="Arial" w:eastAsia="Arial" w:hAnsi="Arial"/>
          <w:sz w:val="15"/>
          <w:szCs w:val="15"/>
          <w:color w:val="auto"/>
        </w:rPr>
        <w:t>Name: Yipeng Zhang</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Title: Vice President</w:t>
      </w: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auto"/>
        </w:rPr>
        <w:t>Signature Page to First Amendment to Credit Agreement</w:t>
      </w:r>
    </w:p>
    <w:p>
      <w:pPr>
        <w:sectPr>
          <w:pgSz w:w="11900" w:h="16838" w:orient="portrait"/>
          <w:cols w:equalWidth="0" w:num="1">
            <w:col w:w="10600"/>
          </w:cols>
          <w:pgMar w:left="320" w:top="1229" w:right="979" w:bottom="1440" w:gutter="0" w:footer="0" w:header="0"/>
        </w:sectPr>
      </w:pPr>
    </w:p>
    <w:bookmarkStart w:id="53" w:name="page54"/>
    <w:bookmarkEnd w:id="53"/>
    <w:p>
      <w:pPr>
        <w:jc w:val="center"/>
        <w:spacing w:after="0"/>
        <w:rPr>
          <w:sz w:val="20"/>
          <w:szCs w:val="20"/>
          <w:color w:val="auto"/>
        </w:rPr>
      </w:pPr>
      <w:r>
        <w:rPr>
          <w:rFonts w:ascii="Arial" w:cs="Arial" w:eastAsia="Arial" w:hAnsi="Arial"/>
          <w:sz w:val="15"/>
          <w:szCs w:val="15"/>
          <w:b w:val="1"/>
          <w:bCs w:val="1"/>
          <w:u w:val="single" w:color="auto"/>
          <w:color w:val="auto"/>
        </w:rPr>
        <w:t>EXHIBIT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CREDIT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[Attached]</w:t>
      </w:r>
    </w:p>
    <w:p>
      <w:pPr>
        <w:sectPr>
          <w:pgSz w:w="11900" w:h="16838" w:orient="portrait"/>
          <w:cols w:equalWidth="0" w:num="1">
            <w:col w:w="9019"/>
          </w:cols>
          <w:pgMar w:left="1440" w:top="1083"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i w:val="1"/>
          <w:iCs w:val="1"/>
          <w:color w:val="FF0000"/>
          <w:strike w:val="1"/>
        </w:rPr>
        <w:t>Execution Version</w:t>
      </w:r>
    </w:p>
    <w:p>
      <w:pPr>
        <w:jc w:val="right"/>
        <w:spacing w:after="0" w:line="228" w:lineRule="auto"/>
        <w:tabs>
          <w:tab w:leader="none" w:pos="720" w:val="left"/>
        </w:tabs>
        <w:rPr>
          <w:sz w:val="20"/>
          <w:szCs w:val="20"/>
          <w:color w:val="auto"/>
        </w:rPr>
      </w:pPr>
      <w:r>
        <w:rPr>
          <w:rFonts w:ascii="Arial" w:cs="Arial" w:eastAsia="Arial" w:hAnsi="Arial"/>
          <w:sz w:val="13"/>
          <w:szCs w:val="13"/>
          <w:b w:val="1"/>
          <w:bCs w:val="1"/>
          <w:color w:val="auto"/>
        </w:rPr>
        <w:t xml:space="preserve">CUSIP: </w:t>
      </w:r>
      <w:r>
        <w:rPr>
          <w:rFonts w:ascii="Arial" w:cs="Arial" w:eastAsia="Arial" w:hAnsi="Arial"/>
          <w:sz w:val="13"/>
          <w:szCs w:val="13"/>
          <w:color w:val="FF0000"/>
          <w:strike w:val="1"/>
        </w:rPr>
        <w:t>[</w:t>
      </w:r>
      <w:r>
        <w:rPr>
          <w:sz w:val="20"/>
          <w:szCs w:val="20"/>
          <w:color w:val="auto"/>
        </w:rPr>
        <w:tab/>
      </w:r>
      <w:r>
        <w:rPr>
          <w:rFonts w:ascii="Arial" w:cs="Arial" w:eastAsia="Arial" w:hAnsi="Arial"/>
          <w:sz w:val="12"/>
          <w:szCs w:val="12"/>
          <w:color w:val="FF0000"/>
          <w:strike w:val="1"/>
        </w:rPr>
        <w:t>]</w:t>
      </w:r>
      <w:r>
        <w:rPr>
          <w:rFonts w:ascii="Arial" w:cs="Arial" w:eastAsia="Arial" w:hAnsi="Arial"/>
          <w:sz w:val="12"/>
          <w:szCs w:val="12"/>
          <w:b w:val="1"/>
          <w:bCs w:val="1"/>
          <w:u w:val="single" w:color="auto"/>
          <w:color w:val="0000FF"/>
          <w:strike w:val="1"/>
        </w:rPr>
        <w:t>38463RAH3</w:t>
      </w:r>
    </w:p>
    <w:p>
      <w:pPr>
        <w:jc w:val="right"/>
        <w:spacing w:after="0" w:line="227" w:lineRule="auto"/>
        <w:tabs>
          <w:tab w:leader="none" w:pos="20" w:val="left"/>
        </w:tabs>
        <w:rPr>
          <w:sz w:val="20"/>
          <w:szCs w:val="20"/>
          <w:color w:val="auto"/>
        </w:rPr>
      </w:pPr>
      <w:r>
        <w:rPr>
          <w:rFonts w:ascii="Arial" w:cs="Arial" w:eastAsia="Arial" w:hAnsi="Arial"/>
          <w:sz w:val="13"/>
          <w:szCs w:val="13"/>
          <w:color w:val="FF0000"/>
          <w:strike w:val="1"/>
        </w:rPr>
        <w:t>[</w:t>
        <w:tab/>
        <w:t>]</w:t>
      </w:r>
    </w:p>
    <w:p>
      <w:pPr>
        <w:ind w:left="10880"/>
        <w:spacing w:after="0" w:line="211" w:lineRule="auto"/>
        <w:tabs>
          <w:tab w:leader="none" w:pos="11040" w:val="left"/>
        </w:tabs>
        <w:rPr>
          <w:sz w:val="20"/>
          <w:szCs w:val="20"/>
          <w:color w:val="auto"/>
        </w:rPr>
      </w:pPr>
      <w:r>
        <w:rPr>
          <w:rFonts w:ascii="Arial" w:cs="Arial" w:eastAsia="Arial" w:hAnsi="Arial"/>
          <w:sz w:val="13"/>
          <w:szCs w:val="13"/>
          <w:color w:val="FF0000"/>
          <w:strike w:val="1"/>
        </w:rPr>
        <w:t>[</w:t>
        <w:tab/>
        <w:t>]</w:t>
      </w:r>
    </w:p>
    <w:p>
      <w:pPr>
        <w:ind w:left="10340"/>
        <w:spacing w:after="0"/>
        <w:rPr>
          <w:sz w:val="20"/>
          <w:szCs w:val="20"/>
          <w:color w:val="auto"/>
        </w:rPr>
      </w:pPr>
      <w:r>
        <w:rPr>
          <w:rFonts w:ascii="Arial" w:cs="Arial" w:eastAsia="Arial" w:hAnsi="Arial"/>
          <w:sz w:val="12"/>
          <w:szCs w:val="12"/>
          <w:b w:val="1"/>
          <w:bCs w:val="1"/>
          <w:u w:val="single" w:color="auto"/>
          <w:color w:val="0000FF"/>
        </w:rPr>
        <w:t>38463RAH30</w:t>
      </w:r>
    </w:p>
    <w:p>
      <w:pPr>
        <w:spacing w:after="0" w:line="157" w:lineRule="exact"/>
        <w:rPr>
          <w:sz w:val="20"/>
          <w:szCs w:val="20"/>
          <w:color w:val="auto"/>
        </w:rPr>
      </w:pPr>
    </w:p>
    <w:p>
      <w:pPr>
        <w:jc w:val="right"/>
        <w:ind w:left="4940"/>
        <w:spacing w:after="0" w:line="239" w:lineRule="auto"/>
        <w:rPr>
          <w:sz w:val="20"/>
          <w:szCs w:val="20"/>
          <w:color w:val="auto"/>
        </w:rPr>
      </w:pPr>
      <w:r>
        <w:rPr>
          <w:rFonts w:ascii="Arial" w:cs="Arial" w:eastAsia="Arial" w:hAnsi="Arial"/>
          <w:sz w:val="16"/>
          <w:szCs w:val="16"/>
          <w:b w:val="1"/>
          <w:bCs w:val="1"/>
          <w:i w:val="1"/>
          <w:iCs w:val="1"/>
          <w:u w:val="single" w:color="auto"/>
          <w:color w:val="0000FF"/>
        </w:rPr>
        <w:t>Conformed through the First Amendment to Second Amended and Restated Five Year Credit Agreement</w:t>
      </w:r>
      <w:r>
        <w:rPr>
          <w:rFonts w:ascii="Arial" w:cs="Arial" w:eastAsia="Arial" w:hAnsi="Arial"/>
          <w:sz w:val="16"/>
          <w:szCs w:val="16"/>
          <w:b w:val="1"/>
          <w:bCs w:val="1"/>
          <w:i w:val="1"/>
          <w:iCs w:val="1"/>
          <w:color w:val="0000FF"/>
        </w:rPr>
        <w:t xml:space="preserve">, </w:t>
      </w:r>
      <w:r>
        <w:rPr>
          <w:rFonts w:ascii="Arial" w:cs="Arial" w:eastAsia="Arial" w:hAnsi="Arial"/>
          <w:sz w:val="16"/>
          <w:szCs w:val="16"/>
          <w:b w:val="1"/>
          <w:bCs w:val="1"/>
          <w:i w:val="1"/>
          <w:iCs w:val="1"/>
          <w:u w:val="single" w:color="auto"/>
          <w:color w:val="0000FF"/>
        </w:rPr>
        <w:t>date</w:t>
      </w:r>
      <w:r>
        <w:rPr>
          <w:rFonts w:ascii="Arial" w:cs="Arial" w:eastAsia="Arial" w:hAnsi="Arial"/>
          <w:sz w:val="16"/>
          <w:szCs w:val="16"/>
          <w:b w:val="1"/>
          <w:bCs w:val="1"/>
          <w:i w:val="1"/>
          <w:iCs w:val="1"/>
          <w:color w:val="0000FF"/>
        </w:rPr>
        <w:t xml:space="preserve">d </w:t>
      </w:r>
      <w:r>
        <w:rPr>
          <w:rFonts w:ascii="Arial" w:cs="Arial" w:eastAsia="Arial" w:hAnsi="Arial"/>
          <w:sz w:val="16"/>
          <w:szCs w:val="16"/>
          <w:b w:val="1"/>
          <w:bCs w:val="1"/>
          <w:i w:val="1"/>
          <w:iCs w:val="1"/>
          <w:u w:val="single" w:color="auto"/>
          <w:color w:val="0000FF"/>
        </w:rPr>
        <w:t>a</w:t>
      </w:r>
      <w:r>
        <w:rPr>
          <w:rFonts w:ascii="Arial" w:cs="Arial" w:eastAsia="Arial" w:hAnsi="Arial"/>
          <w:sz w:val="16"/>
          <w:szCs w:val="16"/>
          <w:b w:val="1"/>
          <w:bCs w:val="1"/>
          <w:i w:val="1"/>
          <w:iCs w:val="1"/>
          <w:color w:val="0000FF"/>
        </w:rPr>
        <w:t xml:space="preserve">s </w:t>
      </w:r>
      <w:r>
        <w:rPr>
          <w:rFonts w:ascii="Arial" w:cs="Arial" w:eastAsia="Arial" w:hAnsi="Arial"/>
          <w:sz w:val="16"/>
          <w:szCs w:val="16"/>
          <w:b w:val="1"/>
          <w:bCs w:val="1"/>
          <w:i w:val="1"/>
          <w:iCs w:val="1"/>
          <w:u w:val="single" w:color="auto"/>
          <w:color w:val="0000FF"/>
        </w:rPr>
        <w:t>o</w:t>
      </w:r>
      <w:r>
        <w:rPr>
          <w:rFonts w:ascii="Arial" w:cs="Arial" w:eastAsia="Arial" w:hAnsi="Arial"/>
          <w:sz w:val="16"/>
          <w:szCs w:val="16"/>
          <w:b w:val="1"/>
          <w:bCs w:val="1"/>
          <w:i w:val="1"/>
          <w:iCs w:val="1"/>
          <w:color w:val="0000FF"/>
        </w:rPr>
        <w:t xml:space="preserve">f </w:t>
      </w:r>
      <w:r>
        <w:rPr>
          <w:rFonts w:ascii="Arial" w:cs="Arial" w:eastAsia="Arial" w:hAnsi="Arial"/>
          <w:sz w:val="16"/>
          <w:szCs w:val="16"/>
          <w:b w:val="1"/>
          <w:bCs w:val="1"/>
          <w:i w:val="1"/>
          <w:iCs w:val="1"/>
          <w:u w:val="single" w:color="auto"/>
          <w:color w:val="0000FF"/>
        </w:rPr>
        <w:t>Jul</w:t>
      </w:r>
      <w:r>
        <w:rPr>
          <w:rFonts w:ascii="Arial" w:cs="Arial" w:eastAsia="Arial" w:hAnsi="Arial"/>
          <w:sz w:val="16"/>
          <w:szCs w:val="16"/>
          <w:b w:val="1"/>
          <w:bCs w:val="1"/>
          <w:i w:val="1"/>
          <w:iCs w:val="1"/>
          <w:color w:val="0000FF"/>
        </w:rPr>
        <w:t xml:space="preserve">y </w:t>
      </w:r>
      <w:r>
        <w:rPr>
          <w:rFonts w:ascii="Arial" w:cs="Arial" w:eastAsia="Arial" w:hAnsi="Arial"/>
          <w:sz w:val="16"/>
          <w:szCs w:val="16"/>
          <w:b w:val="1"/>
          <w:bCs w:val="1"/>
          <w:i w:val="1"/>
          <w:iCs w:val="1"/>
          <w:u w:val="single" w:color="auto"/>
          <w:color w:val="0000FF"/>
        </w:rPr>
        <w:t>28</w:t>
      </w:r>
      <w:r>
        <w:rPr>
          <w:rFonts w:ascii="Arial" w:cs="Arial" w:eastAsia="Arial" w:hAnsi="Arial"/>
          <w:sz w:val="16"/>
          <w:szCs w:val="16"/>
          <w:b w:val="1"/>
          <w:bCs w:val="1"/>
          <w:i w:val="1"/>
          <w:iCs w:val="1"/>
          <w:color w:val="0000FF"/>
        </w:rPr>
        <w:t>, 2023</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FF0000"/>
          <w:strike w:val="1"/>
        </w:rPr>
        <w:t>U.S.</w:t>
      </w:r>
      <w:r>
        <w:rPr>
          <w:rFonts w:ascii="Arial" w:cs="Arial" w:eastAsia="Arial" w:hAnsi="Arial"/>
          <w:sz w:val="16"/>
          <w:szCs w:val="16"/>
          <w:b w:val="1"/>
          <w:bCs w:val="1"/>
          <w:u w:val="single" w:color="auto"/>
          <w:color w:val="0000FF"/>
        </w:rPr>
        <w:t>Revolvin</w:t>
      </w:r>
      <w:r>
        <w:rPr>
          <w:rFonts w:ascii="Arial" w:cs="Arial" w:eastAsia="Arial" w:hAnsi="Arial"/>
          <w:sz w:val="16"/>
          <w:szCs w:val="16"/>
          <w:b w:val="1"/>
          <w:bCs w:val="1"/>
          <w:color w:val="0000FF"/>
        </w:rPr>
        <w:t>g Facility</w:t>
      </w:r>
      <w:r>
        <w:rPr>
          <w:rFonts w:ascii="Arial" w:cs="Arial" w:eastAsia="Arial" w:hAnsi="Arial"/>
          <w:sz w:val="16"/>
          <w:szCs w:val="16"/>
          <w:color w:val="FF0000"/>
        </w:rPr>
        <w:t xml:space="preserve"> </w:t>
      </w:r>
      <w:r>
        <w:rPr>
          <w:rFonts w:ascii="Arial" w:cs="Arial" w:eastAsia="Arial" w:hAnsi="Arial"/>
          <w:sz w:val="16"/>
          <w:szCs w:val="16"/>
          <w:color w:val="010101"/>
        </w:rPr>
        <w:t>$300,000,000</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 xml:space="preserve">m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 A $150,000,000</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10101"/>
        </w:rPr>
        <w:t>SECOND AMENDED AND RESTATED FIVE YEAR CREDIT AGREEMENT</w:t>
      </w:r>
    </w:p>
    <w:p>
      <w:pPr>
        <w:spacing w:after="0" w:line="275" w:lineRule="exact"/>
        <w:rPr>
          <w:sz w:val="20"/>
          <w:szCs w:val="20"/>
          <w:color w:val="auto"/>
        </w:rPr>
      </w:pPr>
    </w:p>
    <w:p>
      <w:pPr>
        <w:ind w:left="4560"/>
        <w:spacing w:after="0"/>
        <w:rPr>
          <w:sz w:val="20"/>
          <w:szCs w:val="20"/>
          <w:color w:val="auto"/>
        </w:rPr>
      </w:pPr>
      <w:r>
        <w:rPr>
          <w:rFonts w:ascii="Arial" w:cs="Arial" w:eastAsia="Arial" w:hAnsi="Arial"/>
          <w:sz w:val="16"/>
          <w:szCs w:val="16"/>
          <w:color w:val="010101"/>
        </w:rPr>
        <w:t>Dated as of May 3, 2022 Among</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010101"/>
        </w:rPr>
        <w:t>GRAHAM HOLDINGS COMPANY</w:t>
      </w:r>
    </w:p>
    <w:p>
      <w:pPr>
        <w:ind w:left="5200"/>
        <w:spacing w:after="0"/>
        <w:rPr>
          <w:sz w:val="20"/>
          <w:szCs w:val="20"/>
          <w:color w:val="auto"/>
        </w:rPr>
      </w:pPr>
      <w:r>
        <w:rPr>
          <w:rFonts w:ascii="Arial" w:cs="Arial" w:eastAsia="Arial" w:hAnsi="Arial"/>
          <w:sz w:val="16"/>
          <w:szCs w:val="16"/>
          <w:u w:val="single" w:color="auto"/>
          <w:color w:val="010101"/>
        </w:rPr>
        <w:t>as Company</w:t>
      </w:r>
      <w:r>
        <w:rPr>
          <w:rFonts w:ascii="Arial" w:cs="Arial" w:eastAsia="Arial" w:hAnsi="Arial"/>
          <w:sz w:val="16"/>
          <w:szCs w:val="16"/>
          <w:color w:val="010101"/>
        </w:rPr>
        <w:t>,</w:t>
      </w:r>
    </w:p>
    <w:p>
      <w:pPr>
        <w:spacing w:after="0" w:line="137"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010101"/>
        </w:rPr>
        <w:t>KAPLAN U.K. LIMITED</w:t>
      </w:r>
    </w:p>
    <w:p>
      <w:pPr>
        <w:ind w:left="4880"/>
        <w:spacing w:after="0"/>
        <w:rPr>
          <w:sz w:val="20"/>
          <w:szCs w:val="20"/>
          <w:color w:val="auto"/>
        </w:rPr>
      </w:pPr>
      <w:r>
        <w:rPr>
          <w:rFonts w:ascii="Arial" w:cs="Arial" w:eastAsia="Arial" w:hAnsi="Arial"/>
          <w:sz w:val="16"/>
          <w:szCs w:val="16"/>
          <w:u w:val="single" w:color="auto"/>
          <w:color w:val="010101"/>
        </w:rPr>
        <w:t>as a Foreign Borrower</w:t>
      </w:r>
      <w:r>
        <w:rPr>
          <w:rFonts w:ascii="Arial" w:cs="Arial" w:eastAsia="Arial" w:hAnsi="Arial"/>
          <w:sz w:val="16"/>
          <w:szCs w:val="16"/>
          <w:color w:val="010101"/>
        </w:rPr>
        <w:t>,</w:t>
      </w:r>
    </w:p>
    <w:p>
      <w:pPr>
        <w:spacing w:after="0" w:line="137"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010101"/>
        </w:rPr>
        <w:t>THE OTHER FOREIGN BORROWERS FROM TIME TO TIME PARTY HERETO</w:t>
      </w:r>
    </w:p>
    <w:p>
      <w:pPr>
        <w:jc w:val="center"/>
        <w:ind w:right="-139"/>
        <w:spacing w:after="0"/>
        <w:rPr>
          <w:sz w:val="20"/>
          <w:szCs w:val="20"/>
          <w:color w:val="auto"/>
        </w:rPr>
      </w:pPr>
      <w:r>
        <w:rPr>
          <w:rFonts w:ascii="Arial" w:cs="Arial" w:eastAsia="Arial" w:hAnsi="Arial"/>
          <w:sz w:val="16"/>
          <w:szCs w:val="16"/>
          <w:u w:val="single" w:color="auto"/>
          <w:color w:val="010101"/>
        </w:rPr>
        <w:t>as Foreign Borrowers</w:t>
      </w:r>
      <w:r>
        <w:rPr>
          <w:rFonts w:ascii="Arial" w:cs="Arial" w:eastAsia="Arial" w:hAnsi="Arial"/>
          <w:sz w:val="16"/>
          <w:szCs w:val="16"/>
          <w:color w:val="010101"/>
        </w:rPr>
        <w: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10101"/>
        </w:rPr>
        <w:t>THE GUARANTORS LISTED ON THE SIGNATURE PAGES HEREOF</w:t>
      </w:r>
    </w:p>
    <w:p>
      <w:pPr>
        <w:ind w:left="60"/>
        <w:spacing w:after="0"/>
        <w:rPr>
          <w:sz w:val="20"/>
          <w:szCs w:val="20"/>
          <w:color w:val="auto"/>
        </w:rPr>
      </w:pPr>
      <w:r>
        <w:rPr>
          <w:rFonts w:ascii="Arial" w:cs="Arial" w:eastAsia="Arial" w:hAnsi="Arial"/>
          <w:sz w:val="16"/>
          <w:szCs w:val="16"/>
          <w:u w:val="single" w:color="auto"/>
          <w:color w:val="010101"/>
        </w:rPr>
        <w:t>as Guarantors</w:t>
      </w:r>
      <w:r>
        <w:rPr>
          <w:rFonts w:ascii="Arial" w:cs="Arial" w:eastAsia="Arial" w:hAnsi="Arial"/>
          <w:sz w:val="16"/>
          <w:szCs w:val="16"/>
          <w:color w:val="010101"/>
        </w:rPr>
        <w: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10101"/>
        </w:rPr>
        <w:t>THE INITIAL LENDERS NAMED HEREIN</w:t>
      </w:r>
    </w:p>
    <w:p>
      <w:pPr>
        <w:jc w:val="center"/>
        <w:ind w:right="-139"/>
        <w:spacing w:after="0"/>
        <w:rPr>
          <w:sz w:val="20"/>
          <w:szCs w:val="20"/>
          <w:color w:val="auto"/>
        </w:rPr>
      </w:pPr>
      <w:r>
        <w:rPr>
          <w:rFonts w:ascii="Arial" w:cs="Arial" w:eastAsia="Arial" w:hAnsi="Arial"/>
          <w:sz w:val="16"/>
          <w:szCs w:val="16"/>
          <w:u w:val="single" w:color="auto"/>
          <w:color w:val="010101"/>
        </w:rPr>
        <w:t>as Initial Lenders,</w:t>
      </w:r>
    </w:p>
    <w:p>
      <w:pPr>
        <w:spacing w:after="0" w:line="206" w:lineRule="exact"/>
        <w:rPr>
          <w:sz w:val="20"/>
          <w:szCs w:val="20"/>
          <w:color w:val="auto"/>
        </w:rPr>
      </w:pPr>
    </w:p>
    <w:p>
      <w:pPr>
        <w:ind w:left="5500"/>
        <w:spacing w:after="0"/>
        <w:rPr>
          <w:sz w:val="20"/>
          <w:szCs w:val="20"/>
          <w:color w:val="auto"/>
        </w:rPr>
      </w:pPr>
      <w:r>
        <w:rPr>
          <w:rFonts w:ascii="Arial" w:cs="Arial" w:eastAsia="Arial" w:hAnsi="Arial"/>
          <w:sz w:val="16"/>
          <w:szCs w:val="16"/>
          <w:color w:val="010101"/>
        </w:rPr>
        <w:t>and</w:t>
      </w:r>
    </w:p>
    <w:p>
      <w:pPr>
        <w:spacing w:after="0" w:line="151"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010101"/>
        </w:rPr>
        <w:t>WELLS FARGO BANK, NATIONAL ASSOCIATION</w:t>
      </w:r>
    </w:p>
    <w:p>
      <w:pPr>
        <w:jc w:val="center"/>
        <w:ind w:right="-139"/>
        <w:spacing w:after="0"/>
        <w:rPr>
          <w:sz w:val="20"/>
          <w:szCs w:val="20"/>
          <w:color w:val="auto"/>
        </w:rPr>
      </w:pPr>
      <w:r>
        <w:rPr>
          <w:rFonts w:ascii="Arial" w:cs="Arial" w:eastAsia="Arial" w:hAnsi="Arial"/>
          <w:sz w:val="16"/>
          <w:szCs w:val="16"/>
          <w:u w:val="single" w:color="auto"/>
          <w:color w:val="010101"/>
        </w:rPr>
        <w:t>as Administrative Agent and an Issuing Lender</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10101"/>
        </w:rPr>
        <w:t>JPMORGAN CHASE BANK, N.A.</w:t>
      </w:r>
    </w:p>
    <w:p>
      <w:pPr>
        <w:jc w:val="center"/>
        <w:ind w:right="-139"/>
        <w:spacing w:after="0"/>
        <w:rPr>
          <w:sz w:val="20"/>
          <w:szCs w:val="20"/>
          <w:color w:val="auto"/>
        </w:rPr>
      </w:pPr>
      <w:r>
        <w:rPr>
          <w:rFonts w:ascii="Arial" w:cs="Arial" w:eastAsia="Arial" w:hAnsi="Arial"/>
          <w:sz w:val="16"/>
          <w:szCs w:val="16"/>
          <w:u w:val="single" w:color="auto"/>
          <w:color w:val="010101"/>
        </w:rPr>
        <w:t>as Syndication Agent and an Issuing Lender</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10101"/>
        </w:rPr>
        <w:t>HSBC BANK USA, NATIONAL ASSOCIATION</w:t>
      </w:r>
    </w:p>
    <w:p>
      <w:pPr>
        <w:jc w:val="center"/>
        <w:ind w:right="-139"/>
        <w:spacing w:after="0"/>
        <w:rPr>
          <w:sz w:val="20"/>
          <w:szCs w:val="20"/>
          <w:color w:val="auto"/>
        </w:rPr>
      </w:pPr>
      <w:r>
        <w:rPr>
          <w:rFonts w:ascii="Arial" w:cs="Arial" w:eastAsia="Arial" w:hAnsi="Arial"/>
          <w:sz w:val="16"/>
          <w:szCs w:val="16"/>
          <w:u w:val="single" w:color="auto"/>
          <w:color w:val="010101"/>
        </w:rPr>
        <w:t>as Documentation Agent</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10101"/>
        </w:rPr>
        <w:t>BANK OF AMERICA, N.A.</w:t>
      </w:r>
    </w:p>
    <w:p>
      <w:pPr>
        <w:jc w:val="center"/>
        <w:ind w:right="-139"/>
        <w:spacing w:after="0"/>
        <w:rPr>
          <w:sz w:val="20"/>
          <w:szCs w:val="20"/>
          <w:color w:val="auto"/>
        </w:rPr>
      </w:pPr>
      <w:r>
        <w:rPr>
          <w:rFonts w:ascii="Arial" w:cs="Arial" w:eastAsia="Arial" w:hAnsi="Arial"/>
          <w:sz w:val="16"/>
          <w:szCs w:val="16"/>
          <w:u w:val="single" w:color="auto"/>
          <w:color w:val="010101"/>
        </w:rPr>
        <w:t>as Documentation Agent and an Issuing Lender</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10101"/>
        </w:rPr>
        <w:t>WELLS FARGO SECURITIES, LLC</w:t>
      </w: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FF0000"/>
          <w:strike w:val="1"/>
        </w:rPr>
        <w:t>40380091v18</w:t>
      </w:r>
      <w:r>
        <w:rPr>
          <w:rFonts w:ascii="Arial" w:cs="Arial" w:eastAsia="Arial" w:hAnsi="Arial"/>
          <w:sz w:val="11"/>
          <w:szCs w:val="11"/>
          <w:b w:val="1"/>
          <w:bCs w:val="1"/>
          <w:u w:val="single" w:color="auto"/>
          <w:color w:val="0000FF"/>
          <w:strike w:val="1"/>
        </w:rPr>
        <w:t>46663716v11</w:t>
      </w:r>
    </w:p>
    <w:p>
      <w:pPr>
        <w:sectPr>
          <w:pgSz w:w="11900" w:h="16838" w:orient="portrait"/>
          <w:cols w:equalWidth="0" w:num="1">
            <w:col w:w="11100"/>
          </w:cols>
          <w:pgMar w:left="320" w:top="598" w:right="479" w:bottom="1440" w:gutter="0" w:footer="0" w:header="0"/>
        </w:sectPr>
      </w:pPr>
    </w:p>
    <w:bookmarkStart w:id="55" w:name="page56"/>
    <w:bookmarkEnd w:id="55"/>
    <w:p>
      <w:pPr>
        <w:jc w:val="center"/>
        <w:ind w:right="-1040"/>
        <w:spacing w:after="0"/>
        <w:rPr>
          <w:sz w:val="20"/>
          <w:szCs w:val="20"/>
          <w:color w:val="auto"/>
        </w:rPr>
      </w:pPr>
      <w:r>
        <w:rPr>
          <w:rFonts w:ascii="Arial" w:cs="Arial" w:eastAsia="Arial" w:hAnsi="Arial"/>
          <w:sz w:val="16"/>
          <w:szCs w:val="16"/>
          <w:b w:val="1"/>
          <w:bCs w:val="1"/>
          <w:color w:val="010101"/>
        </w:rPr>
        <w:t>JPMORGAN CHASE BANK, N.A.</w:t>
      </w:r>
    </w:p>
    <w:p>
      <w:pPr>
        <w:jc w:val="center"/>
        <w:ind w:right="-1040"/>
        <w:spacing w:after="0"/>
        <w:rPr>
          <w:sz w:val="20"/>
          <w:szCs w:val="20"/>
          <w:color w:val="auto"/>
        </w:rPr>
      </w:pPr>
      <w:r>
        <w:rPr>
          <w:rFonts w:ascii="Arial" w:cs="Arial" w:eastAsia="Arial" w:hAnsi="Arial"/>
          <w:sz w:val="14"/>
          <w:szCs w:val="14"/>
          <w:u w:val="single" w:color="auto"/>
          <w:color w:val="010101"/>
        </w:rPr>
        <w:t>as Joint Lead Arrangers and Joint Book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ii</w:t>
      </w:r>
    </w:p>
    <w:p>
      <w:pPr>
        <w:spacing w:after="0"/>
        <w:rPr>
          <w:sz w:val="20"/>
          <w:szCs w:val="20"/>
          <w:color w:val="auto"/>
        </w:rPr>
      </w:pPr>
      <w:r>
        <w:rPr>
          <w:rFonts w:ascii="Arial" w:cs="Arial" w:eastAsia="Arial" w:hAnsi="Arial"/>
          <w:sz w:val="11"/>
          <w:szCs w:val="11"/>
          <w:color w:val="FF0000"/>
          <w:strike w:val="1"/>
        </w:rPr>
        <w:t>40380091v18</w:t>
      </w:r>
    </w:p>
    <w:p>
      <w:pPr>
        <w:spacing w:after="0" w:line="158" w:lineRule="exact"/>
        <w:rPr>
          <w:sz w:val="20"/>
          <w:szCs w:val="20"/>
          <w:color w:val="auto"/>
        </w:rPr>
      </w:pPr>
    </w:p>
    <w:p>
      <w:pPr>
        <w:spacing w:after="0"/>
        <w:rPr>
          <w:sz w:val="20"/>
          <w:szCs w:val="20"/>
          <w:color w:val="auto"/>
        </w:rPr>
      </w:pPr>
      <w:r>
        <w:rPr>
          <w:rFonts w:ascii="Arial" w:cs="Arial" w:eastAsia="Arial" w:hAnsi="Arial"/>
          <w:sz w:val="9"/>
          <w:szCs w:val="9"/>
          <w:color w:val="FF0000"/>
          <w:strike w:val="1"/>
        </w:rPr>
        <w:t>[[5820628v.11]]</w:t>
      </w:r>
      <w:r>
        <w:rPr>
          <w:rFonts w:ascii="Arial" w:cs="Arial" w:eastAsia="Arial" w:hAnsi="Arial"/>
          <w:sz w:val="9"/>
          <w:szCs w:val="9"/>
          <w:b w:val="1"/>
          <w:bCs w:val="1"/>
          <w:u w:val="single" w:color="auto"/>
          <w:color w:val="0000FF"/>
        </w:rPr>
        <w:t>[[DMS:6131756v8:07/18/2023--01:4</w:t>
      </w:r>
      <w:r>
        <w:rPr>
          <w:rFonts w:ascii="Arial" w:cs="Arial" w:eastAsia="Arial" w:hAnsi="Arial"/>
          <w:sz w:val="9"/>
          <w:szCs w:val="9"/>
          <w:b w:val="1"/>
          <w:bCs w:val="1"/>
          <w:color w:val="0000FF"/>
        </w:rPr>
        <w:t>4 PM]]</w:t>
      </w:r>
    </w:p>
    <w:p>
      <w:pPr>
        <w:sectPr>
          <w:pgSz w:w="11900" w:h="16838" w:orient="portrait"/>
          <w:cols w:equalWidth="0" w:num="1">
            <w:col w:w="10079"/>
          </w:cols>
          <w:pgMar w:left="380" w:top="1074" w:right="1440" w:bottom="1440" w:gutter="0" w:footer="0" w:header="0"/>
        </w:sectPr>
      </w:pPr>
    </w:p>
    <w:bookmarkStart w:id="56" w:name="page57"/>
    <w:bookmarkEnd w:id="56"/>
    <w:tbl>
      <w:tblPr>
        <w:tblLayout w:type="fixed"/>
        <w:tblInd w:w="540" w:type="dxa"/>
        <w:tblCellMar>
          <w:top w:w="0" w:type="dxa"/>
          <w:left w:w="0" w:type="dxa"/>
          <w:bottom w:w="0" w:type="dxa"/>
          <w:right w:w="0" w:type="dxa"/>
        </w:tblCellMar>
      </w:tblPr>
      <w:tr>
        <w:trPr>
          <w:trHeight w:val="210"/>
        </w:trPr>
        <w:tc>
          <w:tcPr>
            <w:tcW w:w="10240" w:type="dxa"/>
            <w:vAlign w:val="bottom"/>
            <w:gridSpan w:val="79"/>
          </w:tcPr>
          <w:p>
            <w:pPr>
              <w:spacing w:after="0"/>
              <w:rPr>
                <w:sz w:val="20"/>
                <w:szCs w:val="20"/>
                <w:color w:val="auto"/>
              </w:rPr>
            </w:pPr>
            <w:r>
              <w:rPr>
                <w:rFonts w:ascii="Arial" w:cs="Arial" w:eastAsia="Arial" w:hAnsi="Arial"/>
                <w:sz w:val="16"/>
                <w:szCs w:val="16"/>
                <w:b w:val="1"/>
                <w:bCs w:val="1"/>
                <w:color w:val="010101"/>
              </w:rPr>
              <w:t>TABLE OF CONTENTS</w:t>
            </w:r>
          </w:p>
        </w:tc>
        <w:tc>
          <w:tcPr>
            <w:tcW w:w="3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010101"/>
                <w:w w:val="78"/>
              </w:rPr>
              <w:t>Page</w:t>
            </w:r>
          </w:p>
        </w:tc>
        <w:tc>
          <w:tcPr>
            <w:tcW w:w="0" w:type="dxa"/>
            <w:vAlign w:val="bottom"/>
          </w:tcPr>
          <w:p>
            <w:pPr>
              <w:spacing w:after="0"/>
              <w:rPr>
                <w:sz w:val="1"/>
                <w:szCs w:val="1"/>
                <w:color w:val="auto"/>
              </w:rPr>
            </w:pPr>
          </w:p>
        </w:tc>
      </w:tr>
      <w:tr>
        <w:trPr>
          <w:trHeight w:val="162"/>
        </w:trPr>
        <w:tc>
          <w:tcPr>
            <w:tcW w:w="10240" w:type="dxa"/>
            <w:vAlign w:val="bottom"/>
            <w:gridSpan w:val="79"/>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95"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9"/>
          </w:tcPr>
          <w:p>
            <w:pPr>
              <w:jc w:val="right"/>
              <w:spacing w:after="0"/>
              <w:rPr>
                <w:sz w:val="20"/>
                <w:szCs w:val="20"/>
                <w:color w:val="auto"/>
              </w:rPr>
            </w:pPr>
            <w:r>
              <w:rPr>
                <w:rFonts w:ascii="Arial" w:cs="Arial" w:eastAsia="Arial" w:hAnsi="Arial"/>
                <w:sz w:val="16"/>
                <w:szCs w:val="16"/>
                <w:color w:val="010101"/>
              </w:rPr>
              <w:t>ARTICLE I DEFINITIONS AND ACCOUNTING TERMS   1</w:t>
            </w:r>
          </w:p>
        </w:tc>
        <w:tc>
          <w:tcPr>
            <w:tcW w:w="0" w:type="dxa"/>
            <w:vAlign w:val="bottom"/>
          </w:tcPr>
          <w:p>
            <w:pPr>
              <w:spacing w:after="0"/>
              <w:rPr>
                <w:sz w:val="1"/>
                <w:szCs w:val="1"/>
                <w:color w:val="auto"/>
              </w:rPr>
            </w:pPr>
          </w:p>
        </w:tc>
      </w:tr>
      <w:tr>
        <w:trPr>
          <w:trHeight w:val="20"/>
        </w:trPr>
        <w:tc>
          <w:tcPr>
            <w:tcW w:w="10320" w:type="dxa"/>
            <w:vAlign w:val="bottom"/>
            <w:tcBorders>
              <w:right w:val="single" w:sz="8" w:color="010101"/>
            </w:tcBorders>
            <w:gridSpan w:val="80"/>
          </w:tcPr>
          <w:p>
            <w:pPr>
              <w:spacing w:after="0" w:line="20" w:lineRule="exact"/>
              <w:rPr>
                <w:sz w:val="1"/>
                <w:szCs w:val="1"/>
                <w:color w:val="auto"/>
              </w:rPr>
            </w:pPr>
          </w:p>
        </w:tc>
        <w:tc>
          <w:tcPr>
            <w:tcW w:w="160" w:type="dxa"/>
            <w:vAlign w:val="bottom"/>
            <w:tcBorders>
              <w:right w:val="single" w:sz="8" w:color="010101"/>
            </w:tcBorders>
            <w:gridSpan w:val="2"/>
            <w:shd w:val="clear" w:color="auto" w:fill="01010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580" w:type="dxa"/>
            <w:vAlign w:val="bottom"/>
            <w:gridSpan w:val="21"/>
          </w:tcPr>
          <w:p>
            <w:pPr>
              <w:spacing w:after="0"/>
              <w:rPr>
                <w:sz w:val="20"/>
                <w:szCs w:val="20"/>
                <w:color w:val="auto"/>
              </w:rPr>
            </w:pPr>
            <w:r>
              <w:rPr>
                <w:rFonts w:ascii="Arial" w:cs="Arial" w:eastAsia="Arial" w:hAnsi="Arial"/>
                <w:sz w:val="16"/>
                <w:szCs w:val="16"/>
                <w:color w:val="010101"/>
                <w:w w:val="91"/>
              </w:rPr>
              <w:t>SECTION 1.01. Certain Defined Terms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gridSpan w:val="29"/>
          </w:tcPr>
          <w:p>
            <w:pPr>
              <w:spacing w:after="0"/>
              <w:rPr>
                <w:sz w:val="20"/>
                <w:szCs w:val="20"/>
                <w:color w:val="auto"/>
              </w:rPr>
            </w:pPr>
            <w:r>
              <w:rPr>
                <w:rFonts w:ascii="Arial" w:cs="Arial" w:eastAsia="Arial" w:hAnsi="Arial"/>
                <w:sz w:val="16"/>
                <w:szCs w:val="16"/>
                <w:color w:val="010101"/>
                <w:w w:val="98"/>
              </w:rPr>
              <w:t>1 SECTION 1.02. Computation of Time Periods</w:t>
            </w:r>
          </w:p>
        </w:tc>
        <w:tc>
          <w:tcPr>
            <w:tcW w:w="160" w:type="dxa"/>
            <w:vAlign w:val="bottom"/>
          </w:tcPr>
          <w:p>
            <w:pPr>
              <w:jc w:val="right"/>
              <w:spacing w:after="0"/>
              <w:rPr>
                <w:sz w:val="20"/>
                <w:szCs w:val="20"/>
                <w:color w:val="auto"/>
              </w:rPr>
            </w:pPr>
            <w:r>
              <w:rPr>
                <w:rFonts w:ascii="Arial" w:cs="Arial" w:eastAsia="Arial" w:hAnsi="Arial"/>
                <w:sz w:val="16"/>
                <w:szCs w:val="16"/>
                <w:color w:val="FF0000"/>
                <w:strike w:val="1"/>
                <w:w w:val="78"/>
              </w:rPr>
              <w:t>38</w:t>
            </w:r>
          </w:p>
        </w:tc>
        <w:tc>
          <w:tcPr>
            <w:tcW w:w="2700" w:type="dxa"/>
            <w:vAlign w:val="bottom"/>
            <w:gridSpan w:val="18"/>
          </w:tcPr>
          <w:p>
            <w:pPr>
              <w:jc w:val="right"/>
              <w:ind w:right="220"/>
              <w:spacing w:after="0"/>
              <w:rPr>
                <w:sz w:val="20"/>
                <w:szCs w:val="20"/>
                <w:color w:val="auto"/>
              </w:rPr>
            </w:pPr>
            <w:r>
              <w:rPr>
                <w:rFonts w:ascii="Arial" w:cs="Arial" w:eastAsia="Arial" w:hAnsi="Arial"/>
                <w:sz w:val="16"/>
                <w:szCs w:val="16"/>
                <w:b w:val="1"/>
                <w:bCs w:val="1"/>
                <w:color w:val="0000FF"/>
                <w:w w:val="92"/>
              </w:rPr>
              <w:t xml:space="preserve">39 </w:t>
            </w:r>
            <w:r>
              <w:rPr>
                <w:rFonts w:ascii="Arial" w:cs="Arial" w:eastAsia="Arial" w:hAnsi="Arial"/>
                <w:sz w:val="16"/>
                <w:szCs w:val="16"/>
                <w:color w:val="010101"/>
                <w:w w:val="92"/>
              </w:rPr>
              <w:t>SECTION 1.03. Accounting Terms</w:t>
            </w:r>
          </w:p>
        </w:tc>
        <w:tc>
          <w:tcPr>
            <w:tcW w:w="160" w:type="dxa"/>
            <w:vAlign w:val="bottom"/>
          </w:tcPr>
          <w:p>
            <w:pPr>
              <w:spacing w:after="0"/>
              <w:rPr>
                <w:sz w:val="20"/>
                <w:szCs w:val="20"/>
                <w:color w:val="auto"/>
              </w:rPr>
            </w:pPr>
            <w:r>
              <w:rPr>
                <w:rFonts w:ascii="Arial" w:cs="Arial" w:eastAsia="Arial" w:hAnsi="Arial"/>
                <w:sz w:val="16"/>
                <w:szCs w:val="16"/>
                <w:color w:val="FF0000"/>
                <w:strike w:val="1"/>
                <w:w w:val="78"/>
              </w:rPr>
              <w:t>38</w:t>
            </w:r>
          </w:p>
        </w:tc>
        <w:tc>
          <w:tcPr>
            <w:tcW w:w="1240" w:type="dxa"/>
            <w:vAlign w:val="bottom"/>
            <w:gridSpan w:val="9"/>
          </w:tcPr>
          <w:p>
            <w:pPr>
              <w:jc w:val="right"/>
              <w:spacing w:after="0"/>
              <w:rPr>
                <w:sz w:val="20"/>
                <w:szCs w:val="20"/>
                <w:color w:val="auto"/>
              </w:rPr>
            </w:pPr>
            <w:r>
              <w:rPr>
                <w:rFonts w:ascii="Arial" w:cs="Arial" w:eastAsia="Arial" w:hAnsi="Arial"/>
                <w:sz w:val="16"/>
                <w:szCs w:val="16"/>
                <w:b w:val="1"/>
                <w:bCs w:val="1"/>
                <w:color w:val="0000FF"/>
                <w:w w:val="91"/>
              </w:rPr>
              <w:t xml:space="preserve">40 </w:t>
            </w:r>
            <w:r>
              <w:rPr>
                <w:rFonts w:ascii="Arial" w:cs="Arial" w:eastAsia="Arial" w:hAnsi="Arial"/>
                <w:sz w:val="16"/>
                <w:szCs w:val="16"/>
                <w:color w:val="010101"/>
                <w:w w:val="91"/>
              </w:rPr>
              <w:t>SECTION 1.04.</w:t>
            </w:r>
          </w:p>
        </w:tc>
        <w:tc>
          <w:tcPr>
            <w:tcW w:w="0" w:type="dxa"/>
            <w:vAlign w:val="bottom"/>
          </w:tcPr>
          <w:p>
            <w:pPr>
              <w:spacing w:after="0"/>
              <w:rPr>
                <w:sz w:val="1"/>
                <w:szCs w:val="1"/>
                <w:color w:val="auto"/>
              </w:rPr>
            </w:pPr>
          </w:p>
        </w:tc>
      </w:tr>
      <w:tr>
        <w:trPr>
          <w:trHeight w:val="20"/>
        </w:trPr>
        <w:tc>
          <w:tcPr>
            <w:tcW w:w="940" w:type="dxa"/>
            <w:vAlign w:val="bottom"/>
            <w:gridSpan w:val="4"/>
            <w:vMerge w:val="restart"/>
          </w:tcPr>
          <w:p>
            <w:pPr>
              <w:spacing w:after="0" w:line="161" w:lineRule="exact"/>
              <w:rPr>
                <w:sz w:val="20"/>
                <w:szCs w:val="20"/>
                <w:color w:val="auto"/>
              </w:rPr>
            </w:pPr>
            <w:r>
              <w:rPr>
                <w:rFonts w:ascii="Arial" w:cs="Arial" w:eastAsia="Arial" w:hAnsi="Arial"/>
                <w:sz w:val="16"/>
                <w:szCs w:val="16"/>
                <w:color w:val="010101"/>
              </w:rPr>
              <w:t>Guarantees</w:t>
            </w:r>
          </w:p>
        </w:tc>
        <w:tc>
          <w:tcPr>
            <w:tcW w:w="160" w:type="dxa"/>
            <w:vAlign w:val="bottom"/>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39</w:t>
            </w:r>
          </w:p>
        </w:tc>
        <w:tc>
          <w:tcPr>
            <w:tcW w:w="1480" w:type="dxa"/>
            <w:vAlign w:val="bottom"/>
            <w:gridSpan w:val="16"/>
            <w:vMerge w:val="restart"/>
          </w:tcPr>
          <w:p>
            <w:pPr>
              <w:spacing w:after="0" w:line="161" w:lineRule="exact"/>
              <w:rPr>
                <w:sz w:val="20"/>
                <w:szCs w:val="20"/>
                <w:color w:val="auto"/>
              </w:rPr>
            </w:pPr>
            <w:r>
              <w:rPr>
                <w:rFonts w:ascii="Arial" w:cs="Arial" w:eastAsia="Arial" w:hAnsi="Arial"/>
                <w:sz w:val="16"/>
                <w:szCs w:val="16"/>
                <w:b w:val="1"/>
                <w:bCs w:val="1"/>
                <w:color w:val="0000FF"/>
              </w:rPr>
              <w:t xml:space="preserve">40 </w:t>
            </w:r>
            <w:r>
              <w:rPr>
                <w:rFonts w:ascii="Arial" w:cs="Arial" w:eastAsia="Arial" w:hAnsi="Arial"/>
                <w:sz w:val="16"/>
                <w:szCs w:val="16"/>
                <w:color w:val="010101"/>
              </w:rPr>
              <w:t>SECTION 1.05.</w:t>
            </w:r>
          </w:p>
        </w:tc>
        <w:tc>
          <w:tcPr>
            <w:tcW w:w="6580" w:type="dxa"/>
            <w:vAlign w:val="bottom"/>
            <w:tcBorders>
              <w:left w:val="single" w:sz="8" w:color="010101"/>
              <w:right w:val="single" w:sz="8" w:color="010101"/>
            </w:tcBorders>
            <w:gridSpan w:val="52"/>
            <w:shd w:val="clear" w:color="auto" w:fill="010101"/>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gridSpan w:val="4"/>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480" w:type="dxa"/>
            <w:vAlign w:val="bottom"/>
            <w:gridSpan w:val="16"/>
            <w:vMerge w:val="continue"/>
          </w:tcPr>
          <w:p>
            <w:pPr>
              <w:spacing w:after="0"/>
              <w:rPr>
                <w:sz w:val="12"/>
                <w:szCs w:val="12"/>
                <w:color w:val="auto"/>
              </w:rPr>
            </w:pPr>
          </w:p>
        </w:tc>
        <w:tc>
          <w:tcPr>
            <w:tcW w:w="4100" w:type="dxa"/>
            <w:vAlign w:val="bottom"/>
            <w:gridSpan w:val="37"/>
          </w:tcPr>
          <w:p>
            <w:pPr>
              <w:spacing w:after="0" w:line="142" w:lineRule="exact"/>
              <w:rPr>
                <w:sz w:val="20"/>
                <w:szCs w:val="20"/>
                <w:color w:val="auto"/>
              </w:rPr>
            </w:pPr>
            <w:r>
              <w:rPr>
                <w:rFonts w:ascii="Arial" w:cs="Arial" w:eastAsia="Arial" w:hAnsi="Arial"/>
                <w:sz w:val="16"/>
                <w:szCs w:val="16"/>
                <w:color w:val="010101"/>
              </w:rPr>
              <w:t>Redenominations of Certain Foreign Currencies and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top w:val="single" w:sz="8" w:color="010101"/>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480" w:type="dxa"/>
            <w:vAlign w:val="bottom"/>
            <w:gridSpan w:val="34"/>
          </w:tcPr>
          <w:p>
            <w:pPr>
              <w:spacing w:after="0" w:line="132" w:lineRule="exact"/>
              <w:rPr>
                <w:sz w:val="20"/>
                <w:szCs w:val="20"/>
                <w:color w:val="auto"/>
              </w:rPr>
            </w:pPr>
            <w:r>
              <w:rPr>
                <w:rFonts w:ascii="Arial" w:cs="Arial" w:eastAsia="Arial" w:hAnsi="Arial"/>
                <w:sz w:val="15"/>
                <w:szCs w:val="15"/>
                <w:color w:val="010101"/>
                <w:w w:val="97"/>
              </w:rPr>
              <w:t>Computation of US Dollar Amounts; Exchange Rates;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15"/>
          </w:tcPr>
          <w:p>
            <w:pPr>
              <w:spacing w:after="0" w:line="172" w:lineRule="exact"/>
              <w:rPr>
                <w:sz w:val="20"/>
                <w:szCs w:val="20"/>
                <w:color w:val="auto"/>
              </w:rPr>
            </w:pPr>
            <w:r>
              <w:rPr>
                <w:rFonts w:ascii="Arial" w:cs="Arial" w:eastAsia="Arial" w:hAnsi="Arial"/>
                <w:sz w:val="16"/>
                <w:szCs w:val="16"/>
                <w:color w:val="010101"/>
                <w:w w:val="86"/>
              </w:rPr>
              <w:t>Currency Equivalents</w:t>
            </w:r>
          </w:p>
        </w:tc>
        <w:tc>
          <w:tcPr>
            <w:tcW w:w="240" w:type="dxa"/>
            <w:vAlign w:val="bottom"/>
            <w:gridSpan w:val="3"/>
          </w:tcPr>
          <w:p>
            <w:pPr>
              <w:jc w:val="right"/>
              <w:spacing w:after="0" w:line="172" w:lineRule="exact"/>
              <w:rPr>
                <w:sz w:val="20"/>
                <w:szCs w:val="20"/>
                <w:color w:val="auto"/>
              </w:rPr>
            </w:pPr>
            <w:r>
              <w:rPr>
                <w:rFonts w:ascii="Arial" w:cs="Arial" w:eastAsia="Arial" w:hAnsi="Arial"/>
                <w:sz w:val="16"/>
                <w:szCs w:val="16"/>
                <w:color w:val="FF0000"/>
              </w:rPr>
              <w:t>39</w:t>
            </w:r>
          </w:p>
        </w:tc>
        <w:tc>
          <w:tcPr>
            <w:tcW w:w="3860" w:type="dxa"/>
            <w:vAlign w:val="bottom"/>
            <w:gridSpan w:val="34"/>
          </w:tcPr>
          <w:p>
            <w:pPr>
              <w:spacing w:after="0" w:line="172" w:lineRule="exact"/>
              <w:rPr>
                <w:sz w:val="20"/>
                <w:szCs w:val="20"/>
                <w:color w:val="auto"/>
              </w:rPr>
            </w:pPr>
            <w:r>
              <w:rPr>
                <w:rFonts w:ascii="Arial" w:cs="Arial" w:eastAsia="Arial" w:hAnsi="Arial"/>
                <w:sz w:val="16"/>
                <w:szCs w:val="16"/>
                <w:b w:val="1"/>
                <w:bCs w:val="1"/>
                <w:color w:val="0000FF"/>
              </w:rPr>
              <w:t>; Daily Simple RFR Advances  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gridSpan w:val="5"/>
          </w:tcPr>
          <w:p>
            <w:pPr>
              <w:spacing w:after="0" w:line="142" w:lineRule="exact"/>
              <w:rPr>
                <w:sz w:val="20"/>
                <w:szCs w:val="20"/>
                <w:color w:val="auto"/>
              </w:rPr>
            </w:pPr>
            <w:r>
              <w:rPr>
                <w:rFonts w:ascii="Arial" w:cs="Arial" w:eastAsia="Arial" w:hAnsi="Arial"/>
                <w:sz w:val="16"/>
                <w:szCs w:val="16"/>
                <w:color w:val="010101"/>
                <w:w w:val="97"/>
              </w:rPr>
              <w:t>SECTION 1.06.</w:t>
            </w:r>
          </w:p>
        </w:tc>
        <w:tc>
          <w:tcPr>
            <w:tcW w:w="480" w:type="dxa"/>
            <w:vAlign w:val="bottom"/>
            <w:gridSpan w:val="3"/>
          </w:tcPr>
          <w:p>
            <w:pPr>
              <w:ind w:left="120"/>
              <w:spacing w:after="0" w:line="142" w:lineRule="exact"/>
              <w:rPr>
                <w:sz w:val="20"/>
                <w:szCs w:val="20"/>
                <w:color w:val="auto"/>
              </w:rPr>
            </w:pPr>
            <w:r>
              <w:rPr>
                <w:rFonts w:ascii="Arial" w:cs="Arial" w:eastAsia="Arial" w:hAnsi="Arial"/>
                <w:sz w:val="16"/>
                <w:szCs w:val="16"/>
                <w:color w:val="010101"/>
                <w:w w:val="81"/>
              </w:rPr>
              <w:t>Rates</w:t>
            </w:r>
          </w:p>
        </w:tc>
        <w:tc>
          <w:tcPr>
            <w:tcW w:w="200" w:type="dxa"/>
            <w:vAlign w:val="bottom"/>
            <w:tcBorders>
              <w:bottom w:val="single" w:sz="8" w:color="010101"/>
            </w:tcBorders>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78"/>
              </w:rPr>
              <w:t>40</w:t>
            </w:r>
          </w:p>
        </w:tc>
        <w:tc>
          <w:tcPr>
            <w:tcW w:w="100" w:type="dxa"/>
            <w:vAlign w:val="bottom"/>
            <w:tcBorders>
              <w:bottom w:val="single" w:sz="8" w:color="0000FF"/>
            </w:tcBorders>
            <w:gridSpan w:val="4"/>
          </w:tcPr>
          <w:p>
            <w:pPr>
              <w:jc w:val="right"/>
              <w:spacing w:after="0"/>
              <w:rPr>
                <w:sz w:val="20"/>
                <w:szCs w:val="20"/>
                <w:color w:val="auto"/>
              </w:rPr>
            </w:pPr>
            <w:r>
              <w:rPr>
                <w:rFonts w:ascii="Arial" w:cs="Arial" w:eastAsia="Arial" w:hAnsi="Arial"/>
                <w:sz w:val="10"/>
                <w:szCs w:val="10"/>
                <w:b w:val="1"/>
                <w:bCs w:val="1"/>
                <w:color w:val="0000FF"/>
                <w:w w:val="71"/>
              </w:rPr>
              <w:t>41</w:t>
            </w:r>
          </w:p>
        </w:tc>
        <w:tc>
          <w:tcPr>
            <w:tcW w:w="120" w:type="dxa"/>
            <w:vAlign w:val="bottom"/>
          </w:tcPr>
          <w:p>
            <w:pPr>
              <w:spacing w:after="0"/>
              <w:rPr>
                <w:sz w:val="12"/>
                <w:szCs w:val="12"/>
                <w:color w:val="auto"/>
              </w:rPr>
            </w:pP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5"/>
                <w:szCs w:val="15"/>
                <w:b w:val="1"/>
                <w:bCs w:val="1"/>
                <w:color w:val="0000FF"/>
                <w:w w:val="71"/>
              </w:rPr>
              <w:t>42</w:t>
            </w:r>
          </w:p>
        </w:tc>
        <w:tc>
          <w:tcPr>
            <w:tcW w:w="440" w:type="dxa"/>
            <w:vAlign w:val="bottom"/>
            <w:gridSpan w:val="5"/>
          </w:tcPr>
          <w:p>
            <w:pPr>
              <w:spacing w:after="0"/>
              <w:rPr>
                <w:sz w:val="12"/>
                <w:szCs w:val="12"/>
                <w:color w:val="auto"/>
              </w:rPr>
            </w:pPr>
          </w:p>
        </w:tc>
        <w:tc>
          <w:tcPr>
            <w:tcW w:w="380" w:type="dxa"/>
            <w:vAlign w:val="bottom"/>
            <w:tcBorders>
              <w:top w:val="single" w:sz="8" w:color="0000FF"/>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0000FF"/>
            </w:tcBorders>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00" w:type="dxa"/>
            <w:vAlign w:val="bottom"/>
            <w:gridSpan w:val="9"/>
          </w:tcPr>
          <w:p>
            <w:pPr>
              <w:spacing w:after="0"/>
              <w:rPr>
                <w:sz w:val="12"/>
                <w:szCs w:val="12"/>
                <w:color w:val="auto"/>
              </w:rPr>
            </w:pPr>
          </w:p>
        </w:tc>
        <w:tc>
          <w:tcPr>
            <w:tcW w:w="140" w:type="dxa"/>
            <w:vAlign w:val="bottom"/>
            <w:tcBorders>
              <w:top w:val="single" w:sz="8" w:color="0000FF"/>
            </w:tcBorders>
            <w:gridSpan w:val="2"/>
          </w:tcPr>
          <w:p>
            <w:pPr>
              <w:spacing w:after="0"/>
              <w:rPr>
                <w:sz w:val="12"/>
                <w:szCs w:val="12"/>
                <w:color w:val="auto"/>
              </w:rPr>
            </w:pPr>
          </w:p>
        </w:tc>
        <w:tc>
          <w:tcPr>
            <w:tcW w:w="5360" w:type="dxa"/>
            <w:vAlign w:val="bottom"/>
            <w:gridSpan w:val="3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gridSpan w:val="5"/>
          </w:tcPr>
          <w:p>
            <w:pPr>
              <w:spacing w:after="0" w:line="142" w:lineRule="exact"/>
              <w:rPr>
                <w:sz w:val="20"/>
                <w:szCs w:val="20"/>
                <w:color w:val="auto"/>
              </w:rPr>
            </w:pPr>
            <w:r>
              <w:rPr>
                <w:rFonts w:ascii="Arial" w:cs="Arial" w:eastAsia="Arial" w:hAnsi="Arial"/>
                <w:sz w:val="16"/>
                <w:szCs w:val="16"/>
                <w:color w:val="010101"/>
                <w:w w:val="97"/>
              </w:rPr>
              <w:t>SECTION 1.07.</w:t>
            </w:r>
          </w:p>
        </w:tc>
        <w:tc>
          <w:tcPr>
            <w:tcW w:w="940" w:type="dxa"/>
            <w:vAlign w:val="bottom"/>
            <w:gridSpan w:val="8"/>
          </w:tcPr>
          <w:p>
            <w:pPr>
              <w:ind w:left="120"/>
              <w:spacing w:after="0" w:line="142" w:lineRule="exact"/>
              <w:rPr>
                <w:sz w:val="20"/>
                <w:szCs w:val="20"/>
                <w:color w:val="auto"/>
              </w:rPr>
            </w:pPr>
            <w:r>
              <w:rPr>
                <w:rFonts w:ascii="Arial" w:cs="Arial" w:eastAsia="Arial" w:hAnsi="Arial"/>
                <w:sz w:val="16"/>
                <w:szCs w:val="16"/>
                <w:color w:val="010101"/>
                <w:w w:val="84"/>
              </w:rPr>
              <w:t>Divisions</w:t>
            </w:r>
          </w:p>
        </w:tc>
        <w:tc>
          <w:tcPr>
            <w:tcW w:w="180" w:type="dxa"/>
            <w:vAlign w:val="bottom"/>
            <w:gridSpan w:val="3"/>
          </w:tcPr>
          <w:p>
            <w:pPr>
              <w:jc w:val="right"/>
              <w:ind w:right="20"/>
              <w:spacing w:after="0" w:line="142" w:lineRule="exact"/>
              <w:rPr>
                <w:sz w:val="20"/>
                <w:szCs w:val="20"/>
                <w:color w:val="auto"/>
              </w:rPr>
            </w:pPr>
            <w:r>
              <w:rPr>
                <w:rFonts w:ascii="Arial" w:cs="Arial" w:eastAsia="Arial" w:hAnsi="Arial"/>
                <w:sz w:val="16"/>
                <w:szCs w:val="16"/>
                <w:color w:val="FF0000"/>
                <w:strike w:val="1"/>
                <w:w w:val="78"/>
              </w:rPr>
              <w:t>40</w:t>
            </w:r>
          </w:p>
        </w:tc>
        <w:tc>
          <w:tcPr>
            <w:tcW w:w="160" w:type="dxa"/>
            <w:vAlign w:val="bottom"/>
            <w:gridSpan w:val="3"/>
            <w:vMerge w:val="continue"/>
          </w:tcPr>
          <w:p>
            <w:pPr>
              <w:spacing w:after="0"/>
              <w:rPr>
                <w:sz w:val="12"/>
                <w:szCs w:val="12"/>
                <w:color w:val="auto"/>
              </w:rPr>
            </w:pPr>
          </w:p>
        </w:tc>
        <w:tc>
          <w:tcPr>
            <w:tcW w:w="8180" w:type="dxa"/>
            <w:vAlign w:val="bottom"/>
            <w:gridSpan w:val="6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gridSpan w:val="5"/>
          </w:tcPr>
          <w:p>
            <w:pPr>
              <w:spacing w:after="0" w:line="142" w:lineRule="exact"/>
              <w:rPr>
                <w:sz w:val="20"/>
                <w:szCs w:val="20"/>
                <w:color w:val="auto"/>
              </w:rPr>
            </w:pPr>
            <w:r>
              <w:rPr>
                <w:rFonts w:ascii="Arial" w:cs="Arial" w:eastAsia="Arial" w:hAnsi="Arial"/>
                <w:sz w:val="16"/>
                <w:szCs w:val="16"/>
                <w:color w:val="010101"/>
                <w:w w:val="97"/>
              </w:rPr>
              <w:t>SECTION 1.08.</w:t>
            </w:r>
          </w:p>
        </w:tc>
        <w:tc>
          <w:tcPr>
            <w:tcW w:w="760" w:type="dxa"/>
            <w:vAlign w:val="bottom"/>
            <w:gridSpan w:val="5"/>
          </w:tcPr>
          <w:p>
            <w:pPr>
              <w:ind w:left="120"/>
              <w:spacing w:after="0" w:line="142" w:lineRule="exact"/>
              <w:rPr>
                <w:sz w:val="20"/>
                <w:szCs w:val="20"/>
                <w:color w:val="auto"/>
              </w:rPr>
            </w:pPr>
            <w:r>
              <w:rPr>
                <w:rFonts w:ascii="Arial" w:cs="Arial" w:eastAsia="Arial" w:hAnsi="Arial"/>
                <w:sz w:val="16"/>
                <w:szCs w:val="16"/>
                <w:color w:val="010101"/>
                <w:w w:val="87"/>
              </w:rPr>
              <w:t>Rounding</w:t>
            </w:r>
          </w:p>
        </w:tc>
        <w:tc>
          <w:tcPr>
            <w:tcW w:w="140" w:type="dxa"/>
            <w:vAlign w:val="bottom"/>
            <w:tcBorders>
              <w:top w:val="single" w:sz="8" w:color="FF0000"/>
              <w:bottom w:val="single" w:sz="8" w:color="FF0000"/>
            </w:tcBorders>
          </w:tcPr>
          <w:p>
            <w:pPr>
              <w:spacing w:after="0"/>
              <w:rPr>
                <w:sz w:val="12"/>
                <w:szCs w:val="12"/>
                <w:color w:val="auto"/>
              </w:rPr>
            </w:pPr>
          </w:p>
        </w:tc>
        <w:tc>
          <w:tcPr>
            <w:tcW w:w="20" w:type="dxa"/>
            <w:vAlign w:val="bottom"/>
            <w:tcBorders>
              <w:top w:val="single" w:sz="8" w:color="FF0000"/>
              <w:bottom w:val="single" w:sz="8" w:color="FF0000"/>
            </w:tcBorders>
          </w:tcPr>
          <w:p>
            <w:pPr>
              <w:spacing w:after="0"/>
              <w:rPr>
                <w:sz w:val="12"/>
                <w:szCs w:val="12"/>
                <w:color w:val="auto"/>
              </w:rPr>
            </w:pPr>
          </w:p>
        </w:tc>
        <w:tc>
          <w:tcPr>
            <w:tcW w:w="20" w:type="dxa"/>
            <w:vAlign w:val="bottom"/>
            <w:tcBorders>
              <w:top w:val="single" w:sz="8" w:color="FF0000"/>
              <w:bottom w:val="single" w:sz="8" w:color="FF0000"/>
            </w:tcBorders>
          </w:tcPr>
          <w:p>
            <w:pPr>
              <w:spacing w:after="0"/>
              <w:rPr>
                <w:sz w:val="12"/>
                <w:szCs w:val="12"/>
                <w:color w:val="auto"/>
              </w:rPr>
            </w:pPr>
          </w:p>
        </w:tc>
        <w:tc>
          <w:tcPr>
            <w:tcW w:w="20" w:type="dxa"/>
            <w:vAlign w:val="bottom"/>
            <w:tcBorders>
              <w:bottom w:val="single" w:sz="8" w:color="FF0000"/>
            </w:tcBorders>
          </w:tcPr>
          <w:p>
            <w:pPr>
              <w:spacing w:after="0"/>
              <w:rPr>
                <w:sz w:val="12"/>
                <w:szCs w:val="12"/>
                <w:color w:val="auto"/>
              </w:rPr>
            </w:pPr>
          </w:p>
        </w:tc>
        <w:tc>
          <w:tcPr>
            <w:tcW w:w="160" w:type="dxa"/>
            <w:vAlign w:val="bottom"/>
            <w:gridSpan w:val="2"/>
          </w:tcPr>
          <w:p>
            <w:pPr>
              <w:jc w:val="right"/>
              <w:ind w:right="20"/>
              <w:spacing w:after="0" w:line="142" w:lineRule="exact"/>
              <w:rPr>
                <w:sz w:val="20"/>
                <w:szCs w:val="20"/>
                <w:color w:val="auto"/>
              </w:rPr>
            </w:pPr>
            <w:r>
              <w:rPr>
                <w:rFonts w:ascii="Arial" w:cs="Arial" w:eastAsia="Arial" w:hAnsi="Arial"/>
                <w:sz w:val="15"/>
                <w:szCs w:val="15"/>
                <w:color w:val="FF0000"/>
                <w:strike w:val="1"/>
                <w:w w:val="71"/>
              </w:rPr>
              <w:t>40</w:t>
            </w:r>
          </w:p>
        </w:tc>
        <w:tc>
          <w:tcPr>
            <w:tcW w:w="140" w:type="dxa"/>
            <w:vAlign w:val="bottom"/>
            <w:tcBorders>
              <w:top w:val="single" w:sz="8" w:color="0000FF"/>
              <w:bottom w:val="single" w:sz="8" w:color="0000FF"/>
            </w:tcBorders>
            <w:gridSpan w:val="2"/>
          </w:tcPr>
          <w:p>
            <w:pPr>
              <w:jc w:val="right"/>
              <w:spacing w:after="0" w:line="142" w:lineRule="exact"/>
              <w:rPr>
                <w:sz w:val="20"/>
                <w:szCs w:val="20"/>
                <w:color w:val="auto"/>
              </w:rPr>
            </w:pPr>
            <w:r>
              <w:rPr>
                <w:rFonts w:ascii="Arial" w:cs="Arial" w:eastAsia="Arial" w:hAnsi="Arial"/>
                <w:sz w:val="15"/>
                <w:szCs w:val="15"/>
                <w:b w:val="1"/>
                <w:bCs w:val="1"/>
                <w:color w:val="0000FF"/>
                <w:w w:val="71"/>
              </w:rPr>
              <w:t>42</w:t>
            </w: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0" w:type="dxa"/>
            <w:vAlign w:val="bottom"/>
            <w:gridSpan w:val="10"/>
          </w:tcPr>
          <w:p>
            <w:pPr>
              <w:ind w:left="20"/>
              <w:spacing w:after="0" w:line="142" w:lineRule="exact"/>
              <w:rPr>
                <w:sz w:val="20"/>
                <w:szCs w:val="20"/>
                <w:color w:val="auto"/>
              </w:rPr>
            </w:pPr>
            <w:r>
              <w:rPr>
                <w:rFonts w:ascii="Arial" w:cs="Arial" w:eastAsia="Arial" w:hAnsi="Arial"/>
                <w:sz w:val="16"/>
                <w:szCs w:val="16"/>
                <w:color w:val="010101"/>
              </w:rPr>
              <w:t>SECTION 1.09.</w:t>
            </w:r>
          </w:p>
        </w:tc>
        <w:tc>
          <w:tcPr>
            <w:tcW w:w="2380" w:type="dxa"/>
            <w:vAlign w:val="bottom"/>
            <w:gridSpan w:val="22"/>
          </w:tcPr>
          <w:p>
            <w:pPr>
              <w:jc w:val="center"/>
              <w:spacing w:after="0" w:line="142" w:lineRule="exact"/>
              <w:rPr>
                <w:sz w:val="20"/>
                <w:szCs w:val="20"/>
                <w:color w:val="auto"/>
              </w:rPr>
            </w:pPr>
            <w:r>
              <w:rPr>
                <w:rFonts w:ascii="Arial" w:cs="Arial" w:eastAsia="Arial" w:hAnsi="Arial"/>
                <w:sz w:val="16"/>
                <w:szCs w:val="16"/>
                <w:color w:val="010101"/>
                <w:w w:val="89"/>
              </w:rPr>
              <w:t>References to Agreements and Laws</w:t>
            </w:r>
          </w:p>
        </w:tc>
        <w:tc>
          <w:tcPr>
            <w:tcW w:w="1200" w:type="dxa"/>
            <w:vAlign w:val="bottom"/>
            <w:gridSpan w:val="9"/>
          </w:tcPr>
          <w:p>
            <w:pPr>
              <w:jc w:val="center"/>
              <w:spacing w:after="0" w:line="142" w:lineRule="exact"/>
              <w:rPr>
                <w:sz w:val="20"/>
                <w:szCs w:val="20"/>
                <w:color w:val="auto"/>
              </w:rPr>
            </w:pPr>
            <w:r>
              <w:rPr>
                <w:rFonts w:ascii="Arial" w:cs="Arial" w:eastAsia="Arial" w:hAnsi="Arial"/>
                <w:sz w:val="16"/>
                <w:szCs w:val="16"/>
                <w:color w:val="FF0000"/>
                <w:strike w:val="1"/>
                <w:w w:val="91"/>
              </w:rPr>
              <w:t>. Unless otherwise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tcPr>
          <w:p>
            <w:pPr>
              <w:spacing w:after="0" w:line="136" w:lineRule="exact"/>
              <w:rPr>
                <w:sz w:val="20"/>
                <w:szCs w:val="20"/>
                <w:color w:val="auto"/>
              </w:rPr>
            </w:pPr>
            <w:r>
              <w:rPr>
                <w:rFonts w:ascii="Arial" w:cs="Arial" w:eastAsia="Arial" w:hAnsi="Arial"/>
                <w:sz w:val="15"/>
                <w:szCs w:val="15"/>
                <w:color w:val="FF0000"/>
                <w:strike w:val="1"/>
                <w:w w:val="94"/>
              </w:rPr>
              <w:t>expressly</w:t>
            </w:r>
          </w:p>
        </w:tc>
        <w:tc>
          <w:tcPr>
            <w:tcW w:w="3240" w:type="dxa"/>
            <w:vAlign w:val="bottom"/>
            <w:gridSpan w:val="34"/>
          </w:tcPr>
          <w:p>
            <w:pPr>
              <w:ind w:left="20"/>
              <w:spacing w:after="0" w:line="136" w:lineRule="exact"/>
              <w:rPr>
                <w:sz w:val="20"/>
                <w:szCs w:val="20"/>
                <w:color w:val="auto"/>
              </w:rPr>
            </w:pPr>
            <w:r>
              <w:rPr>
                <w:rFonts w:ascii="Arial" w:cs="Arial" w:eastAsia="Arial" w:hAnsi="Arial"/>
                <w:sz w:val="15"/>
                <w:szCs w:val="15"/>
                <w:color w:val="FF0000"/>
                <w:strike w:val="1"/>
                <w:w w:val="98"/>
              </w:rPr>
              <w:t>provided herein, (a) any definition or reference to</w:t>
            </w:r>
          </w:p>
        </w:tc>
        <w:tc>
          <w:tcPr>
            <w:tcW w:w="3700" w:type="dxa"/>
            <w:vAlign w:val="bottom"/>
            <w:gridSpan w:val="26"/>
          </w:tcPr>
          <w:p>
            <w:pPr>
              <w:ind w:left="20"/>
              <w:spacing w:after="0" w:line="136" w:lineRule="exact"/>
              <w:rPr>
                <w:sz w:val="20"/>
                <w:szCs w:val="20"/>
                <w:color w:val="auto"/>
              </w:rPr>
            </w:pPr>
            <w:r>
              <w:rPr>
                <w:rFonts w:ascii="Arial" w:cs="Arial" w:eastAsia="Arial" w:hAnsi="Arial"/>
                <w:sz w:val="15"/>
                <w:szCs w:val="15"/>
                <w:color w:val="FF0000"/>
                <w:strike w:val="1"/>
                <w:w w:val="96"/>
              </w:rPr>
              <w:t>formation documents, governing documents, agreements</w:t>
            </w:r>
          </w:p>
        </w:tc>
        <w:tc>
          <w:tcPr>
            <w:tcW w:w="1220" w:type="dxa"/>
            <w:vAlign w:val="bottom"/>
            <w:gridSpan w:val="7"/>
          </w:tcPr>
          <w:p>
            <w:pPr>
              <w:ind w:left="20"/>
              <w:spacing w:after="0" w:line="136" w:lineRule="exact"/>
              <w:rPr>
                <w:sz w:val="20"/>
                <w:szCs w:val="20"/>
                <w:color w:val="auto"/>
              </w:rPr>
            </w:pPr>
            <w:r>
              <w:rPr>
                <w:rFonts w:ascii="Arial" w:cs="Arial" w:eastAsia="Arial" w:hAnsi="Arial"/>
                <w:sz w:val="15"/>
                <w:szCs w:val="15"/>
                <w:color w:val="FF0000"/>
                <w:strike w:val="1"/>
              </w:rPr>
              <w:t>(including the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25"/>
          </w:tcPr>
          <w:p>
            <w:pPr>
              <w:spacing w:after="0" w:line="161" w:lineRule="exact"/>
              <w:rPr>
                <w:sz w:val="20"/>
                <w:szCs w:val="20"/>
                <w:color w:val="auto"/>
              </w:rPr>
            </w:pPr>
            <w:r>
              <w:rPr>
                <w:rFonts w:ascii="Arial" w:cs="Arial" w:eastAsia="Arial" w:hAnsi="Arial"/>
                <w:sz w:val="16"/>
                <w:szCs w:val="16"/>
                <w:color w:val="FF0000"/>
                <w:strike w:val="1"/>
                <w:w w:val="89"/>
              </w:rPr>
              <w:t>Loan Documents) and other contractual</w:t>
            </w:r>
          </w:p>
        </w:tc>
        <w:tc>
          <w:tcPr>
            <w:tcW w:w="40" w:type="dxa"/>
            <w:vAlign w:val="bottom"/>
          </w:tcPr>
          <w:p>
            <w:pPr>
              <w:spacing w:after="0"/>
              <w:rPr>
                <w:sz w:val="14"/>
                <w:szCs w:val="14"/>
                <w:color w:val="auto"/>
              </w:rPr>
            </w:pPr>
          </w:p>
        </w:tc>
        <w:tc>
          <w:tcPr>
            <w:tcW w:w="3660" w:type="dxa"/>
            <w:vAlign w:val="bottom"/>
            <w:gridSpan w:val="32"/>
          </w:tcPr>
          <w:p>
            <w:pPr>
              <w:spacing w:after="0" w:line="161" w:lineRule="exact"/>
              <w:rPr>
                <w:sz w:val="20"/>
                <w:szCs w:val="20"/>
                <w:color w:val="auto"/>
              </w:rPr>
            </w:pPr>
            <w:r>
              <w:rPr>
                <w:rFonts w:ascii="Arial" w:cs="Arial" w:eastAsia="Arial" w:hAnsi="Arial"/>
                <w:sz w:val="16"/>
                <w:szCs w:val="16"/>
                <w:color w:val="FF0000"/>
                <w:strike w:val="1"/>
                <w:w w:val="91"/>
              </w:rPr>
              <w:t>documents or instruments shall be deemed to include all</w:t>
            </w:r>
          </w:p>
        </w:tc>
        <w:tc>
          <w:tcPr>
            <w:tcW w:w="2540" w:type="dxa"/>
            <w:vAlign w:val="bottom"/>
            <w:gridSpan w:val="13"/>
          </w:tcPr>
          <w:p>
            <w:pPr>
              <w:ind w:left="20"/>
              <w:spacing w:after="0" w:line="161" w:lineRule="exact"/>
              <w:rPr>
                <w:sz w:val="20"/>
                <w:szCs w:val="20"/>
                <w:color w:val="auto"/>
              </w:rPr>
            </w:pPr>
            <w:r>
              <w:rPr>
                <w:rFonts w:ascii="Arial" w:cs="Arial" w:eastAsia="Arial" w:hAnsi="Arial"/>
                <w:sz w:val="16"/>
                <w:szCs w:val="16"/>
                <w:color w:val="FF0000"/>
                <w:strike w:val="1"/>
                <w:w w:val="87"/>
              </w:rPr>
              <w:t>subsequent amendments, restatements,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5"/>
          </w:tcPr>
          <w:p>
            <w:pPr>
              <w:spacing w:after="0" w:line="161" w:lineRule="exact"/>
              <w:rPr>
                <w:sz w:val="20"/>
                <w:szCs w:val="20"/>
                <w:color w:val="auto"/>
              </w:rPr>
            </w:pPr>
            <w:r>
              <w:rPr>
                <w:rFonts w:ascii="Arial" w:cs="Arial" w:eastAsia="Arial" w:hAnsi="Arial"/>
                <w:sz w:val="16"/>
                <w:szCs w:val="16"/>
                <w:color w:val="FF0000"/>
                <w:strike w:val="1"/>
                <w:w w:val="91"/>
              </w:rPr>
              <w:t>extensions,</w:t>
            </w:r>
          </w:p>
        </w:tc>
        <w:tc>
          <w:tcPr>
            <w:tcW w:w="3920" w:type="dxa"/>
            <w:vAlign w:val="bottom"/>
            <w:gridSpan w:val="40"/>
          </w:tcPr>
          <w:p>
            <w:pPr>
              <w:spacing w:after="0" w:line="161" w:lineRule="exact"/>
              <w:rPr>
                <w:sz w:val="20"/>
                <w:szCs w:val="20"/>
                <w:color w:val="auto"/>
              </w:rPr>
            </w:pPr>
            <w:r>
              <w:rPr>
                <w:rFonts w:ascii="Arial" w:cs="Arial" w:eastAsia="Arial" w:hAnsi="Arial"/>
                <w:sz w:val="16"/>
                <w:szCs w:val="16"/>
                <w:color w:val="FF0000"/>
                <w:strike w:val="1"/>
                <w:w w:val="91"/>
              </w:rPr>
              <w:t>supplements and other modifications thereto, but only to the</w:t>
            </w:r>
          </w:p>
        </w:tc>
        <w:tc>
          <w:tcPr>
            <w:tcW w:w="3560" w:type="dxa"/>
            <w:vAlign w:val="bottom"/>
            <w:gridSpan w:val="24"/>
          </w:tcPr>
          <w:p>
            <w:pPr>
              <w:spacing w:after="0" w:line="161" w:lineRule="exact"/>
              <w:rPr>
                <w:sz w:val="20"/>
                <w:szCs w:val="20"/>
                <w:color w:val="auto"/>
              </w:rPr>
            </w:pPr>
            <w:r>
              <w:rPr>
                <w:rFonts w:ascii="Arial" w:cs="Arial" w:eastAsia="Arial" w:hAnsi="Arial"/>
                <w:sz w:val="16"/>
                <w:szCs w:val="16"/>
                <w:color w:val="FF0000"/>
                <w:strike w:val="1"/>
                <w:w w:val="88"/>
              </w:rPr>
              <w:t>extent that such amendments, restatements, extensions,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gridSpan w:val="41"/>
          </w:tcPr>
          <w:p>
            <w:pPr>
              <w:spacing w:after="0" w:line="161" w:lineRule="exact"/>
              <w:rPr>
                <w:sz w:val="20"/>
                <w:szCs w:val="20"/>
                <w:color w:val="auto"/>
              </w:rPr>
            </w:pPr>
            <w:r>
              <w:rPr>
                <w:rFonts w:ascii="Arial" w:cs="Arial" w:eastAsia="Arial" w:hAnsi="Arial"/>
                <w:sz w:val="16"/>
                <w:szCs w:val="16"/>
                <w:color w:val="FF0000"/>
                <w:strike w:val="1"/>
                <w:w w:val="91"/>
              </w:rPr>
              <w:t>supplements and other modifications are not prohibited by any</w:t>
            </w:r>
          </w:p>
        </w:tc>
        <w:tc>
          <w:tcPr>
            <w:tcW w:w="3880" w:type="dxa"/>
            <w:vAlign w:val="bottom"/>
            <w:gridSpan w:val="26"/>
          </w:tcPr>
          <w:p>
            <w:pPr>
              <w:jc w:val="right"/>
              <w:ind w:right="60"/>
              <w:spacing w:after="0" w:line="161" w:lineRule="exact"/>
              <w:rPr>
                <w:sz w:val="20"/>
                <w:szCs w:val="20"/>
                <w:color w:val="auto"/>
              </w:rPr>
            </w:pPr>
            <w:r>
              <w:rPr>
                <w:rFonts w:ascii="Arial" w:cs="Arial" w:eastAsia="Arial" w:hAnsi="Arial"/>
                <w:sz w:val="16"/>
                <w:szCs w:val="16"/>
                <w:color w:val="FF0000"/>
                <w:strike w:val="1"/>
                <w:w w:val="92"/>
              </w:rPr>
              <w:t>Loan Document; and (b) any definition or reference to any</w:t>
            </w:r>
          </w:p>
        </w:tc>
        <w:tc>
          <w:tcPr>
            <w:tcW w:w="860" w:type="dxa"/>
            <w:vAlign w:val="bottom"/>
            <w:gridSpan w:val="4"/>
          </w:tcPr>
          <w:p>
            <w:pPr>
              <w:spacing w:after="0" w:line="161" w:lineRule="exact"/>
              <w:rPr>
                <w:sz w:val="20"/>
                <w:szCs w:val="20"/>
                <w:color w:val="auto"/>
              </w:rPr>
            </w:pPr>
            <w:r>
              <w:rPr>
                <w:rFonts w:ascii="Arial" w:cs="Arial" w:eastAsia="Arial" w:hAnsi="Arial"/>
                <w:sz w:val="16"/>
                <w:szCs w:val="16"/>
                <w:color w:val="FF0000"/>
                <w:strike w:val="1"/>
              </w:rPr>
              <w:t>Applicable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33"/>
          </w:tcPr>
          <w:p>
            <w:pPr>
              <w:spacing w:after="0" w:line="161" w:lineRule="exact"/>
              <w:rPr>
                <w:sz w:val="20"/>
                <w:szCs w:val="20"/>
                <w:color w:val="auto"/>
              </w:rPr>
            </w:pPr>
            <w:r>
              <w:rPr>
                <w:rFonts w:ascii="Arial" w:cs="Arial" w:eastAsia="Arial" w:hAnsi="Arial"/>
                <w:sz w:val="16"/>
                <w:szCs w:val="16"/>
                <w:color w:val="FF0000"/>
                <w:strike w:val="1"/>
                <w:w w:val="96"/>
              </w:rPr>
              <w:t>Law, including Anti-Corruption Laws, Anti-Money</w:t>
            </w:r>
          </w:p>
        </w:tc>
        <w:tc>
          <w:tcPr>
            <w:tcW w:w="4050" w:type="dxa"/>
            <w:vAlign w:val="bottom"/>
            <w:gridSpan w:val="29"/>
          </w:tcPr>
          <w:p>
            <w:pPr>
              <w:jc w:val="center"/>
              <w:spacing w:after="0" w:line="161" w:lineRule="exact"/>
              <w:rPr>
                <w:sz w:val="20"/>
                <w:szCs w:val="20"/>
                <w:color w:val="auto"/>
              </w:rPr>
            </w:pPr>
            <w:r>
              <w:rPr>
                <w:rFonts w:ascii="Arial" w:cs="Arial" w:eastAsia="Arial" w:hAnsi="Arial"/>
                <w:sz w:val="16"/>
                <w:szCs w:val="16"/>
                <w:color w:val="FF0000"/>
                <w:strike w:val="1"/>
                <w:w w:val="91"/>
              </w:rPr>
              <w:t>Laundering Laws, the Bankruptcy Code, the Internal Revenue</w:t>
            </w:r>
          </w:p>
        </w:tc>
        <w:tc>
          <w:tcPr>
            <w:tcW w:w="710" w:type="dxa"/>
            <w:vAlign w:val="bottom"/>
            <w:gridSpan w:val="6"/>
          </w:tcPr>
          <w:p>
            <w:pPr>
              <w:ind w:left="30"/>
              <w:spacing w:after="0" w:line="161" w:lineRule="exact"/>
              <w:rPr>
                <w:sz w:val="20"/>
                <w:szCs w:val="20"/>
                <w:color w:val="auto"/>
              </w:rPr>
            </w:pPr>
            <w:r>
              <w:rPr>
                <w:rFonts w:ascii="Arial" w:cs="Arial" w:eastAsia="Arial" w:hAnsi="Arial"/>
                <w:sz w:val="16"/>
                <w:szCs w:val="16"/>
                <w:color w:val="FF0000"/>
                <w:strike w:val="1"/>
                <w:w w:val="95"/>
              </w:rPr>
              <w:t>Code, the</w:t>
            </w:r>
          </w:p>
        </w:tc>
        <w:tc>
          <w:tcPr>
            <w:tcW w:w="28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5" w:type="dxa"/>
            <w:vAlign w:val="bottom"/>
            <w:gridSpan w:val="32"/>
          </w:tcPr>
          <w:p>
            <w:pPr>
              <w:spacing w:after="0" w:line="161" w:lineRule="exact"/>
              <w:rPr>
                <w:sz w:val="20"/>
                <w:szCs w:val="20"/>
                <w:color w:val="auto"/>
              </w:rPr>
            </w:pPr>
            <w:r>
              <w:rPr>
                <w:rFonts w:ascii="Arial" w:cs="Arial" w:eastAsia="Arial" w:hAnsi="Arial"/>
                <w:sz w:val="16"/>
                <w:szCs w:val="16"/>
                <w:color w:val="FF0000"/>
                <w:strike w:val="1"/>
                <w:w w:val="93"/>
              </w:rPr>
              <w:t>Commodity Exchange Act, ERISA, the PATRIOT</w:t>
            </w:r>
          </w:p>
        </w:tc>
        <w:tc>
          <w:tcPr>
            <w:tcW w:w="3795" w:type="dxa"/>
            <w:vAlign w:val="bottom"/>
            <w:gridSpan w:val="27"/>
          </w:tcPr>
          <w:p>
            <w:pPr>
              <w:jc w:val="center"/>
              <w:spacing w:after="0" w:line="161" w:lineRule="exact"/>
              <w:rPr>
                <w:sz w:val="20"/>
                <w:szCs w:val="20"/>
                <w:color w:val="auto"/>
              </w:rPr>
            </w:pPr>
            <w:r>
              <w:rPr>
                <w:rFonts w:ascii="Arial" w:cs="Arial" w:eastAsia="Arial" w:hAnsi="Arial"/>
                <w:sz w:val="16"/>
                <w:szCs w:val="16"/>
                <w:color w:val="FF0000"/>
                <w:strike w:val="1"/>
                <w:w w:val="93"/>
              </w:rPr>
              <w:t>Act, the Trading with the Enemy Act or any of the foreign</w:t>
            </w:r>
          </w:p>
        </w:tc>
        <w:tc>
          <w:tcPr>
            <w:tcW w:w="1760" w:type="dxa"/>
            <w:vAlign w:val="bottom"/>
            <w:gridSpan w:val="12"/>
          </w:tcPr>
          <w:p>
            <w:pPr>
              <w:ind w:left="20"/>
              <w:spacing w:after="0" w:line="161" w:lineRule="exact"/>
              <w:rPr>
                <w:sz w:val="20"/>
                <w:szCs w:val="20"/>
                <w:color w:val="auto"/>
              </w:rPr>
            </w:pPr>
            <w:r>
              <w:rPr>
                <w:rFonts w:ascii="Arial" w:cs="Arial" w:eastAsia="Arial" w:hAnsi="Arial"/>
                <w:sz w:val="16"/>
                <w:szCs w:val="16"/>
                <w:color w:val="FF0000"/>
                <w:strike w:val="1"/>
                <w:w w:val="94"/>
              </w:rPr>
              <w:t>assets control regulations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0"/>
          </w:tcPr>
          <w:p>
            <w:pPr>
              <w:spacing w:after="0" w:line="161" w:lineRule="exact"/>
              <w:rPr>
                <w:sz w:val="20"/>
                <w:szCs w:val="20"/>
                <w:color w:val="auto"/>
              </w:rPr>
            </w:pPr>
            <w:r>
              <w:rPr>
                <w:rFonts w:ascii="Arial" w:cs="Arial" w:eastAsia="Arial" w:hAnsi="Arial"/>
                <w:sz w:val="16"/>
                <w:szCs w:val="16"/>
                <w:color w:val="FF0000"/>
                <w:strike w:val="1"/>
                <w:w w:val="90"/>
              </w:rPr>
              <w:t>of the United States Treasury</w:t>
            </w:r>
          </w:p>
        </w:tc>
        <w:tc>
          <w:tcPr>
            <w:tcW w:w="3500" w:type="dxa"/>
            <w:vAlign w:val="bottom"/>
            <w:gridSpan w:val="31"/>
          </w:tcPr>
          <w:p>
            <w:pPr>
              <w:jc w:val="center"/>
              <w:spacing w:after="0" w:line="161" w:lineRule="exact"/>
              <w:rPr>
                <w:sz w:val="20"/>
                <w:szCs w:val="20"/>
                <w:color w:val="auto"/>
              </w:rPr>
            </w:pPr>
            <w:r>
              <w:rPr>
                <w:rFonts w:ascii="Arial" w:cs="Arial" w:eastAsia="Arial" w:hAnsi="Arial"/>
                <w:sz w:val="16"/>
                <w:szCs w:val="16"/>
                <w:color w:val="FF0000"/>
                <w:strike w:val="1"/>
                <w:w w:val="92"/>
              </w:rPr>
              <w:t>Department, shall include all statutory and regulatory</w:t>
            </w:r>
          </w:p>
        </w:tc>
        <w:tc>
          <w:tcPr>
            <w:tcW w:w="3400" w:type="dxa"/>
            <w:vAlign w:val="bottom"/>
            <w:gridSpan w:val="20"/>
          </w:tcPr>
          <w:p>
            <w:pPr>
              <w:ind w:left="20"/>
              <w:spacing w:after="0" w:line="161" w:lineRule="exact"/>
              <w:rPr>
                <w:sz w:val="20"/>
                <w:szCs w:val="20"/>
                <w:color w:val="auto"/>
              </w:rPr>
            </w:pPr>
            <w:r>
              <w:rPr>
                <w:rFonts w:ascii="Arial" w:cs="Arial" w:eastAsia="Arial" w:hAnsi="Arial"/>
                <w:sz w:val="16"/>
                <w:szCs w:val="16"/>
                <w:color w:val="FF0000"/>
                <w:strike w:val="1"/>
              </w:rPr>
              <w:t>provisions consolidating, amending, replacing,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30"/>
          </w:tcPr>
          <w:p>
            <w:pPr>
              <w:spacing w:after="0"/>
              <w:rPr>
                <w:sz w:val="20"/>
                <w:szCs w:val="20"/>
                <w:color w:val="auto"/>
              </w:rPr>
            </w:pPr>
            <w:r>
              <w:rPr>
                <w:rFonts w:ascii="Arial" w:cs="Arial" w:eastAsia="Arial" w:hAnsi="Arial"/>
                <w:sz w:val="16"/>
                <w:szCs w:val="16"/>
                <w:color w:val="FF0000"/>
                <w:strike w:val="1"/>
              </w:rPr>
              <w:t>supplementing</w:t>
            </w:r>
          </w:p>
        </w:tc>
        <w:tc>
          <w:tcPr>
            <w:tcW w:w="560" w:type="dxa"/>
            <w:vAlign w:val="bottom"/>
            <w:gridSpan w:val="6"/>
            <w:vMerge w:val="restart"/>
          </w:tcPr>
          <w:p>
            <w:pPr>
              <w:jc w:val="right"/>
              <w:ind w:right="20"/>
              <w:spacing w:after="0"/>
              <w:rPr>
                <w:sz w:val="20"/>
                <w:szCs w:val="20"/>
                <w:color w:val="auto"/>
              </w:rPr>
            </w:pPr>
            <w:r>
              <w:rPr>
                <w:rFonts w:ascii="Arial" w:cs="Arial" w:eastAsia="Arial" w:hAnsi="Arial"/>
                <w:sz w:val="16"/>
                <w:szCs w:val="16"/>
                <w:color w:val="FF0000"/>
              </w:rPr>
              <w:t xml:space="preserve">40 </w:t>
            </w:r>
            <w:r>
              <w:rPr>
                <w:rFonts w:ascii="Arial" w:cs="Arial" w:eastAsia="Arial" w:hAnsi="Arial"/>
                <w:sz w:val="16"/>
                <w:szCs w:val="16"/>
                <w:b w:val="1"/>
                <w:bCs w:val="1"/>
                <w:color w:val="0000FF"/>
              </w:rPr>
              <w:t>42</w:t>
            </w:r>
          </w:p>
        </w:tc>
        <w:tc>
          <w:tcPr>
            <w:tcW w:w="6400" w:type="dxa"/>
            <w:vAlign w:val="bottom"/>
            <w:gridSpan w:val="47"/>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4"/>
          </w:tcPr>
          <w:p>
            <w:pPr>
              <w:spacing w:after="0" w:line="168" w:lineRule="exact"/>
              <w:rPr>
                <w:sz w:val="20"/>
                <w:szCs w:val="20"/>
                <w:color w:val="auto"/>
              </w:rPr>
            </w:pPr>
            <w:r>
              <w:rPr>
                <w:rFonts w:ascii="Arial" w:cs="Arial" w:eastAsia="Arial" w:hAnsi="Arial"/>
                <w:sz w:val="16"/>
                <w:szCs w:val="16"/>
                <w:color w:val="FF0000"/>
                <w:w w:val="92"/>
              </w:rPr>
              <w:t>or interpreting such Applicable Law.</w:t>
            </w:r>
          </w:p>
        </w:tc>
        <w:tc>
          <w:tcPr>
            <w:tcW w:w="56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105" w:type="dxa"/>
            <w:vAlign w:val="bottom"/>
          </w:tcPr>
          <w:p>
            <w:pPr>
              <w:spacing w:after="0"/>
              <w:rPr>
                <w:sz w:val="14"/>
                <w:szCs w:val="14"/>
                <w:color w:val="auto"/>
              </w:rPr>
            </w:pPr>
          </w:p>
        </w:tc>
        <w:tc>
          <w:tcPr>
            <w:tcW w:w="95"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FF0000"/>
            </w:tcBorders>
          </w:tcPr>
          <w:p>
            <w:pPr>
              <w:spacing w:after="0" w:line="20" w:lineRule="exact"/>
              <w:rPr>
                <w:sz w:val="1"/>
                <w:szCs w:val="1"/>
                <w:color w:val="auto"/>
              </w:rPr>
            </w:pPr>
          </w:p>
        </w:tc>
        <w:tc>
          <w:tcPr>
            <w:tcW w:w="180" w:type="dxa"/>
            <w:vAlign w:val="bottom"/>
            <w:tcBorders>
              <w:right w:val="single" w:sz="8" w:color="FF0000"/>
            </w:tcBorders>
            <w:shd w:val="clear" w:color="auto" w:fill="FF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5" w:type="dxa"/>
            <w:vAlign w:val="bottom"/>
          </w:tcPr>
          <w:p>
            <w:pPr>
              <w:spacing w:after="0" w:line="20" w:lineRule="exact"/>
              <w:rPr>
                <w:sz w:val="1"/>
                <w:szCs w:val="1"/>
                <w:color w:val="auto"/>
              </w:rPr>
            </w:pPr>
          </w:p>
        </w:tc>
        <w:tc>
          <w:tcPr>
            <w:tcW w:w="95"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28"/>
            <w:vMerge w:val="restart"/>
          </w:tcPr>
          <w:p>
            <w:pPr>
              <w:spacing w:after="0"/>
              <w:rPr>
                <w:sz w:val="20"/>
                <w:szCs w:val="20"/>
                <w:color w:val="auto"/>
              </w:rPr>
            </w:pPr>
            <w:r>
              <w:rPr>
                <w:rFonts w:ascii="Arial" w:cs="Arial" w:eastAsia="Arial" w:hAnsi="Arial"/>
                <w:sz w:val="16"/>
                <w:szCs w:val="16"/>
                <w:color w:val="010101"/>
              </w:rPr>
              <w:t>ARTICLE II AMOUNTS AND TERMS OF THE ADVANCES</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FF0000"/>
                <w:strike w:val="1"/>
                <w:w w:val="78"/>
              </w:rPr>
              <w:t>41</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78"/>
              </w:rPr>
              <w:t>43</w:t>
            </w:r>
          </w:p>
        </w:tc>
        <w:tc>
          <w:tcPr>
            <w:tcW w:w="0" w:type="dxa"/>
            <w:vAlign w:val="bottom"/>
          </w:tcPr>
          <w:p>
            <w:pPr>
              <w:spacing w:after="0" w:line="20" w:lineRule="exact"/>
              <w:rPr>
                <w:sz w:val="1"/>
                <w:szCs w:val="1"/>
                <w:color w:val="auto"/>
              </w:rPr>
            </w:pPr>
          </w:p>
        </w:tc>
      </w:tr>
      <w:tr>
        <w:trPr>
          <w:trHeight w:val="334"/>
        </w:trPr>
        <w:tc>
          <w:tcPr>
            <w:tcW w:w="2020" w:type="dxa"/>
            <w:vAlign w:val="bottom"/>
            <w:gridSpan w:val="12"/>
            <w:vMerge w:val="restart"/>
          </w:tcPr>
          <w:p>
            <w:pPr>
              <w:spacing w:after="0"/>
              <w:rPr>
                <w:sz w:val="20"/>
                <w:szCs w:val="20"/>
                <w:color w:val="auto"/>
              </w:rPr>
            </w:pPr>
            <w:r>
              <w:rPr>
                <w:rFonts w:ascii="Arial" w:cs="Arial" w:eastAsia="Arial" w:hAnsi="Arial"/>
                <w:sz w:val="16"/>
                <w:szCs w:val="16"/>
                <w:color w:val="010101"/>
                <w:w w:val="91"/>
              </w:rPr>
              <w:t>SECTION 2.01. The Advances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FF0000"/>
                <w:strike w:val="1"/>
                <w:w w:val="78"/>
              </w:rPr>
              <w:t>41</w:t>
            </w:r>
          </w:p>
        </w:tc>
        <w:tc>
          <w:tcPr>
            <w:tcW w:w="2660" w:type="dxa"/>
            <w:vAlign w:val="bottom"/>
            <w:gridSpan w:val="25"/>
            <w:vMerge w:val="restart"/>
          </w:tcPr>
          <w:p>
            <w:pPr>
              <w:spacing w:after="0"/>
              <w:rPr>
                <w:sz w:val="20"/>
                <w:szCs w:val="20"/>
                <w:color w:val="auto"/>
              </w:rPr>
            </w:pPr>
            <w:r>
              <w:rPr>
                <w:rFonts w:ascii="Arial" w:cs="Arial" w:eastAsia="Arial" w:hAnsi="Arial"/>
                <w:sz w:val="16"/>
                <w:szCs w:val="16"/>
                <w:b w:val="1"/>
                <w:bCs w:val="1"/>
                <w:color w:val="0000FF"/>
                <w:w w:val="90"/>
              </w:rPr>
              <w:t xml:space="preserve">43 </w:t>
            </w:r>
            <w:r>
              <w:rPr>
                <w:rFonts w:ascii="Arial" w:cs="Arial" w:eastAsia="Arial" w:hAnsi="Arial"/>
                <w:sz w:val="16"/>
                <w:szCs w:val="16"/>
                <w:color w:val="010101"/>
                <w:w w:val="90"/>
              </w:rPr>
              <w:t>SECTION 2.02. Making the Advances</w:t>
            </w:r>
          </w:p>
        </w:tc>
        <w:tc>
          <w:tcPr>
            <w:tcW w:w="360" w:type="dxa"/>
            <w:vAlign w:val="bottom"/>
            <w:gridSpan w:val="2"/>
            <w:vMerge w:val="restart"/>
          </w:tcPr>
          <w:p>
            <w:pPr>
              <w:jc w:val="right"/>
              <w:spacing w:after="0"/>
              <w:rPr>
                <w:sz w:val="20"/>
                <w:szCs w:val="20"/>
                <w:color w:val="auto"/>
              </w:rPr>
            </w:pPr>
            <w:r>
              <w:rPr>
                <w:rFonts w:ascii="Arial" w:cs="Arial" w:eastAsia="Arial" w:hAnsi="Arial"/>
                <w:sz w:val="16"/>
                <w:szCs w:val="16"/>
                <w:color w:val="FF0000"/>
                <w:strike w:val="1"/>
              </w:rPr>
              <w:t>.  41</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rPr>
              <w:t>43</w:t>
            </w:r>
          </w:p>
        </w:tc>
        <w:tc>
          <w:tcPr>
            <w:tcW w:w="120" w:type="dxa"/>
            <w:vAlign w:val="bottom"/>
          </w:tcPr>
          <w:p>
            <w:pPr>
              <w:spacing w:after="0"/>
              <w:rPr>
                <w:sz w:val="24"/>
                <w:szCs w:val="24"/>
                <w:color w:val="auto"/>
              </w:rPr>
            </w:pPr>
          </w:p>
        </w:tc>
        <w:tc>
          <w:tcPr>
            <w:tcW w:w="4320" w:type="dxa"/>
            <w:vAlign w:val="bottom"/>
            <w:gridSpan w:val="28"/>
            <w:vMerge w:val="continue"/>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20" w:type="dxa"/>
            <w:vAlign w:val="bottom"/>
            <w:gridSpan w:val="1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2660" w:type="dxa"/>
            <w:vAlign w:val="bottom"/>
            <w:gridSpan w:val="25"/>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740" w:type="dxa"/>
            <w:vAlign w:val="bottom"/>
            <w:gridSpan w:val="6"/>
          </w:tcPr>
          <w:p>
            <w:pPr>
              <w:spacing w:after="0"/>
              <w:rPr>
                <w:sz w:val="24"/>
                <w:szCs w:val="24"/>
                <w:color w:val="auto"/>
              </w:rPr>
            </w:pPr>
          </w:p>
        </w:tc>
        <w:tc>
          <w:tcPr>
            <w:tcW w:w="1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top w:val="single" w:sz="8" w:color="FF0000"/>
            </w:tcBorders>
          </w:tcPr>
          <w:p>
            <w:pPr>
              <w:spacing w:after="0"/>
              <w:rPr>
                <w:sz w:val="24"/>
                <w:szCs w:val="24"/>
                <w:color w:val="auto"/>
              </w:rPr>
            </w:pPr>
          </w:p>
        </w:tc>
        <w:tc>
          <w:tcPr>
            <w:tcW w:w="200" w:type="dxa"/>
            <w:vAlign w:val="bottom"/>
            <w:tcBorders>
              <w:top w:val="single" w:sz="8" w:color="FF0000"/>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0" w:type="dxa"/>
            <w:vAlign w:val="bottom"/>
            <w:gridSpan w:val="11"/>
            <w:vMerge w:val="restart"/>
          </w:tcPr>
          <w:p>
            <w:pPr>
              <w:spacing w:after="0" w:line="161" w:lineRule="exact"/>
              <w:rPr>
                <w:sz w:val="20"/>
                <w:szCs w:val="20"/>
                <w:color w:val="auto"/>
              </w:rPr>
            </w:pPr>
            <w:r>
              <w:rPr>
                <w:rFonts w:ascii="Arial" w:cs="Arial" w:eastAsia="Arial" w:hAnsi="Arial"/>
                <w:sz w:val="16"/>
                <w:szCs w:val="16"/>
                <w:color w:val="010101"/>
              </w:rPr>
              <w:t>SECTION 2.03. [Reserved]</w:t>
            </w:r>
          </w:p>
        </w:tc>
        <w:tc>
          <w:tcPr>
            <w:tcW w:w="220" w:type="dxa"/>
            <w:vAlign w:val="bottom"/>
            <w:tcBorders>
              <w:right w:val="single" w:sz="8" w:color="FF0000"/>
            </w:tcBorders>
            <w:gridSpan w:val="5"/>
          </w:tcPr>
          <w:p>
            <w:pPr>
              <w:spacing w:after="0" w:line="20" w:lineRule="exact"/>
              <w:rPr>
                <w:sz w:val="1"/>
                <w:szCs w:val="1"/>
                <w:color w:val="auto"/>
              </w:rPr>
            </w:pPr>
          </w:p>
        </w:tc>
        <w:tc>
          <w:tcPr>
            <w:tcW w:w="360" w:type="dxa"/>
            <w:vAlign w:val="bottom"/>
            <w:tcBorders>
              <w:right w:val="single" w:sz="8" w:color="0000FF"/>
            </w:tcBorders>
            <w:gridSpan w:val="5"/>
            <w:shd w:val="clear" w:color="auto" w:fill="FF0000"/>
          </w:tcPr>
          <w:p>
            <w:pPr>
              <w:spacing w:after="0" w:line="20" w:lineRule="exact"/>
              <w:rPr>
                <w:sz w:val="1"/>
                <w:szCs w:val="1"/>
                <w:color w:val="auto"/>
              </w:rPr>
            </w:pPr>
          </w:p>
        </w:tc>
        <w:tc>
          <w:tcPr>
            <w:tcW w:w="7980" w:type="dxa"/>
            <w:vAlign w:val="bottom"/>
            <w:tcBorders>
              <w:left w:val="single" w:sz="8" w:color="0000FF"/>
            </w:tcBorders>
            <w:gridSpan w:val="6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gridSpan w:val="11"/>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4"/>
          </w:tcPr>
          <w:p>
            <w:pPr>
              <w:jc w:val="right"/>
              <w:ind w:right="60"/>
              <w:spacing w:after="0" w:line="142" w:lineRule="exact"/>
              <w:rPr>
                <w:sz w:val="20"/>
                <w:szCs w:val="20"/>
                <w:color w:val="auto"/>
              </w:rPr>
            </w:pPr>
            <w:r>
              <w:rPr>
                <w:rFonts w:ascii="Arial" w:cs="Arial" w:eastAsia="Arial" w:hAnsi="Arial"/>
                <w:sz w:val="15"/>
                <w:szCs w:val="15"/>
                <w:color w:val="FF0000"/>
                <w:strike w:val="1"/>
                <w:w w:val="71"/>
              </w:rPr>
              <w:t>42</w:t>
            </w:r>
          </w:p>
        </w:tc>
        <w:tc>
          <w:tcPr>
            <w:tcW w:w="100" w:type="dxa"/>
            <w:vAlign w:val="bottom"/>
          </w:tcPr>
          <w:p>
            <w:pPr>
              <w:spacing w:after="0"/>
              <w:rPr>
                <w:sz w:val="20"/>
                <w:szCs w:val="20"/>
                <w:color w:val="auto"/>
              </w:rPr>
            </w:pPr>
            <w:r>
              <w:rPr>
                <w:rFonts w:ascii="Arial" w:cs="Arial" w:eastAsia="Arial" w:hAnsi="Arial"/>
                <w:sz w:val="10"/>
                <w:szCs w:val="10"/>
                <w:b w:val="1"/>
                <w:bCs w:val="1"/>
                <w:color w:val="0000FF"/>
                <w:w w:val="71"/>
              </w:rPr>
              <w:t>45</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5" w:type="dxa"/>
            <w:vAlign w:val="bottom"/>
          </w:tcPr>
          <w:p>
            <w:pPr>
              <w:spacing w:after="0"/>
              <w:rPr>
                <w:sz w:val="12"/>
                <w:szCs w:val="12"/>
                <w:color w:val="auto"/>
              </w:rPr>
            </w:pPr>
          </w:p>
        </w:tc>
        <w:tc>
          <w:tcPr>
            <w:tcW w:w="95"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16"/>
            <w:vMerge w:val="restart"/>
          </w:tcPr>
          <w:p>
            <w:pPr>
              <w:jc w:val="right"/>
              <w:ind w:right="59"/>
              <w:spacing w:after="0"/>
              <w:rPr>
                <w:sz w:val="20"/>
                <w:szCs w:val="20"/>
                <w:color w:val="auto"/>
              </w:rPr>
            </w:pPr>
            <w:r>
              <w:rPr>
                <w:rFonts w:ascii="Arial" w:cs="Arial" w:eastAsia="Arial" w:hAnsi="Arial"/>
                <w:sz w:val="16"/>
                <w:szCs w:val="16"/>
                <w:b w:val="1"/>
                <w:bCs w:val="1"/>
                <w:color w:val="0000FF"/>
                <w:w w:val="91"/>
              </w:rPr>
              <w:t>; Incremental Facilities</w:t>
            </w: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0000FF"/>
              </w:rPr>
              <w:t>45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13"/>
            <w:vMerge w:val="restart"/>
          </w:tcPr>
          <w:p>
            <w:pPr>
              <w:ind w:left="140"/>
              <w:spacing w:after="0"/>
              <w:rPr>
                <w:sz w:val="20"/>
                <w:szCs w:val="20"/>
                <w:color w:val="auto"/>
              </w:rPr>
            </w:pPr>
            <w:r>
              <w:rPr>
                <w:rFonts w:ascii="Arial" w:cs="Arial" w:eastAsia="Arial" w:hAnsi="Arial"/>
                <w:sz w:val="16"/>
                <w:szCs w:val="16"/>
                <w:color w:val="010101"/>
              </w:rPr>
              <w:t>SECTION 2.04.  Fees</w:t>
            </w:r>
          </w:p>
        </w:tc>
        <w:tc>
          <w:tcPr>
            <w:tcW w:w="160" w:type="dxa"/>
            <w:vAlign w:val="bottom"/>
            <w:gridSpan w:val="2"/>
            <w:vMerge w:val="restart"/>
          </w:tcPr>
          <w:p>
            <w:pPr>
              <w:spacing w:after="0"/>
              <w:rPr>
                <w:sz w:val="20"/>
                <w:szCs w:val="20"/>
                <w:color w:val="auto"/>
              </w:rPr>
            </w:pPr>
            <w:r>
              <w:rPr>
                <w:rFonts w:ascii="Arial" w:cs="Arial" w:eastAsia="Arial" w:hAnsi="Arial"/>
                <w:sz w:val="16"/>
                <w:szCs w:val="16"/>
                <w:color w:val="FF0000"/>
                <w:strike w:val="1"/>
                <w:w w:val="78"/>
              </w:rPr>
              <w:t>43</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78"/>
              </w:rPr>
              <w:t>45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FF0000"/>
            </w:tcBorders>
          </w:tcPr>
          <w:p>
            <w:pPr>
              <w:spacing w:after="0" w:line="20" w:lineRule="exact"/>
              <w:rPr>
                <w:sz w:val="1"/>
                <w:szCs w:val="1"/>
                <w:color w:val="auto"/>
              </w:rPr>
            </w:pPr>
          </w:p>
        </w:tc>
        <w:tc>
          <w:tcPr>
            <w:tcW w:w="140" w:type="dxa"/>
            <w:vAlign w:val="bottom"/>
            <w:tcBorders>
              <w:right w:val="single" w:sz="8" w:color="FF0000"/>
            </w:tcBorders>
            <w:shd w:val="clear" w:color="auto" w:fill="FF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5" w:type="dxa"/>
            <w:vAlign w:val="bottom"/>
          </w:tcPr>
          <w:p>
            <w:pPr>
              <w:spacing w:after="0" w:line="20" w:lineRule="exact"/>
              <w:rPr>
                <w:sz w:val="1"/>
                <w:szCs w:val="1"/>
                <w:color w:val="auto"/>
              </w:rPr>
            </w:pPr>
          </w:p>
        </w:tc>
        <w:tc>
          <w:tcPr>
            <w:tcW w:w="95"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16"/>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13"/>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gridSpan w:val="41"/>
            <w:vMerge w:val="restart"/>
          </w:tcPr>
          <w:p>
            <w:pPr>
              <w:spacing w:after="0"/>
              <w:rPr>
                <w:sz w:val="20"/>
                <w:szCs w:val="20"/>
                <w:color w:val="auto"/>
              </w:rPr>
            </w:pPr>
            <w:r>
              <w:rPr>
                <w:rFonts w:ascii="Arial" w:cs="Arial" w:eastAsia="Arial" w:hAnsi="Arial"/>
                <w:sz w:val="16"/>
                <w:szCs w:val="16"/>
                <w:color w:val="010101"/>
                <w:w w:val="91"/>
              </w:rPr>
              <w:t>SECTION 2.05. Termination, Reduction or Increase of the Commitments</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FF0000"/>
              </w:rPr>
              <w:t>43</w:t>
            </w:r>
          </w:p>
        </w:tc>
        <w:tc>
          <w:tcPr>
            <w:tcW w:w="1740" w:type="dxa"/>
            <w:vAlign w:val="bottom"/>
            <w:gridSpan w:val="16"/>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13"/>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gridSpan w:val="41"/>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740" w:type="dxa"/>
            <w:vAlign w:val="bottom"/>
            <w:gridSpan w:val="16"/>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FF0000"/>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30"/>
          </w:tcPr>
          <w:p>
            <w:pPr>
              <w:spacing w:after="0" w:line="142" w:lineRule="exact"/>
              <w:rPr>
                <w:sz w:val="20"/>
                <w:szCs w:val="20"/>
                <w:color w:val="auto"/>
              </w:rPr>
            </w:pPr>
            <w:r>
              <w:rPr>
                <w:rFonts w:ascii="Arial" w:cs="Arial" w:eastAsia="Arial" w:hAnsi="Arial"/>
                <w:sz w:val="16"/>
                <w:szCs w:val="16"/>
                <w:color w:val="010101"/>
                <w:w w:val="95"/>
              </w:rPr>
              <w:t xml:space="preserve">SECTION 2.06. Repayment of </w:t>
            </w:r>
            <w:r>
              <w:rPr>
                <w:rFonts w:ascii="Arial" w:cs="Arial" w:eastAsia="Arial" w:hAnsi="Arial"/>
                <w:sz w:val="16"/>
                <w:szCs w:val="16"/>
                <w:b w:val="1"/>
                <w:bCs w:val="1"/>
                <w:color w:val="0000FF"/>
                <w:w w:val="95"/>
              </w:rPr>
              <w:t>Revolving</w:t>
            </w:r>
            <w:r>
              <w:rPr>
                <w:rFonts w:ascii="Arial" w:cs="Arial" w:eastAsia="Arial" w:hAnsi="Arial"/>
                <w:sz w:val="16"/>
                <w:szCs w:val="16"/>
                <w:color w:val="010101"/>
                <w:w w:val="95"/>
              </w:rPr>
              <w:t xml:space="preserve"> Advances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6"/>
                <w:szCs w:val="16"/>
                <w:color w:val="FF0000"/>
                <w:strike w:val="1"/>
              </w:rPr>
              <w:t>45</w:t>
            </w:r>
          </w:p>
        </w:tc>
        <w:tc>
          <w:tcPr>
            <w:tcW w:w="2480" w:type="dxa"/>
            <w:vAlign w:val="bottom"/>
            <w:gridSpan w:val="22"/>
          </w:tcPr>
          <w:p>
            <w:pPr>
              <w:jc w:val="right"/>
              <w:spacing w:after="0" w:line="142" w:lineRule="exact"/>
              <w:rPr>
                <w:sz w:val="20"/>
                <w:szCs w:val="20"/>
                <w:color w:val="auto"/>
              </w:rPr>
            </w:pPr>
            <w:r>
              <w:rPr>
                <w:rFonts w:ascii="Arial" w:cs="Arial" w:eastAsia="Arial" w:hAnsi="Arial"/>
                <w:sz w:val="16"/>
                <w:szCs w:val="16"/>
                <w:b w:val="1"/>
                <w:bCs w:val="1"/>
                <w:color w:val="0000FF"/>
                <w:w w:val="85"/>
              </w:rPr>
              <w:t xml:space="preserve">48 </w:t>
            </w:r>
            <w:r>
              <w:rPr>
                <w:rFonts w:ascii="Arial" w:cs="Arial" w:eastAsia="Arial" w:hAnsi="Arial"/>
                <w:sz w:val="16"/>
                <w:szCs w:val="16"/>
                <w:color w:val="010101"/>
                <w:w w:val="85"/>
              </w:rPr>
              <w:t>SECTION 2.07. Interest on Advances</w:t>
            </w: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78"/>
              </w:rPr>
              <w:t>45</w:t>
            </w:r>
          </w:p>
        </w:tc>
        <w:tc>
          <w:tcPr>
            <w:tcW w:w="1300" w:type="dxa"/>
            <w:vAlign w:val="bottom"/>
            <w:gridSpan w:val="5"/>
          </w:tcPr>
          <w:p>
            <w:pPr>
              <w:spacing w:after="0" w:line="142" w:lineRule="exact"/>
              <w:rPr>
                <w:sz w:val="20"/>
                <w:szCs w:val="20"/>
                <w:color w:val="auto"/>
              </w:rPr>
            </w:pPr>
            <w:r>
              <w:rPr>
                <w:rFonts w:ascii="Arial" w:cs="Arial" w:eastAsia="Arial" w:hAnsi="Arial"/>
                <w:sz w:val="16"/>
                <w:szCs w:val="16"/>
                <w:b w:val="1"/>
                <w:bCs w:val="1"/>
                <w:color w:val="0000FF"/>
                <w:w w:val="95"/>
              </w:rPr>
              <w:t xml:space="preserve">48 </w:t>
            </w:r>
            <w:r>
              <w:rPr>
                <w:rFonts w:ascii="Arial" w:cs="Arial" w:eastAsia="Arial" w:hAnsi="Arial"/>
                <w:sz w:val="16"/>
                <w:szCs w:val="16"/>
                <w:color w:val="010101"/>
                <w:w w:val="95"/>
              </w:rPr>
              <w:t>SECTION 2.08.</w:t>
            </w:r>
          </w:p>
        </w:tc>
        <w:tc>
          <w:tcPr>
            <w:tcW w:w="1060" w:type="dxa"/>
            <w:vAlign w:val="bottom"/>
            <w:gridSpan w:val="9"/>
          </w:tcPr>
          <w:p>
            <w:pPr>
              <w:spacing w:after="0" w:line="142" w:lineRule="exact"/>
              <w:rPr>
                <w:sz w:val="20"/>
                <w:szCs w:val="20"/>
                <w:color w:val="auto"/>
              </w:rPr>
            </w:pPr>
            <w:r>
              <w:rPr>
                <w:rFonts w:ascii="Arial" w:cs="Arial" w:eastAsia="Arial" w:hAnsi="Arial"/>
                <w:sz w:val="16"/>
                <w:szCs w:val="16"/>
                <w:color w:val="FF0000"/>
                <w:strike w:val="1"/>
                <w:w w:val="99"/>
              </w:rPr>
              <w:t>[Reserved]  47</w:t>
            </w:r>
          </w:p>
        </w:tc>
        <w:tc>
          <w:tcPr>
            <w:tcW w:w="960" w:type="dxa"/>
            <w:vAlign w:val="bottom"/>
            <w:gridSpan w:val="7"/>
          </w:tcPr>
          <w:p>
            <w:pPr>
              <w:jc w:val="right"/>
              <w:spacing w:after="0" w:line="142" w:lineRule="exact"/>
              <w:rPr>
                <w:sz w:val="20"/>
                <w:szCs w:val="20"/>
                <w:color w:val="auto"/>
              </w:rPr>
            </w:pPr>
            <w:r>
              <w:rPr>
                <w:rFonts w:ascii="Arial" w:cs="Arial" w:eastAsia="Arial" w:hAnsi="Arial"/>
                <w:sz w:val="16"/>
                <w:szCs w:val="16"/>
                <w:b w:val="1"/>
                <w:bCs w:val="1"/>
                <w:color w:val="0000FF"/>
                <w:w w:val="88"/>
              </w:rPr>
              <w:t>Repayment of</w:t>
            </w:r>
          </w:p>
        </w:tc>
        <w:tc>
          <w:tcPr>
            <w:tcW w:w="0" w:type="dxa"/>
            <w:vAlign w:val="bottom"/>
          </w:tcPr>
          <w:p>
            <w:pPr>
              <w:spacing w:after="0"/>
              <w:rPr>
                <w:sz w:val="1"/>
                <w:szCs w:val="1"/>
                <w:color w:val="auto"/>
              </w:rPr>
            </w:pPr>
          </w:p>
        </w:tc>
      </w:tr>
      <w:tr>
        <w:trPr>
          <w:trHeight w:val="20"/>
        </w:trPr>
        <w:tc>
          <w:tcPr>
            <w:tcW w:w="2060" w:type="dxa"/>
            <w:vAlign w:val="bottom"/>
            <w:gridSpan w:val="14"/>
            <w:vMerge w:val="restart"/>
          </w:tcPr>
          <w:p>
            <w:pPr>
              <w:spacing w:after="0" w:line="161" w:lineRule="exact"/>
              <w:rPr>
                <w:sz w:val="20"/>
                <w:szCs w:val="20"/>
                <w:color w:val="auto"/>
              </w:rPr>
            </w:pPr>
            <w:r>
              <w:rPr>
                <w:rFonts w:ascii="Arial" w:cs="Arial" w:eastAsia="Arial" w:hAnsi="Arial"/>
                <w:sz w:val="16"/>
                <w:szCs w:val="16"/>
                <w:b w:val="1"/>
                <w:bCs w:val="1"/>
                <w:color w:val="0000FF"/>
                <w:w w:val="89"/>
              </w:rPr>
              <w:t xml:space="preserve">Term Loans 49 </w:t>
            </w:r>
            <w:r>
              <w:rPr>
                <w:rFonts w:ascii="Arial" w:cs="Arial" w:eastAsia="Arial" w:hAnsi="Arial"/>
                <w:sz w:val="16"/>
                <w:szCs w:val="16"/>
                <w:color w:val="010101"/>
                <w:w w:val="89"/>
              </w:rPr>
              <w:t>SECTION 2.09.</w:t>
            </w:r>
          </w:p>
        </w:tc>
        <w:tc>
          <w:tcPr>
            <w:tcW w:w="700" w:type="dxa"/>
            <w:vAlign w:val="bottom"/>
            <w:gridSpan w:val="9"/>
            <w:shd w:val="clear" w:color="auto" w:fill="0000FF"/>
          </w:tcPr>
          <w:p>
            <w:pPr>
              <w:spacing w:after="0" w:line="20" w:lineRule="exact"/>
              <w:rPr>
                <w:sz w:val="1"/>
                <w:szCs w:val="1"/>
                <w:color w:val="auto"/>
              </w:rPr>
            </w:pPr>
          </w:p>
        </w:tc>
        <w:tc>
          <w:tcPr>
            <w:tcW w:w="680" w:type="dxa"/>
            <w:vAlign w:val="bottom"/>
            <w:gridSpan w:val="6"/>
            <w:vMerge w:val="restart"/>
          </w:tcPr>
          <w:p>
            <w:pPr>
              <w:ind w:left="20"/>
              <w:spacing w:after="0" w:line="161" w:lineRule="exact"/>
              <w:rPr>
                <w:sz w:val="20"/>
                <w:szCs w:val="20"/>
                <w:color w:val="auto"/>
              </w:rPr>
            </w:pPr>
            <w:r>
              <w:rPr>
                <w:rFonts w:ascii="Arial" w:cs="Arial" w:eastAsia="Arial" w:hAnsi="Arial"/>
                <w:sz w:val="16"/>
                <w:szCs w:val="16"/>
                <w:color w:val="010101"/>
                <w:w w:val="79"/>
              </w:rPr>
              <w:t>Conversion</w:t>
            </w:r>
          </w:p>
        </w:tc>
        <w:tc>
          <w:tcPr>
            <w:tcW w:w="340" w:type="dxa"/>
            <w:vAlign w:val="bottom"/>
            <w:tcBorders>
              <w:right w:val="single" w:sz="8" w:color="FF0000"/>
            </w:tcBorders>
            <w:gridSpan w:val="2"/>
            <w:shd w:val="clear" w:color="auto" w:fill="FF0000"/>
          </w:tcPr>
          <w:p>
            <w:pPr>
              <w:spacing w:after="0" w:line="20" w:lineRule="exact"/>
              <w:rPr>
                <w:sz w:val="1"/>
                <w:szCs w:val="1"/>
                <w:color w:val="auto"/>
              </w:rPr>
            </w:pPr>
          </w:p>
        </w:tc>
        <w:tc>
          <w:tcPr>
            <w:tcW w:w="60" w:type="dxa"/>
            <w:vAlign w:val="bottom"/>
            <w:gridSpan w:val="2"/>
            <w:shd w:val="clear" w:color="auto" w:fill="FF0000"/>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5" w:type="dxa"/>
            <w:vAlign w:val="bottom"/>
          </w:tcPr>
          <w:p>
            <w:pPr>
              <w:spacing w:after="0" w:line="20" w:lineRule="exact"/>
              <w:rPr>
                <w:sz w:val="1"/>
                <w:szCs w:val="1"/>
                <w:color w:val="auto"/>
              </w:rPr>
            </w:pPr>
          </w:p>
        </w:tc>
        <w:tc>
          <w:tcPr>
            <w:tcW w:w="255"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47</w:t>
            </w:r>
          </w:p>
        </w:tc>
        <w:tc>
          <w:tcPr>
            <w:tcW w:w="1740" w:type="dxa"/>
            <w:vAlign w:val="bottom"/>
            <w:gridSpan w:val="16"/>
            <w:vMerge w:val="restart"/>
          </w:tcPr>
          <w:p>
            <w:pPr>
              <w:spacing w:after="0" w:line="161" w:lineRule="exact"/>
              <w:rPr>
                <w:sz w:val="20"/>
                <w:szCs w:val="20"/>
                <w:color w:val="auto"/>
              </w:rPr>
            </w:pPr>
            <w:r>
              <w:rPr>
                <w:rFonts w:ascii="Arial" w:cs="Arial" w:eastAsia="Arial" w:hAnsi="Arial"/>
                <w:sz w:val="16"/>
                <w:szCs w:val="16"/>
                <w:b w:val="1"/>
                <w:bCs w:val="1"/>
                <w:color w:val="0000FF"/>
                <w:w w:val="87"/>
              </w:rPr>
              <w:t xml:space="preserve">50 </w:t>
            </w:r>
            <w:r>
              <w:rPr>
                <w:rFonts w:ascii="Arial" w:cs="Arial" w:eastAsia="Arial" w:hAnsi="Arial"/>
                <w:sz w:val="16"/>
                <w:szCs w:val="16"/>
                <w:color w:val="010101"/>
                <w:w w:val="87"/>
              </w:rPr>
              <w:t>SECTION 2.10. Optional</w:t>
            </w:r>
          </w:p>
        </w:tc>
        <w:tc>
          <w:tcPr>
            <w:tcW w:w="400" w:type="dxa"/>
            <w:vAlign w:val="bottom"/>
            <w:gridSpan w:val="2"/>
            <w:shd w:val="clear" w:color="auto" w:fill="FF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gridSpan w:val="3"/>
            <w:vMerge w:val="restart"/>
          </w:tcPr>
          <w:p>
            <w:pPr>
              <w:spacing w:after="0" w:line="20" w:lineRule="exact"/>
              <w:rPr>
                <w:sz w:val="1"/>
                <w:szCs w:val="1"/>
                <w:color w:val="auto"/>
              </w:rPr>
            </w:pPr>
          </w:p>
        </w:tc>
        <w:tc>
          <w:tcPr>
            <w:tcW w:w="180" w:type="dxa"/>
            <w:vAlign w:val="bottom"/>
            <w:gridSpan w:val="2"/>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48</w:t>
            </w:r>
          </w:p>
        </w:tc>
        <w:tc>
          <w:tcPr>
            <w:tcW w:w="220" w:type="dxa"/>
            <w:vAlign w:val="bottom"/>
            <w:gridSpan w:val="2"/>
            <w:vMerge w:val="restart"/>
          </w:tcPr>
          <w:p>
            <w:pPr>
              <w:jc w:val="right"/>
              <w:ind w:right="80"/>
              <w:spacing w:after="0" w:line="161" w:lineRule="exact"/>
              <w:rPr>
                <w:sz w:val="20"/>
                <w:szCs w:val="20"/>
                <w:color w:val="auto"/>
              </w:rPr>
            </w:pPr>
            <w:r>
              <w:rPr>
                <w:rFonts w:ascii="Arial" w:cs="Arial" w:eastAsia="Arial" w:hAnsi="Arial"/>
                <w:sz w:val="15"/>
                <w:szCs w:val="15"/>
                <w:b w:val="1"/>
                <w:bCs w:val="1"/>
                <w:color w:val="0000FF"/>
                <w:w w:val="71"/>
              </w:rPr>
              <w:t>51</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60" w:type="dxa"/>
            <w:vAlign w:val="bottom"/>
            <w:gridSpan w:val="14"/>
            <w:vMerge w:val="continue"/>
          </w:tcPr>
          <w:p>
            <w:pPr>
              <w:spacing w:after="0"/>
              <w:rPr>
                <w:sz w:val="12"/>
                <w:szCs w:val="12"/>
                <w:color w:val="auto"/>
              </w:rPr>
            </w:pPr>
          </w:p>
        </w:tc>
        <w:tc>
          <w:tcPr>
            <w:tcW w:w="700" w:type="dxa"/>
            <w:vAlign w:val="bottom"/>
            <w:gridSpan w:val="9"/>
          </w:tcPr>
          <w:p>
            <w:pPr>
              <w:ind w:left="120"/>
              <w:spacing w:after="0" w:line="142" w:lineRule="exact"/>
              <w:rPr>
                <w:sz w:val="20"/>
                <w:szCs w:val="20"/>
                <w:color w:val="auto"/>
              </w:rPr>
            </w:pPr>
            <w:r>
              <w:rPr>
                <w:rFonts w:ascii="Arial" w:cs="Arial" w:eastAsia="Arial" w:hAnsi="Arial"/>
                <w:sz w:val="16"/>
                <w:szCs w:val="16"/>
                <w:color w:val="010101"/>
                <w:w w:val="93"/>
              </w:rPr>
              <w:t>Optional</w:t>
            </w:r>
          </w:p>
        </w:tc>
        <w:tc>
          <w:tcPr>
            <w:tcW w:w="680" w:type="dxa"/>
            <w:vAlign w:val="bottom"/>
            <w:gridSpan w:val="6"/>
            <w:vMerge w:val="continue"/>
          </w:tcPr>
          <w:p>
            <w:pPr>
              <w:spacing w:after="0"/>
              <w:rPr>
                <w:sz w:val="12"/>
                <w:szCs w:val="12"/>
                <w:color w:val="auto"/>
              </w:rPr>
            </w:pPr>
          </w:p>
        </w:tc>
        <w:tc>
          <w:tcPr>
            <w:tcW w:w="400" w:type="dxa"/>
            <w:vAlign w:val="bottom"/>
            <w:gridSpan w:val="4"/>
          </w:tcPr>
          <w:p>
            <w:pPr>
              <w:ind w:left="120"/>
              <w:spacing w:after="0" w:line="142" w:lineRule="exact"/>
              <w:rPr>
                <w:sz w:val="20"/>
                <w:szCs w:val="20"/>
                <w:color w:val="auto"/>
              </w:rPr>
            </w:pPr>
            <w:r>
              <w:rPr>
                <w:rFonts w:ascii="Arial" w:cs="Arial" w:eastAsia="Arial" w:hAnsi="Arial"/>
                <w:sz w:val="16"/>
                <w:szCs w:val="16"/>
                <w:color w:val="010101"/>
              </w:rPr>
              <w:t>of</w:t>
            </w:r>
          </w:p>
        </w:tc>
        <w:tc>
          <w:tcPr>
            <w:tcW w:w="880" w:type="dxa"/>
            <w:vAlign w:val="bottom"/>
            <w:gridSpan w:val="7"/>
          </w:tcPr>
          <w:p>
            <w:pPr>
              <w:spacing w:after="0" w:line="142" w:lineRule="exact"/>
              <w:rPr>
                <w:sz w:val="20"/>
                <w:szCs w:val="20"/>
                <w:color w:val="auto"/>
              </w:rPr>
            </w:pPr>
            <w:r>
              <w:rPr>
                <w:rFonts w:ascii="Arial" w:cs="Arial" w:eastAsia="Arial" w:hAnsi="Arial"/>
                <w:sz w:val="16"/>
                <w:szCs w:val="16"/>
                <w:color w:val="010101"/>
              </w:rPr>
              <w:t>Advances</w:t>
            </w:r>
          </w:p>
        </w:tc>
        <w:tc>
          <w:tcPr>
            <w:tcW w:w="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740" w:type="dxa"/>
            <w:vAlign w:val="bottom"/>
            <w:gridSpan w:val="16"/>
            <w:vMerge w:val="continue"/>
          </w:tcPr>
          <w:p>
            <w:pPr>
              <w:spacing w:after="0"/>
              <w:rPr>
                <w:sz w:val="12"/>
                <w:szCs w:val="12"/>
                <w:color w:val="auto"/>
              </w:rPr>
            </w:pPr>
          </w:p>
        </w:tc>
        <w:tc>
          <w:tcPr>
            <w:tcW w:w="1720" w:type="dxa"/>
            <w:vAlign w:val="bottom"/>
            <w:gridSpan w:val="8"/>
          </w:tcPr>
          <w:p>
            <w:pPr>
              <w:ind w:left="100"/>
              <w:spacing w:after="0" w:line="142" w:lineRule="exact"/>
              <w:rPr>
                <w:sz w:val="20"/>
                <w:szCs w:val="20"/>
                <w:color w:val="auto"/>
              </w:rPr>
            </w:pPr>
            <w:r>
              <w:rPr>
                <w:rFonts w:ascii="Arial" w:cs="Arial" w:eastAsia="Arial" w:hAnsi="Arial"/>
                <w:sz w:val="16"/>
                <w:szCs w:val="16"/>
                <w:color w:val="010101"/>
                <w:w w:val="89"/>
              </w:rPr>
              <w:t>Prepayment of Advances</w:t>
            </w:r>
          </w:p>
        </w:tc>
        <w:tc>
          <w:tcPr>
            <w:tcW w:w="360" w:type="dxa"/>
            <w:vAlign w:val="bottom"/>
            <w:gridSpan w:val="3"/>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4160" w:type="dxa"/>
            <w:vAlign w:val="bottom"/>
            <w:tcBorders>
              <w:right w:val="single" w:sz="8" w:color="0000FF"/>
            </w:tcBorders>
            <w:gridSpan w:val="39"/>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80" w:type="dxa"/>
            <w:vAlign w:val="bottom"/>
            <w:tcBorders>
              <w:right w:val="single" w:sz="8" w:color="0000FF"/>
            </w:tcBorders>
            <w:gridSpan w:val="28"/>
          </w:tcPr>
          <w:p>
            <w:pPr>
              <w:spacing w:after="0" w:line="20" w:lineRule="exact"/>
              <w:rPr>
                <w:sz w:val="1"/>
                <w:szCs w:val="1"/>
                <w:color w:val="auto"/>
              </w:rPr>
            </w:pPr>
          </w:p>
        </w:tc>
        <w:tc>
          <w:tcPr>
            <w:tcW w:w="1620" w:type="dxa"/>
            <w:vAlign w:val="bottom"/>
            <w:gridSpan w:val="1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-2232025</wp:posOffset>
            </wp:positionV>
            <wp:extent cx="12827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128270" cy="6350"/>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-249555</wp:posOffset>
            </wp:positionV>
            <wp:extent cx="12827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128270" cy="6350"/>
                    </a:xfrm>
                    <a:prstGeom prst="rect">
                      <a:avLst/>
                    </a:prstGeom>
                    <a:noFill/>
                  </pic:spPr>
                </pic:pic>
              </a:graphicData>
            </a:graphic>
          </wp:anchor>
        </w:drawing>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100"/>
          </w:cols>
          <w:pgMar w:left="320" w:top="1079" w:right="479" w:bottom="1440" w:gutter="0" w:footer="0" w:header="0"/>
        </w:sectPr>
      </w:pPr>
    </w:p>
    <w:bookmarkStart w:id="57" w:name="page58"/>
    <w:bookmarkEnd w:id="57"/>
    <w:tbl>
      <w:tblPr>
        <w:tblLayout w:type="fixed"/>
        <w:tblInd w:w="60" w:type="dxa"/>
        <w:tblCellMar>
          <w:top w:w="0" w:type="dxa"/>
          <w:left w:w="0" w:type="dxa"/>
          <w:bottom w:w="0" w:type="dxa"/>
          <w:right w:w="0" w:type="dxa"/>
        </w:tblCellMar>
      </w:tblPr>
      <w:tr>
        <w:trPr>
          <w:trHeight w:val="184"/>
        </w:trPr>
        <w:tc>
          <w:tcPr>
            <w:tcW w:w="2580" w:type="dxa"/>
            <w:vAlign w:val="bottom"/>
            <w:gridSpan w:val="9"/>
          </w:tcPr>
          <w:p>
            <w:pPr>
              <w:ind w:left="480"/>
              <w:spacing w:after="0"/>
              <w:rPr>
                <w:sz w:val="20"/>
                <w:szCs w:val="20"/>
                <w:color w:val="auto"/>
              </w:rPr>
            </w:pPr>
            <w:r>
              <w:rPr>
                <w:rFonts w:ascii="Arial" w:cs="Arial" w:eastAsia="Arial" w:hAnsi="Arial"/>
                <w:sz w:val="16"/>
                <w:szCs w:val="16"/>
                <w:color w:val="010101"/>
                <w:w w:val="89"/>
              </w:rPr>
              <w:t>SECTION 2.11. Increased Costs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5"/>
          </w:tcPr>
          <w:p>
            <w:pPr>
              <w:jc w:val="center"/>
              <w:spacing w:after="0"/>
              <w:rPr>
                <w:sz w:val="20"/>
                <w:szCs w:val="20"/>
                <w:color w:val="auto"/>
              </w:rPr>
            </w:pPr>
            <w:r>
              <w:rPr>
                <w:rFonts w:ascii="Arial" w:cs="Arial" w:eastAsia="Arial" w:hAnsi="Arial"/>
                <w:sz w:val="16"/>
                <w:szCs w:val="16"/>
                <w:color w:val="FF0000"/>
                <w:strike w:val="1"/>
              </w:rPr>
              <w:t>49</w:t>
            </w:r>
          </w:p>
        </w:tc>
        <w:tc>
          <w:tcPr>
            <w:tcW w:w="2140" w:type="dxa"/>
            <w:vAlign w:val="bottom"/>
            <w:gridSpan w:val="22"/>
          </w:tcPr>
          <w:p>
            <w:pPr>
              <w:spacing w:after="0"/>
              <w:rPr>
                <w:sz w:val="20"/>
                <w:szCs w:val="20"/>
                <w:color w:val="auto"/>
              </w:rPr>
            </w:pPr>
            <w:r>
              <w:rPr>
                <w:rFonts w:ascii="Arial" w:cs="Arial" w:eastAsia="Arial" w:hAnsi="Arial"/>
                <w:sz w:val="16"/>
                <w:szCs w:val="16"/>
                <w:b w:val="1"/>
                <w:bCs w:val="1"/>
                <w:color w:val="0000FF"/>
                <w:w w:val="97"/>
              </w:rPr>
              <w:t xml:space="preserve">52 </w:t>
            </w:r>
            <w:r>
              <w:rPr>
                <w:rFonts w:ascii="Arial" w:cs="Arial" w:eastAsia="Arial" w:hAnsi="Arial"/>
                <w:sz w:val="16"/>
                <w:szCs w:val="16"/>
                <w:color w:val="010101"/>
                <w:w w:val="97"/>
              </w:rPr>
              <w:t>SECTION 2.12. [Reserved]</w:t>
            </w:r>
          </w:p>
        </w:tc>
        <w:tc>
          <w:tcPr>
            <w:tcW w:w="220" w:type="dxa"/>
            <w:vAlign w:val="bottom"/>
            <w:gridSpan w:val="2"/>
          </w:tcPr>
          <w:p>
            <w:pPr>
              <w:ind w:left="60"/>
              <w:spacing w:after="0"/>
              <w:rPr>
                <w:sz w:val="20"/>
                <w:szCs w:val="20"/>
                <w:color w:val="auto"/>
              </w:rPr>
            </w:pPr>
            <w:r>
              <w:rPr>
                <w:rFonts w:ascii="Arial" w:cs="Arial" w:eastAsia="Arial" w:hAnsi="Arial"/>
                <w:sz w:val="16"/>
                <w:szCs w:val="16"/>
                <w:color w:val="FF0000"/>
                <w:strike w:val="1"/>
                <w:w w:val="78"/>
              </w:rPr>
              <w:t>50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0000FF"/>
                <w:w w:val="78"/>
              </w:rPr>
              <w:t>54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gridSpan w:val="9"/>
            <w:vMerge w:val="restart"/>
          </w:tcPr>
          <w:p>
            <w:pPr>
              <w:ind w:left="480"/>
              <w:spacing w:after="0" w:line="161" w:lineRule="exact"/>
              <w:rPr>
                <w:sz w:val="20"/>
                <w:szCs w:val="20"/>
                <w:color w:val="auto"/>
              </w:rPr>
            </w:pPr>
            <w:r>
              <w:rPr>
                <w:rFonts w:ascii="Arial" w:cs="Arial" w:eastAsia="Arial" w:hAnsi="Arial"/>
                <w:sz w:val="16"/>
                <w:szCs w:val="16"/>
                <w:color w:val="010101"/>
                <w:w w:val="94"/>
              </w:rPr>
              <w:t>SECTION 2.13. Payments and</w:t>
            </w:r>
          </w:p>
        </w:tc>
        <w:tc>
          <w:tcPr>
            <w:tcW w:w="200" w:type="dxa"/>
            <w:vAlign w:val="bottom"/>
            <w:tcBorders>
              <w:right w:val="single" w:sz="8" w:color="010101"/>
            </w:tcBorders>
            <w:gridSpan w:val="3"/>
            <w:shd w:val="clear" w:color="auto" w:fill="010101"/>
          </w:tcPr>
          <w:p>
            <w:pPr>
              <w:spacing w:after="0" w:line="20" w:lineRule="exact"/>
              <w:rPr>
                <w:sz w:val="1"/>
                <w:szCs w:val="1"/>
                <w:color w:val="auto"/>
              </w:rPr>
            </w:pPr>
          </w:p>
        </w:tc>
        <w:tc>
          <w:tcPr>
            <w:tcW w:w="260" w:type="dxa"/>
            <w:vAlign w:val="bottom"/>
            <w:tcBorders>
              <w:left w:val="single" w:sz="8" w:color="010101"/>
            </w:tcBorders>
            <w:gridSpan w:val="6"/>
          </w:tcPr>
          <w:p>
            <w:pPr>
              <w:spacing w:after="0" w:line="20" w:lineRule="exact"/>
              <w:rPr>
                <w:sz w:val="1"/>
                <w:szCs w:val="1"/>
                <w:color w:val="auto"/>
              </w:rPr>
            </w:pPr>
          </w:p>
        </w:tc>
        <w:tc>
          <w:tcPr>
            <w:tcW w:w="2060" w:type="dxa"/>
            <w:vAlign w:val="bottom"/>
            <w:tcBorders>
              <w:left w:val="single" w:sz="8" w:color="0000FF"/>
              <w:right w:val="single" w:sz="8" w:color="FF0000"/>
            </w:tcBorders>
            <w:gridSpan w:val="21"/>
            <w:shd w:val="clear" w:color="auto" w:fill="0000FF"/>
          </w:tcPr>
          <w:p>
            <w:pPr>
              <w:spacing w:after="0" w:line="20" w:lineRule="exact"/>
              <w:rPr>
                <w:sz w:val="1"/>
                <w:szCs w:val="1"/>
                <w:color w:val="auto"/>
              </w:rPr>
            </w:pPr>
          </w:p>
        </w:tc>
        <w:tc>
          <w:tcPr>
            <w:tcW w:w="380" w:type="dxa"/>
            <w:vAlign w:val="bottom"/>
            <w:tcBorders>
              <w:left w:val="single" w:sz="8" w:color="FF0000"/>
              <w:right w:val="single" w:sz="8" w:color="0000FF"/>
            </w:tcBorders>
            <w:gridSpan w:val="3"/>
          </w:tcPr>
          <w:p>
            <w:pPr>
              <w:spacing w:after="0" w:line="20" w:lineRule="exact"/>
              <w:rPr>
                <w:sz w:val="1"/>
                <w:szCs w:val="1"/>
                <w:color w:val="auto"/>
              </w:rPr>
            </w:pPr>
          </w:p>
        </w:tc>
        <w:tc>
          <w:tcPr>
            <w:tcW w:w="5560" w:type="dxa"/>
            <w:vAlign w:val="bottom"/>
            <w:gridSpan w:val="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vMerge w:val="continue"/>
          </w:tcPr>
          <w:p>
            <w:pPr>
              <w:spacing w:after="0"/>
              <w:rPr>
                <w:sz w:val="12"/>
                <w:szCs w:val="12"/>
                <w:color w:val="auto"/>
              </w:rPr>
            </w:pPr>
          </w:p>
        </w:tc>
        <w:tc>
          <w:tcPr>
            <w:tcW w:w="860" w:type="dxa"/>
            <w:vAlign w:val="bottom"/>
            <w:gridSpan w:val="15"/>
          </w:tcPr>
          <w:p>
            <w:pPr>
              <w:jc w:val="right"/>
              <w:ind w:right="20"/>
              <w:spacing w:after="0" w:line="142" w:lineRule="exact"/>
              <w:rPr>
                <w:sz w:val="20"/>
                <w:szCs w:val="20"/>
                <w:color w:val="auto"/>
              </w:rPr>
            </w:pPr>
            <w:r>
              <w:rPr>
                <w:rFonts w:ascii="Arial" w:cs="Arial" w:eastAsia="Arial" w:hAnsi="Arial"/>
                <w:sz w:val="16"/>
                <w:szCs w:val="16"/>
                <w:color w:val="010101"/>
                <w:w w:val="83"/>
              </w:rPr>
              <w:t>Computations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89"/>
              </w:rPr>
              <w:t>50</w:t>
            </w:r>
          </w:p>
        </w:tc>
        <w:tc>
          <w:tcPr>
            <w:tcW w:w="1260" w:type="dxa"/>
            <w:vAlign w:val="bottom"/>
            <w:gridSpan w:val="11"/>
          </w:tcPr>
          <w:p>
            <w:pPr>
              <w:spacing w:after="0" w:line="142" w:lineRule="exact"/>
              <w:rPr>
                <w:sz w:val="20"/>
                <w:szCs w:val="20"/>
                <w:color w:val="auto"/>
              </w:rPr>
            </w:pPr>
            <w:r>
              <w:rPr>
                <w:rFonts w:ascii="Arial" w:cs="Arial" w:eastAsia="Arial" w:hAnsi="Arial"/>
                <w:sz w:val="16"/>
                <w:szCs w:val="16"/>
                <w:b w:val="1"/>
                <w:bCs w:val="1"/>
                <w:color w:val="0000FF"/>
                <w:w w:val="91"/>
              </w:rPr>
              <w:t xml:space="preserve">54 </w:t>
            </w:r>
            <w:r>
              <w:rPr>
                <w:rFonts w:ascii="Arial" w:cs="Arial" w:eastAsia="Arial" w:hAnsi="Arial"/>
                <w:sz w:val="16"/>
                <w:szCs w:val="16"/>
                <w:color w:val="010101"/>
                <w:w w:val="91"/>
              </w:rPr>
              <w:t>SECTION 2.14.</w:t>
            </w:r>
          </w:p>
        </w:tc>
        <w:tc>
          <w:tcPr>
            <w:tcW w:w="560" w:type="dxa"/>
            <w:vAlign w:val="bottom"/>
            <w:gridSpan w:val="5"/>
          </w:tcPr>
          <w:p>
            <w:pPr>
              <w:ind w:left="60"/>
              <w:spacing w:after="0" w:line="142" w:lineRule="exact"/>
              <w:rPr>
                <w:sz w:val="20"/>
                <w:szCs w:val="20"/>
                <w:color w:val="auto"/>
              </w:rPr>
            </w:pPr>
            <w:r>
              <w:rPr>
                <w:rFonts w:ascii="Arial" w:cs="Arial" w:eastAsia="Arial" w:hAnsi="Arial"/>
                <w:sz w:val="16"/>
                <w:szCs w:val="16"/>
                <w:color w:val="010101"/>
              </w:rPr>
              <w:t>Taxes</w:t>
            </w: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78"/>
              </w:rPr>
              <w:t>52</w:t>
            </w:r>
          </w:p>
        </w:tc>
        <w:tc>
          <w:tcPr>
            <w:tcW w:w="140" w:type="dxa"/>
            <w:vAlign w:val="bottom"/>
          </w:tcPr>
          <w:p>
            <w:pPr>
              <w:jc w:val="right"/>
              <w:spacing w:after="0" w:line="142" w:lineRule="exact"/>
              <w:rPr>
                <w:sz w:val="20"/>
                <w:szCs w:val="20"/>
                <w:color w:val="auto"/>
              </w:rPr>
            </w:pPr>
            <w:r>
              <w:rPr>
                <w:rFonts w:ascii="Arial" w:cs="Arial" w:eastAsia="Arial" w:hAnsi="Arial"/>
                <w:sz w:val="15"/>
                <w:szCs w:val="15"/>
                <w:b w:val="1"/>
                <w:bCs w:val="1"/>
                <w:color w:val="0000FF"/>
                <w:w w:val="71"/>
              </w:rPr>
              <w:t>55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gridSpan w:val="28"/>
            <w:vMerge w:val="restart"/>
          </w:tcPr>
          <w:p>
            <w:pPr>
              <w:spacing w:after="0"/>
              <w:rPr>
                <w:sz w:val="20"/>
                <w:szCs w:val="20"/>
                <w:color w:val="auto"/>
              </w:rPr>
            </w:pPr>
            <w:r>
              <w:rPr>
                <w:rFonts w:ascii="Arial" w:cs="Arial" w:eastAsia="Arial" w:hAnsi="Arial"/>
                <w:sz w:val="16"/>
                <w:szCs w:val="16"/>
                <w:b w:val="1"/>
                <w:bCs w:val="1"/>
                <w:color w:val="0000FF"/>
                <w:w w:val="99"/>
              </w:rPr>
              <w:t xml:space="preserve">59 </w:t>
            </w:r>
            <w:r>
              <w:rPr>
                <w:rFonts w:ascii="Arial" w:cs="Arial" w:eastAsia="Arial" w:hAnsi="Arial"/>
                <w:sz w:val="16"/>
                <w:szCs w:val="16"/>
                <w:color w:val="010101"/>
                <w:w w:val="99"/>
              </w:rPr>
              <w:t>SECTION 2.17. Extension of Termination Date</w:t>
            </w:r>
          </w:p>
        </w:tc>
        <w:tc>
          <w:tcPr>
            <w:tcW w:w="160" w:type="dxa"/>
            <w:vAlign w:val="bottom"/>
          </w:tcPr>
          <w:p>
            <w:pPr>
              <w:spacing w:after="0"/>
              <w:rPr>
                <w:sz w:val="12"/>
                <w:szCs w:val="12"/>
                <w:color w:val="auto"/>
              </w:rPr>
            </w:pPr>
          </w:p>
        </w:tc>
        <w:tc>
          <w:tcPr>
            <w:tcW w:w="88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0000FF"/>
                <w:w w:val="92"/>
              </w:rPr>
              <w:t xml:space="preserve">60 </w:t>
            </w:r>
            <w:r>
              <w:rPr>
                <w:rFonts w:ascii="Arial" w:cs="Arial" w:eastAsia="Arial" w:hAnsi="Arial"/>
                <w:sz w:val="16"/>
                <w:szCs w:val="16"/>
                <w:color w:val="010101"/>
                <w:w w:val="92"/>
              </w:rPr>
              <w:t>SECTION</w:t>
            </w:r>
          </w:p>
        </w:tc>
        <w:tc>
          <w:tcPr>
            <w:tcW w:w="0" w:type="dxa"/>
            <w:vAlign w:val="bottom"/>
          </w:tcPr>
          <w:p>
            <w:pPr>
              <w:spacing w:after="0"/>
              <w:rPr>
                <w:sz w:val="1"/>
                <w:szCs w:val="1"/>
                <w:color w:val="auto"/>
              </w:rPr>
            </w:pPr>
          </w:p>
        </w:tc>
      </w:tr>
      <w:tr>
        <w:trPr>
          <w:trHeight w:val="20"/>
        </w:trPr>
        <w:tc>
          <w:tcPr>
            <w:tcW w:w="3440" w:type="dxa"/>
            <w:vAlign w:val="bottom"/>
            <w:gridSpan w:val="24"/>
            <w:vMerge w:val="restart"/>
          </w:tcPr>
          <w:p>
            <w:pPr>
              <w:ind w:left="480"/>
              <w:spacing w:after="0" w:line="161" w:lineRule="exact"/>
              <w:rPr>
                <w:sz w:val="20"/>
                <w:szCs w:val="20"/>
                <w:color w:val="auto"/>
              </w:rPr>
            </w:pPr>
            <w:r>
              <w:rPr>
                <w:rFonts w:ascii="Arial" w:cs="Arial" w:eastAsia="Arial" w:hAnsi="Arial"/>
                <w:sz w:val="16"/>
                <w:szCs w:val="16"/>
                <w:color w:val="010101"/>
                <w:w w:val="97"/>
              </w:rPr>
              <w:t>SECTION 2.15. Sharing of Payments, Etc.</w:t>
            </w:r>
          </w:p>
        </w:tc>
        <w:tc>
          <w:tcPr>
            <w:tcW w:w="80" w:type="dxa"/>
            <w:vAlign w:val="bottom"/>
            <w:tcBorders>
              <w:left w:val="single" w:sz="8" w:color="FF0000"/>
            </w:tcBorders>
            <w:shd w:val="clear" w:color="auto" w:fill="FF0000"/>
          </w:tcPr>
          <w:p>
            <w:pPr>
              <w:spacing w:after="0" w:line="20" w:lineRule="exact"/>
              <w:rPr>
                <w:sz w:val="1"/>
                <w:szCs w:val="1"/>
                <w:color w:val="auto"/>
              </w:rPr>
            </w:pPr>
          </w:p>
        </w:tc>
        <w:tc>
          <w:tcPr>
            <w:tcW w:w="80" w:type="dxa"/>
            <w:vAlign w:val="bottom"/>
            <w:tcBorders>
              <w:left w:val="single" w:sz="8" w:color="FF0000"/>
            </w:tcBorders>
            <w:shd w:val="clear" w:color="auto" w:fill="FF0000"/>
          </w:tcPr>
          <w:p>
            <w:pPr>
              <w:spacing w:after="0" w:line="20" w:lineRule="exact"/>
              <w:rPr>
                <w:sz w:val="1"/>
                <w:szCs w:val="1"/>
                <w:color w:val="auto"/>
              </w:rPr>
            </w:pPr>
          </w:p>
        </w:tc>
        <w:tc>
          <w:tcPr>
            <w:tcW w:w="160" w:type="dxa"/>
            <w:vAlign w:val="bottom"/>
            <w:tcBorders>
              <w:left w:val="single" w:sz="8" w:color="FF0000"/>
            </w:tcBorders>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10101"/>
            </w:tcBorders>
            <w:gridSpan w:val="2"/>
          </w:tcPr>
          <w:p>
            <w:pPr>
              <w:spacing w:after="0" w:line="20" w:lineRule="exact"/>
              <w:rPr>
                <w:sz w:val="1"/>
                <w:szCs w:val="1"/>
                <w:color w:val="auto"/>
              </w:rPr>
            </w:pPr>
          </w:p>
        </w:tc>
        <w:tc>
          <w:tcPr>
            <w:tcW w:w="120" w:type="dxa"/>
            <w:vAlign w:val="bottom"/>
            <w:shd w:val="clear" w:color="auto" w:fill="010101"/>
          </w:tcPr>
          <w:p>
            <w:pPr>
              <w:spacing w:after="0" w:line="20" w:lineRule="exact"/>
              <w:rPr>
                <w:sz w:val="1"/>
                <w:szCs w:val="1"/>
                <w:color w:val="auto"/>
              </w:rPr>
            </w:pPr>
          </w:p>
        </w:tc>
        <w:tc>
          <w:tcPr>
            <w:tcW w:w="60" w:type="dxa"/>
            <w:vAlign w:val="bottom"/>
            <w:tcBorders>
              <w:right w:val="single" w:sz="8" w:color="010101"/>
            </w:tcBorders>
            <w:shd w:val="clear" w:color="auto" w:fill="010101"/>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vMerge w:val="restart"/>
          </w:tcPr>
          <w:p>
            <w:pPr>
              <w:ind w:left="40"/>
              <w:spacing w:after="0" w:line="161" w:lineRule="exact"/>
              <w:rPr>
                <w:sz w:val="20"/>
                <w:szCs w:val="20"/>
                <w:color w:val="auto"/>
              </w:rPr>
            </w:pPr>
            <w:r>
              <w:rPr>
                <w:rFonts w:ascii="Arial" w:cs="Arial" w:eastAsia="Arial" w:hAnsi="Arial"/>
                <w:sz w:val="16"/>
                <w:szCs w:val="16"/>
                <w:color w:val="FF0000"/>
                <w:strike w:val="1"/>
                <w:w w:val="78"/>
              </w:rPr>
              <w:t>56</w:t>
            </w:r>
          </w:p>
        </w:tc>
        <w:tc>
          <w:tcPr>
            <w:tcW w:w="3540" w:type="dxa"/>
            <w:vAlign w:val="bottom"/>
            <w:gridSpan w:val="28"/>
            <w:vMerge w:val="continue"/>
          </w:tcPr>
          <w:p>
            <w:pPr>
              <w:spacing w:after="0" w:line="20" w:lineRule="exact"/>
              <w:rPr>
                <w:sz w:val="1"/>
                <w:szCs w:val="1"/>
                <w:color w:val="auto"/>
              </w:rPr>
            </w:pPr>
          </w:p>
        </w:tc>
        <w:tc>
          <w:tcPr>
            <w:tcW w:w="160" w:type="dxa"/>
            <w:vAlign w:val="bottom"/>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56</w:t>
            </w:r>
          </w:p>
        </w:tc>
        <w:tc>
          <w:tcPr>
            <w:tcW w:w="8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gridSpan w:val="24"/>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78"/>
              </w:rPr>
              <w:t>55</w:t>
            </w:r>
          </w:p>
        </w:tc>
        <w:tc>
          <w:tcPr>
            <w:tcW w:w="2480" w:type="dxa"/>
            <w:vAlign w:val="bottom"/>
            <w:gridSpan w:val="22"/>
          </w:tcPr>
          <w:p>
            <w:pPr>
              <w:jc w:val="center"/>
              <w:ind w:right="119"/>
              <w:spacing w:after="0" w:line="142" w:lineRule="exact"/>
              <w:rPr>
                <w:sz w:val="20"/>
                <w:szCs w:val="20"/>
                <w:color w:val="auto"/>
              </w:rPr>
            </w:pPr>
            <w:r>
              <w:rPr>
                <w:rFonts w:ascii="Arial" w:cs="Arial" w:eastAsia="Arial" w:hAnsi="Arial"/>
                <w:sz w:val="16"/>
                <w:szCs w:val="16"/>
                <w:b w:val="1"/>
                <w:bCs w:val="1"/>
                <w:color w:val="0000FF"/>
                <w:w w:val="89"/>
              </w:rPr>
              <w:t xml:space="preserve">59 </w:t>
            </w:r>
            <w:r>
              <w:rPr>
                <w:rFonts w:ascii="Arial" w:cs="Arial" w:eastAsia="Arial" w:hAnsi="Arial"/>
                <w:sz w:val="16"/>
                <w:szCs w:val="16"/>
                <w:color w:val="010101"/>
                <w:w w:val="89"/>
              </w:rPr>
              <w:t>SECTION 2.16. Use of Proceeds</w:t>
            </w:r>
          </w:p>
        </w:tc>
        <w:tc>
          <w:tcPr>
            <w:tcW w:w="220" w:type="dxa"/>
            <w:vAlign w:val="bottom"/>
            <w:gridSpan w:val="2"/>
            <w:vMerge w:val="continue"/>
          </w:tcPr>
          <w:p>
            <w:pPr>
              <w:spacing w:after="0"/>
              <w:rPr>
                <w:sz w:val="12"/>
                <w:szCs w:val="12"/>
                <w:color w:val="auto"/>
              </w:rPr>
            </w:pPr>
          </w:p>
        </w:tc>
        <w:tc>
          <w:tcPr>
            <w:tcW w:w="3540" w:type="dxa"/>
            <w:vAlign w:val="bottom"/>
            <w:gridSpan w:val="28"/>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gridSpan w:val="6"/>
            <w:vMerge w:val="restart"/>
          </w:tcPr>
          <w:p>
            <w:pPr>
              <w:ind w:left="480"/>
              <w:spacing w:after="0" w:line="161" w:lineRule="exact"/>
              <w:rPr>
                <w:sz w:val="20"/>
                <w:szCs w:val="20"/>
                <w:color w:val="auto"/>
              </w:rPr>
            </w:pPr>
            <w:r>
              <w:rPr>
                <w:rFonts w:ascii="Arial" w:cs="Arial" w:eastAsia="Arial" w:hAnsi="Arial"/>
                <w:sz w:val="16"/>
                <w:szCs w:val="16"/>
                <w:color w:val="010101"/>
                <w:w w:val="92"/>
              </w:rPr>
              <w:t>2.18. Defaulting Lenders</w:t>
            </w:r>
          </w:p>
        </w:tc>
        <w:tc>
          <w:tcPr>
            <w:tcW w:w="240" w:type="dxa"/>
            <w:vAlign w:val="bottom"/>
          </w:tcPr>
          <w:p>
            <w:pPr>
              <w:spacing w:after="0" w:line="20" w:lineRule="exact"/>
              <w:rPr>
                <w:sz w:val="1"/>
                <w:szCs w:val="1"/>
                <w:color w:val="auto"/>
              </w:rPr>
            </w:pPr>
          </w:p>
        </w:tc>
        <w:tc>
          <w:tcPr>
            <w:tcW w:w="220" w:type="dxa"/>
            <w:vAlign w:val="bottom"/>
            <w:gridSpan w:val="2"/>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58</w:t>
            </w:r>
          </w:p>
        </w:tc>
        <w:tc>
          <w:tcPr>
            <w:tcW w:w="700" w:type="dxa"/>
            <w:vAlign w:val="bottom"/>
            <w:gridSpan w:val="12"/>
            <w:vMerge w:val="restart"/>
          </w:tcPr>
          <w:p>
            <w:pPr>
              <w:jc w:val="right"/>
              <w:spacing w:after="0" w:line="161" w:lineRule="exact"/>
              <w:rPr>
                <w:sz w:val="20"/>
                <w:szCs w:val="20"/>
                <w:color w:val="auto"/>
              </w:rPr>
            </w:pPr>
            <w:r>
              <w:rPr>
                <w:rFonts w:ascii="Arial" w:cs="Arial" w:eastAsia="Arial" w:hAnsi="Arial"/>
                <w:sz w:val="16"/>
                <w:szCs w:val="16"/>
                <w:b w:val="1"/>
                <w:bCs w:val="1"/>
                <w:color w:val="0000FF"/>
                <w:w w:val="72"/>
              </w:rPr>
              <w:t xml:space="preserve">62 </w:t>
            </w:r>
            <w:r>
              <w:rPr>
                <w:rFonts w:ascii="Arial" w:cs="Arial" w:eastAsia="Arial" w:hAnsi="Arial"/>
                <w:sz w:val="16"/>
                <w:szCs w:val="16"/>
                <w:color w:val="010101"/>
                <w:w w:val="72"/>
              </w:rPr>
              <w:t>SECTION</w:t>
            </w:r>
          </w:p>
        </w:tc>
        <w:tc>
          <w:tcPr>
            <w:tcW w:w="100" w:type="dxa"/>
            <w:vAlign w:val="bottom"/>
            <w:tcBorders>
              <w:right w:val="single" w:sz="8" w:color="FF0000"/>
            </w:tcBorders>
            <w:gridSpan w:val="2"/>
            <w:shd w:val="clear" w:color="auto" w:fill="FF0000"/>
          </w:tcPr>
          <w:p>
            <w:pPr>
              <w:spacing w:after="0" w:line="20" w:lineRule="exact"/>
              <w:rPr>
                <w:sz w:val="1"/>
                <w:szCs w:val="1"/>
                <w:color w:val="auto"/>
              </w:rPr>
            </w:pPr>
          </w:p>
        </w:tc>
        <w:tc>
          <w:tcPr>
            <w:tcW w:w="60" w:type="dxa"/>
            <w:vAlign w:val="bottom"/>
            <w:tcBorders>
              <w:right w:val="single" w:sz="8" w:color="FF0000"/>
            </w:tcBorders>
            <w:shd w:val="clear" w:color="auto" w:fill="FF0000"/>
          </w:tcPr>
          <w:p>
            <w:pPr>
              <w:spacing w:after="0" w:line="20" w:lineRule="exact"/>
              <w:rPr>
                <w:sz w:val="1"/>
                <w:szCs w:val="1"/>
                <w:color w:val="auto"/>
              </w:rPr>
            </w:pPr>
          </w:p>
        </w:tc>
        <w:tc>
          <w:tcPr>
            <w:tcW w:w="320" w:type="dxa"/>
            <w:vAlign w:val="bottom"/>
            <w:tcBorders>
              <w:left w:val="single" w:sz="8" w:color="FF0000"/>
              <w:right w:val="single" w:sz="8" w:color="0000FF"/>
            </w:tcBorders>
            <w:gridSpan w:val="3"/>
            <w:shd w:val="clear" w:color="auto" w:fill="FF0000"/>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0"/>
          </w:tcPr>
          <w:p>
            <w:pPr>
              <w:spacing w:after="0" w:line="20" w:lineRule="exact"/>
              <w:rPr>
                <w:sz w:val="1"/>
                <w:szCs w:val="1"/>
                <w:color w:val="auto"/>
              </w:rPr>
            </w:pPr>
          </w:p>
        </w:tc>
        <w:tc>
          <w:tcPr>
            <w:tcW w:w="100" w:type="dxa"/>
            <w:vAlign w:val="bottom"/>
            <w:tcBorders>
              <w:left w:val="single" w:sz="8" w:color="FF0000"/>
              <w:right w:val="single" w:sz="8" w:color="FF0000"/>
            </w:tcBorders>
            <w:shd w:val="clear" w:color="auto" w:fill="FF0000"/>
          </w:tcPr>
          <w:p>
            <w:pPr>
              <w:spacing w:after="0" w:line="20" w:lineRule="exact"/>
              <w:rPr>
                <w:sz w:val="1"/>
                <w:szCs w:val="1"/>
                <w:color w:val="auto"/>
              </w:rPr>
            </w:pPr>
          </w:p>
        </w:tc>
        <w:tc>
          <w:tcPr>
            <w:tcW w:w="220" w:type="dxa"/>
            <w:vAlign w:val="bottom"/>
            <w:tcBorders>
              <w:left w:val="single" w:sz="8" w:color="FF0000"/>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3200" w:type="dxa"/>
            <w:vAlign w:val="bottom"/>
            <w:tcBorders>
              <w:right w:val="single" w:sz="8" w:color="010101"/>
            </w:tcBorders>
            <w:gridSpan w:val="24"/>
          </w:tcPr>
          <w:p>
            <w:pPr>
              <w:spacing w:after="0" w:line="20" w:lineRule="exact"/>
              <w:rPr>
                <w:sz w:val="1"/>
                <w:szCs w:val="1"/>
                <w:color w:val="auto"/>
              </w:rPr>
            </w:pPr>
          </w:p>
        </w:tc>
        <w:tc>
          <w:tcPr>
            <w:tcW w:w="100" w:type="dxa"/>
            <w:vAlign w:val="bottom"/>
            <w:shd w:val="clear" w:color="auto" w:fill="010101"/>
          </w:tcPr>
          <w:p>
            <w:pPr>
              <w:spacing w:after="0" w:line="20" w:lineRule="exact"/>
              <w:rPr>
                <w:sz w:val="1"/>
                <w:szCs w:val="1"/>
                <w:color w:val="auto"/>
              </w:rPr>
            </w:pPr>
          </w:p>
        </w:tc>
        <w:tc>
          <w:tcPr>
            <w:tcW w:w="1140" w:type="dxa"/>
            <w:vAlign w:val="bottom"/>
            <w:tcBorders>
              <w:left w:val="single" w:sz="8" w:color="010101"/>
            </w:tcBorders>
            <w:gridSpan w:val="7"/>
            <w:shd w:val="clear" w:color="auto" w:fill="01010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00" w:type="dxa"/>
            <w:vAlign w:val="bottom"/>
            <w:gridSpan w:val="1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3"/>
          </w:tcPr>
          <w:p>
            <w:pPr>
              <w:jc w:val="right"/>
              <w:spacing w:after="0" w:line="142" w:lineRule="exact"/>
              <w:rPr>
                <w:sz w:val="20"/>
                <w:szCs w:val="20"/>
                <w:color w:val="auto"/>
              </w:rPr>
            </w:pPr>
            <w:r>
              <w:rPr>
                <w:rFonts w:ascii="Arial" w:cs="Arial" w:eastAsia="Arial" w:hAnsi="Arial"/>
                <w:sz w:val="15"/>
                <w:szCs w:val="15"/>
                <w:color w:val="010101"/>
                <w:w w:val="71"/>
              </w:rPr>
              <w:t>2.19.</w:t>
            </w:r>
          </w:p>
        </w:tc>
        <w:tc>
          <w:tcPr>
            <w:tcW w:w="2400" w:type="dxa"/>
            <w:vAlign w:val="bottom"/>
            <w:gridSpan w:val="21"/>
          </w:tcPr>
          <w:p>
            <w:pPr>
              <w:jc w:val="right"/>
              <w:spacing w:after="0" w:line="142" w:lineRule="exact"/>
              <w:rPr>
                <w:sz w:val="20"/>
                <w:szCs w:val="20"/>
                <w:color w:val="auto"/>
              </w:rPr>
            </w:pPr>
            <w:r>
              <w:rPr>
                <w:rFonts w:ascii="Arial" w:cs="Arial" w:eastAsia="Arial" w:hAnsi="Arial"/>
                <w:sz w:val="16"/>
                <w:szCs w:val="16"/>
                <w:color w:val="010101"/>
                <w:w w:val="88"/>
              </w:rPr>
              <w:t>Mitigation of Obligations; Replacement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10"/>
          </w:tcPr>
          <w:p>
            <w:pPr>
              <w:jc w:val="right"/>
              <w:ind w:right="240"/>
              <w:spacing w:after="0" w:line="142" w:lineRule="exact"/>
              <w:rPr>
                <w:sz w:val="20"/>
                <w:szCs w:val="20"/>
                <w:color w:val="auto"/>
              </w:rPr>
            </w:pPr>
            <w:r>
              <w:rPr>
                <w:rFonts w:ascii="Arial" w:cs="Arial" w:eastAsia="Arial" w:hAnsi="Arial"/>
                <w:sz w:val="16"/>
                <w:szCs w:val="16"/>
                <w:color w:val="010101"/>
                <w:w w:val="95"/>
              </w:rPr>
              <w:t>of Lenders</w:t>
            </w: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78"/>
              </w:rPr>
              <w:t>60</w:t>
            </w:r>
          </w:p>
        </w:tc>
        <w:tc>
          <w:tcPr>
            <w:tcW w:w="3120" w:type="dxa"/>
            <w:vAlign w:val="bottom"/>
            <w:gridSpan w:val="21"/>
          </w:tcPr>
          <w:p>
            <w:pPr>
              <w:spacing w:after="0" w:line="142" w:lineRule="exact"/>
              <w:rPr>
                <w:sz w:val="20"/>
                <w:szCs w:val="20"/>
                <w:color w:val="auto"/>
              </w:rPr>
            </w:pPr>
            <w:r>
              <w:rPr>
                <w:rFonts w:ascii="Arial" w:cs="Arial" w:eastAsia="Arial" w:hAnsi="Arial"/>
                <w:sz w:val="16"/>
                <w:szCs w:val="16"/>
                <w:b w:val="1"/>
                <w:bCs w:val="1"/>
                <w:color w:val="0000FF"/>
                <w:w w:val="99"/>
              </w:rPr>
              <w:t xml:space="preserve">64 </w:t>
            </w:r>
            <w:r>
              <w:rPr>
                <w:rFonts w:ascii="Arial" w:cs="Arial" w:eastAsia="Arial" w:hAnsi="Arial"/>
                <w:sz w:val="16"/>
                <w:szCs w:val="16"/>
                <w:color w:val="010101"/>
                <w:w w:val="99"/>
              </w:rPr>
              <w:t>SECTION 2.20. Changed Circumstances</w:t>
            </w: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78"/>
              </w:rPr>
              <w:t>61</w:t>
            </w:r>
          </w:p>
        </w:tc>
        <w:tc>
          <w:tcPr>
            <w:tcW w:w="160" w:type="dxa"/>
            <w:vAlign w:val="bottom"/>
          </w:tcPr>
          <w:p>
            <w:pPr>
              <w:jc w:val="right"/>
              <w:spacing w:after="0" w:line="142" w:lineRule="exact"/>
              <w:rPr>
                <w:sz w:val="20"/>
                <w:szCs w:val="20"/>
                <w:color w:val="auto"/>
              </w:rPr>
            </w:pPr>
            <w:r>
              <w:rPr>
                <w:rFonts w:ascii="Arial" w:cs="Arial" w:eastAsia="Arial" w:hAnsi="Arial"/>
                <w:sz w:val="16"/>
                <w:szCs w:val="16"/>
                <w:b w:val="1"/>
                <w:bCs w:val="1"/>
                <w:color w:val="0000FF"/>
                <w:w w:val="78"/>
              </w:rPr>
              <w:t>65</w:t>
            </w:r>
          </w:p>
        </w:tc>
        <w:tc>
          <w:tcPr>
            <w:tcW w:w="0" w:type="dxa"/>
            <w:vAlign w:val="bottom"/>
          </w:tcPr>
          <w:p>
            <w:pPr>
              <w:spacing w:after="0"/>
              <w:rPr>
                <w:sz w:val="1"/>
                <w:szCs w:val="1"/>
                <w:color w:val="auto"/>
              </w:rPr>
            </w:pPr>
          </w:p>
        </w:tc>
      </w:tr>
      <w:tr>
        <w:trPr>
          <w:trHeight w:val="20"/>
        </w:trPr>
        <w:tc>
          <w:tcPr>
            <w:tcW w:w="2580" w:type="dxa"/>
            <w:vAlign w:val="bottom"/>
            <w:tcBorders>
              <w:right w:val="single" w:sz="8" w:color="0000FF"/>
            </w:tcBorders>
            <w:gridSpan w:val="9"/>
          </w:tcPr>
          <w:p>
            <w:pPr>
              <w:spacing w:after="0" w:line="20" w:lineRule="exact"/>
              <w:rPr>
                <w:sz w:val="1"/>
                <w:szCs w:val="1"/>
                <w:color w:val="auto"/>
              </w:rPr>
            </w:pPr>
          </w:p>
        </w:tc>
        <w:tc>
          <w:tcPr>
            <w:tcW w:w="360" w:type="dxa"/>
            <w:vAlign w:val="bottom"/>
            <w:gridSpan w:val="7"/>
            <w:shd w:val="clear" w:color="auto" w:fill="0000FF"/>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Arial" w:cs="Arial" w:eastAsia="Arial" w:hAnsi="Arial"/>
                <w:sz w:val="7"/>
                <w:szCs w:val="7"/>
                <w:b w:val="1"/>
                <w:bCs w:val="1"/>
                <w:color w:val="0000FF"/>
                <w:w w:val="76"/>
              </w:rPr>
              <w:t>70</w:t>
            </w:r>
          </w:p>
        </w:tc>
        <w:tc>
          <w:tcPr>
            <w:tcW w:w="8000" w:type="dxa"/>
            <w:vAlign w:val="bottom"/>
            <w:gridSpan w:val="6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gridSpan w:val="12"/>
          </w:tcPr>
          <w:p>
            <w:pPr>
              <w:ind w:left="480"/>
              <w:spacing w:after="0" w:line="142" w:lineRule="exact"/>
              <w:rPr>
                <w:sz w:val="20"/>
                <w:szCs w:val="20"/>
                <w:color w:val="auto"/>
              </w:rPr>
            </w:pPr>
            <w:r>
              <w:rPr>
                <w:rFonts w:ascii="Arial" w:cs="Arial" w:eastAsia="Arial" w:hAnsi="Arial"/>
                <w:sz w:val="16"/>
                <w:szCs w:val="16"/>
                <w:color w:val="010101"/>
                <w:w w:val="91"/>
              </w:rPr>
              <w:t>SECTION 2.21. Cash Collateral</w:t>
            </w:r>
          </w:p>
        </w:tc>
        <w:tc>
          <w:tcPr>
            <w:tcW w:w="160" w:type="dxa"/>
            <w:vAlign w:val="bottom"/>
            <w:gridSpan w:val="4"/>
          </w:tcPr>
          <w:p>
            <w:pPr>
              <w:jc w:val="center"/>
              <w:spacing w:after="0" w:line="142" w:lineRule="exact"/>
              <w:rPr>
                <w:sz w:val="20"/>
                <w:szCs w:val="20"/>
                <w:color w:val="auto"/>
              </w:rPr>
            </w:pPr>
            <w:r>
              <w:rPr>
                <w:rFonts w:ascii="Arial" w:cs="Arial" w:eastAsia="Arial" w:hAnsi="Arial"/>
                <w:sz w:val="16"/>
                <w:szCs w:val="16"/>
                <w:color w:val="FF0000"/>
                <w:strike w:val="1"/>
                <w:w w:val="89"/>
              </w:rPr>
              <w:t>67</w:t>
            </w:r>
          </w:p>
        </w:tc>
        <w:tc>
          <w:tcPr>
            <w:tcW w:w="100" w:type="dxa"/>
            <w:vAlign w:val="bottom"/>
            <w:gridSpan w:val="2"/>
            <w:vMerge w:val="continue"/>
          </w:tcPr>
          <w:p>
            <w:pPr>
              <w:spacing w:after="0"/>
              <w:rPr>
                <w:sz w:val="12"/>
                <w:szCs w:val="12"/>
                <w:color w:val="auto"/>
              </w:rPr>
            </w:pPr>
          </w:p>
        </w:tc>
        <w:tc>
          <w:tcPr>
            <w:tcW w:w="1900" w:type="dxa"/>
            <w:vAlign w:val="bottom"/>
            <w:gridSpan w:val="19"/>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78"/>
              </w:rPr>
              <w:t>71</w:t>
            </w:r>
          </w:p>
        </w:tc>
        <w:tc>
          <w:tcPr>
            <w:tcW w:w="5940" w:type="dxa"/>
            <w:vAlign w:val="bottom"/>
            <w:gridSpan w:val="4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Borders>
              <w:right w:val="single" w:sz="8" w:color="FF0000"/>
            </w:tcBorders>
            <w:gridSpan w:val="9"/>
          </w:tcPr>
          <w:p>
            <w:pPr>
              <w:spacing w:after="0" w:line="20" w:lineRule="exact"/>
              <w:rPr>
                <w:sz w:val="1"/>
                <w:szCs w:val="1"/>
                <w:color w:val="auto"/>
              </w:rPr>
            </w:pPr>
          </w:p>
        </w:tc>
        <w:tc>
          <w:tcPr>
            <w:tcW w:w="200" w:type="dxa"/>
            <w:vAlign w:val="bottom"/>
            <w:tcBorders>
              <w:right w:val="single" w:sz="8" w:color="FF0000"/>
            </w:tcBorders>
            <w:gridSpan w:val="3"/>
            <w:shd w:val="clear" w:color="auto" w:fill="FF0000"/>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900" w:type="dxa"/>
            <w:vAlign w:val="bottom"/>
            <w:tcBorders>
              <w:left w:val="single" w:sz="8" w:color="0000FF"/>
            </w:tcBorders>
            <w:gridSpan w:val="19"/>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594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580" w:type="dxa"/>
            <w:vAlign w:val="bottom"/>
            <w:gridSpan w:val="35"/>
          </w:tcPr>
          <w:p>
            <w:pPr>
              <w:spacing w:after="0"/>
              <w:rPr>
                <w:sz w:val="20"/>
                <w:szCs w:val="20"/>
                <w:color w:val="auto"/>
              </w:rPr>
            </w:pPr>
            <w:r>
              <w:rPr>
                <w:rFonts w:ascii="Arial" w:cs="Arial" w:eastAsia="Arial" w:hAnsi="Arial"/>
                <w:sz w:val="16"/>
                <w:szCs w:val="16"/>
                <w:color w:val="010101"/>
                <w:w w:val="97"/>
              </w:rPr>
              <w:t>ARTICLE III CONDITIONS TO EFFECTIVENESS AND LENDING</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FF0000"/>
                <w:strike w:val="1"/>
              </w:rPr>
              <w:t>67</w:t>
            </w:r>
          </w:p>
        </w:tc>
        <w:tc>
          <w:tcPr>
            <w:tcW w:w="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gridSpan w:val="36"/>
          </w:tcPr>
          <w:p>
            <w:pPr>
              <w:spacing w:after="0" w:line="20" w:lineRule="exact"/>
              <w:rPr>
                <w:sz w:val="1"/>
                <w:szCs w:val="1"/>
                <w:color w:val="auto"/>
              </w:rPr>
            </w:pPr>
          </w:p>
        </w:tc>
        <w:tc>
          <w:tcPr>
            <w:tcW w:w="380" w:type="dxa"/>
            <w:vAlign w:val="bottom"/>
            <w:tcBorders>
              <w:left w:val="single" w:sz="8" w:color="010101"/>
              <w:right w:val="single" w:sz="8" w:color="0000FF"/>
            </w:tcBorders>
            <w:gridSpan w:val="3"/>
          </w:tcPr>
          <w:p>
            <w:pPr>
              <w:spacing w:after="0" w:line="20" w:lineRule="exact"/>
              <w:rPr>
                <w:sz w:val="1"/>
                <w:szCs w:val="1"/>
                <w:color w:val="auto"/>
              </w:rPr>
            </w:pPr>
          </w:p>
        </w:tc>
        <w:tc>
          <w:tcPr>
            <w:tcW w:w="594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40" w:type="dxa"/>
            <w:vAlign w:val="bottom"/>
            <w:gridSpan w:val="30"/>
          </w:tcPr>
          <w:p>
            <w:pPr>
              <w:ind w:left="480"/>
              <w:spacing w:after="0"/>
              <w:rPr>
                <w:sz w:val="20"/>
                <w:szCs w:val="20"/>
                <w:color w:val="auto"/>
              </w:rPr>
            </w:pPr>
            <w:r>
              <w:rPr>
                <w:rFonts w:ascii="Arial" w:cs="Arial" w:eastAsia="Arial" w:hAnsi="Arial"/>
                <w:sz w:val="16"/>
                <w:szCs w:val="16"/>
                <w:color w:val="010101"/>
                <w:w w:val="91"/>
              </w:rPr>
              <w:t>SECTION 3.01. Conditions Precedent to Effectiveness</w:t>
            </w:r>
          </w:p>
        </w:tc>
        <w:tc>
          <w:tcPr>
            <w:tcW w:w="20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FF0000"/>
                <w:strike w:val="1"/>
                <w:w w:val="78"/>
              </w:rPr>
              <w:t>67</w:t>
            </w:r>
          </w:p>
        </w:tc>
        <w:tc>
          <w:tcPr>
            <w:tcW w:w="5180" w:type="dxa"/>
            <w:vAlign w:val="bottom"/>
            <w:gridSpan w:val="43"/>
          </w:tcPr>
          <w:p>
            <w:pPr>
              <w:jc w:val="right"/>
              <w:ind w:right="140"/>
              <w:spacing w:after="0"/>
              <w:rPr>
                <w:sz w:val="20"/>
                <w:szCs w:val="20"/>
                <w:color w:val="auto"/>
              </w:rPr>
            </w:pPr>
            <w:r>
              <w:rPr>
                <w:rFonts w:ascii="Arial" w:cs="Arial" w:eastAsia="Arial" w:hAnsi="Arial"/>
                <w:sz w:val="16"/>
                <w:szCs w:val="16"/>
                <w:b w:val="1"/>
                <w:bCs w:val="1"/>
                <w:color w:val="0000FF"/>
                <w:w w:val="92"/>
              </w:rPr>
              <w:t xml:space="preserve">71 </w:t>
            </w:r>
            <w:r>
              <w:rPr>
                <w:rFonts w:ascii="Arial" w:cs="Arial" w:eastAsia="Arial" w:hAnsi="Arial"/>
                <w:sz w:val="16"/>
                <w:szCs w:val="16"/>
                <w:color w:val="010101"/>
                <w:w w:val="92"/>
              </w:rPr>
              <w:t>SECTION 3.02. Conditions Precedent to Each Borrowing, Letter of Credit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60" w:type="dxa"/>
            <w:vAlign w:val="bottom"/>
            <w:gridSpan w:val="26"/>
            <w:vMerge w:val="restart"/>
          </w:tcPr>
          <w:p>
            <w:pPr>
              <w:jc w:val="center"/>
              <w:ind w:left="639"/>
              <w:spacing w:after="0" w:line="161" w:lineRule="exact"/>
              <w:rPr>
                <w:sz w:val="20"/>
                <w:szCs w:val="20"/>
                <w:color w:val="auto"/>
              </w:rPr>
            </w:pPr>
            <w:r>
              <w:rPr>
                <w:rFonts w:ascii="Arial" w:cs="Arial" w:eastAsia="Arial" w:hAnsi="Arial"/>
                <w:sz w:val="16"/>
                <w:szCs w:val="16"/>
                <w:color w:val="010101"/>
                <w:w w:val="84"/>
              </w:rPr>
              <w:t>Issuance, Increase Date and Extension</w:t>
            </w:r>
          </w:p>
        </w:tc>
        <w:tc>
          <w:tcPr>
            <w:tcW w:w="200" w:type="dxa"/>
            <w:vAlign w:val="bottom"/>
            <w:tcBorders>
              <w:left w:val="single" w:sz="8" w:color="010101"/>
              <w:right w:val="single" w:sz="8" w:color="010101"/>
            </w:tcBorders>
            <w:shd w:val="clear" w:color="auto" w:fill="01010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12"/>
            <w:vMerge w:val="restart"/>
          </w:tcPr>
          <w:p>
            <w:pPr>
              <w:jc w:val="right"/>
              <w:ind w:right="19"/>
              <w:spacing w:after="0" w:line="161" w:lineRule="exact"/>
              <w:rPr>
                <w:sz w:val="20"/>
                <w:szCs w:val="20"/>
                <w:color w:val="auto"/>
              </w:rPr>
            </w:pPr>
            <w:r>
              <w:rPr>
                <w:rFonts w:ascii="Arial" w:cs="Arial" w:eastAsia="Arial" w:hAnsi="Arial"/>
                <w:sz w:val="16"/>
                <w:szCs w:val="16"/>
                <w:b w:val="1"/>
                <w:bCs w:val="1"/>
                <w:color w:val="0000FF"/>
                <w:w w:val="88"/>
              </w:rPr>
              <w:t xml:space="preserve">72 </w:t>
            </w:r>
            <w:r>
              <w:rPr>
                <w:rFonts w:ascii="Arial" w:cs="Arial" w:eastAsia="Arial" w:hAnsi="Arial"/>
                <w:sz w:val="16"/>
                <w:szCs w:val="16"/>
                <w:color w:val="010101"/>
                <w:w w:val="88"/>
              </w:rPr>
              <w:t>SECTION 3.03.</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jc w:val="right"/>
              <w:spacing w:after="0" w:line="161" w:lineRule="exact"/>
              <w:rPr>
                <w:sz w:val="20"/>
                <w:szCs w:val="20"/>
                <w:color w:val="auto"/>
              </w:rPr>
            </w:pPr>
            <w:r>
              <w:rPr>
                <w:rFonts w:ascii="Arial" w:cs="Arial" w:eastAsia="Arial" w:hAnsi="Arial"/>
                <w:sz w:val="15"/>
                <w:szCs w:val="15"/>
                <w:b w:val="1"/>
                <w:bCs w:val="1"/>
                <w:color w:val="0000FF"/>
                <w:w w:val="71"/>
              </w:rPr>
              <w:t>73</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060" w:type="dxa"/>
            <w:vAlign w:val="bottom"/>
            <w:gridSpan w:val="26"/>
            <w:vMerge w:val="continue"/>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6"/>
                <w:szCs w:val="16"/>
                <w:color w:val="010101"/>
                <w:w w:val="82"/>
              </w:rPr>
              <w:t>Date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89"/>
              </w:rPr>
              <w:t>69</w:t>
            </w:r>
          </w:p>
        </w:tc>
        <w:tc>
          <w:tcPr>
            <w:tcW w:w="1300" w:type="dxa"/>
            <w:vAlign w:val="bottom"/>
            <w:gridSpan w:val="12"/>
            <w:vMerge w:val="continue"/>
          </w:tcPr>
          <w:p>
            <w:pPr>
              <w:spacing w:after="0"/>
              <w:rPr>
                <w:sz w:val="12"/>
                <w:szCs w:val="12"/>
                <w:color w:val="auto"/>
              </w:rPr>
            </w:pPr>
          </w:p>
        </w:tc>
        <w:tc>
          <w:tcPr>
            <w:tcW w:w="2560" w:type="dxa"/>
            <w:vAlign w:val="bottom"/>
            <w:gridSpan w:val="20"/>
          </w:tcPr>
          <w:p>
            <w:pPr>
              <w:ind w:left="60"/>
              <w:spacing w:after="0" w:line="142" w:lineRule="exact"/>
              <w:rPr>
                <w:sz w:val="20"/>
                <w:szCs w:val="20"/>
                <w:color w:val="auto"/>
              </w:rPr>
            </w:pPr>
            <w:r>
              <w:rPr>
                <w:rFonts w:ascii="Arial" w:cs="Arial" w:eastAsia="Arial" w:hAnsi="Arial"/>
                <w:sz w:val="16"/>
                <w:szCs w:val="16"/>
                <w:color w:val="010101"/>
                <w:w w:val="99"/>
              </w:rPr>
              <w:t>Determinations Under Section 3.01</w:t>
            </w:r>
          </w:p>
        </w:tc>
        <w:tc>
          <w:tcPr>
            <w:tcW w:w="18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78"/>
              </w:rPr>
              <w:t>70</w:t>
            </w: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8"/>
            <w:vMerge w:val="restart"/>
          </w:tcPr>
          <w:p>
            <w:pPr>
              <w:spacing w:after="0"/>
              <w:rPr>
                <w:sz w:val="20"/>
                <w:szCs w:val="20"/>
                <w:color w:val="auto"/>
              </w:rPr>
            </w:pPr>
            <w:r>
              <w:rPr>
                <w:rFonts w:ascii="Arial" w:cs="Arial" w:eastAsia="Arial" w:hAnsi="Arial"/>
                <w:sz w:val="16"/>
                <w:szCs w:val="16"/>
                <w:color w:val="010101"/>
                <w:w w:val="95"/>
              </w:rPr>
              <w:t>ARTICLE IV REPRESENTATIONS AND WARRANTIES</w:t>
            </w:r>
          </w:p>
        </w:tc>
        <w:tc>
          <w:tcPr>
            <w:tcW w:w="200" w:type="dxa"/>
            <w:vAlign w:val="bottom"/>
            <w:gridSpan w:val="2"/>
            <w:vMerge w:val="restart"/>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FF0000"/>
                <w:strike w:val="1"/>
                <w:w w:val="89"/>
              </w:rPr>
              <w:t>70</w:t>
            </w:r>
          </w:p>
        </w:tc>
        <w:tc>
          <w:tcPr>
            <w:tcW w:w="140" w:type="dxa"/>
            <w:vAlign w:val="bottom"/>
            <w:vMerge w:val="restart"/>
          </w:tcPr>
          <w:p>
            <w:pPr>
              <w:spacing w:after="0"/>
              <w:rPr>
                <w:sz w:val="20"/>
                <w:szCs w:val="20"/>
                <w:color w:val="auto"/>
              </w:rPr>
            </w:pPr>
            <w:r>
              <w:rPr>
                <w:rFonts w:ascii="Arial" w:cs="Arial" w:eastAsia="Arial" w:hAnsi="Arial"/>
                <w:sz w:val="15"/>
                <w:szCs w:val="15"/>
                <w:b w:val="1"/>
                <w:bCs w:val="1"/>
                <w:color w:val="0000FF"/>
                <w:w w:val="71"/>
              </w:rPr>
              <w:t>74</w:t>
            </w:r>
          </w:p>
        </w:tc>
        <w:tc>
          <w:tcPr>
            <w:tcW w:w="180" w:type="dxa"/>
            <w:vAlign w:val="bottom"/>
            <w:tcBorders>
              <w:right w:val="single" w:sz="8" w:color="FF0000"/>
            </w:tcBorders>
            <w:gridSpan w:val="2"/>
          </w:tcPr>
          <w:p>
            <w:pPr>
              <w:spacing w:after="0" w:line="20" w:lineRule="exact"/>
              <w:rPr>
                <w:sz w:val="1"/>
                <w:szCs w:val="1"/>
                <w:color w:val="auto"/>
              </w:rPr>
            </w:pPr>
          </w:p>
        </w:tc>
        <w:tc>
          <w:tcPr>
            <w:tcW w:w="380" w:type="dxa"/>
            <w:vAlign w:val="bottom"/>
            <w:tcBorders>
              <w:right w:val="single" w:sz="8" w:color="0000FF"/>
            </w:tcBorders>
            <w:gridSpan w:val="3"/>
            <w:shd w:val="clear" w:color="auto" w:fill="FF0000"/>
          </w:tcPr>
          <w:p>
            <w:pPr>
              <w:spacing w:after="0" w:line="20" w:lineRule="exact"/>
              <w:rPr>
                <w:sz w:val="1"/>
                <w:szCs w:val="1"/>
                <w:color w:val="auto"/>
              </w:rPr>
            </w:pPr>
          </w:p>
        </w:tc>
        <w:tc>
          <w:tcPr>
            <w:tcW w:w="3680" w:type="dxa"/>
            <w:vAlign w:val="bottom"/>
            <w:tcBorders>
              <w:right w:val="single" w:sz="8" w:color="FF0000"/>
            </w:tcBorders>
            <w:gridSpan w:val="31"/>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FF0000"/>
          </w:tcPr>
          <w:p>
            <w:pPr>
              <w:spacing w:after="0" w:line="20" w:lineRule="exact"/>
              <w:rPr>
                <w:sz w:val="1"/>
                <w:szCs w:val="1"/>
                <w:color w:val="auto"/>
              </w:rPr>
            </w:pPr>
          </w:p>
        </w:tc>
        <w:tc>
          <w:tcPr>
            <w:tcW w:w="2060" w:type="dxa"/>
            <w:vAlign w:val="bottom"/>
            <w:gridSpan w:val="1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840" w:type="dxa"/>
            <w:vAlign w:val="bottom"/>
            <w:gridSpan w:val="28"/>
            <w:vMerge w:val="continue"/>
          </w:tcPr>
          <w:p>
            <w:pPr>
              <w:spacing w:after="0"/>
              <w:rPr>
                <w:sz w:val="24"/>
                <w:szCs w:val="24"/>
                <w:color w:val="auto"/>
              </w:rPr>
            </w:pPr>
          </w:p>
        </w:tc>
        <w:tc>
          <w:tcPr>
            <w:tcW w:w="200" w:type="dxa"/>
            <w:vAlign w:val="bottom"/>
            <w:tcBorders>
              <w:bottom w:val="single" w:sz="8" w:color="FF0000"/>
            </w:tcBorders>
            <w:gridSpan w:val="2"/>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40" w:type="dxa"/>
            <w:vAlign w:val="bottom"/>
            <w:tcBorders>
              <w:bottom w:val="single" w:sz="8" w:color="0000FF"/>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34"/>
            <w:vMerge w:val="restart"/>
          </w:tcPr>
          <w:p>
            <w:pPr>
              <w:jc w:val="right"/>
              <w:ind w:right="200"/>
              <w:spacing w:after="0"/>
              <w:rPr>
                <w:sz w:val="20"/>
                <w:szCs w:val="20"/>
                <w:color w:val="auto"/>
              </w:rPr>
            </w:pPr>
            <w:r>
              <w:rPr>
                <w:rFonts w:ascii="Arial" w:cs="Arial" w:eastAsia="Arial" w:hAnsi="Arial"/>
                <w:sz w:val="16"/>
                <w:szCs w:val="16"/>
                <w:b w:val="1"/>
                <w:bCs w:val="1"/>
                <w:color w:val="0000FF"/>
                <w:w w:val="94"/>
              </w:rPr>
              <w:t xml:space="preserve">74 </w:t>
            </w:r>
            <w:r>
              <w:rPr>
                <w:rFonts w:ascii="Arial" w:cs="Arial" w:eastAsia="Arial" w:hAnsi="Arial"/>
                <w:sz w:val="16"/>
                <w:szCs w:val="16"/>
                <w:color w:val="010101"/>
                <w:w w:val="94"/>
              </w:rPr>
              <w:t>ARTICLE V COVENANTS OF THE CREDIT PARTIES</w:t>
            </w:r>
          </w:p>
        </w:tc>
        <w:tc>
          <w:tcPr>
            <w:tcW w:w="2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0000FF"/>
                <w:w w:val="71"/>
              </w:rPr>
              <w:t>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100" w:type="dxa"/>
            <w:vAlign w:val="bottom"/>
            <w:gridSpan w:val="39"/>
          </w:tcPr>
          <w:p>
            <w:pPr>
              <w:ind w:left="480"/>
              <w:spacing w:after="0"/>
              <w:rPr>
                <w:sz w:val="20"/>
                <w:szCs w:val="20"/>
                <w:color w:val="auto"/>
              </w:rPr>
            </w:pPr>
            <w:r>
              <w:rPr>
                <w:rFonts w:ascii="Arial" w:cs="Arial" w:eastAsia="Arial" w:hAnsi="Arial"/>
                <w:sz w:val="16"/>
                <w:szCs w:val="16"/>
                <w:color w:val="010101"/>
                <w:w w:val="92"/>
              </w:rPr>
              <w:t>SECTION 4.01.  Representations and Warranties of the Credit Parties</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FF0000"/>
                <w:strike w:val="1"/>
                <w:w w:val="78"/>
              </w:rPr>
              <w:t>70</w:t>
            </w:r>
          </w:p>
        </w:tc>
        <w:tc>
          <w:tcPr>
            <w:tcW w:w="4100" w:type="dxa"/>
            <w:vAlign w:val="bottom"/>
            <w:gridSpan w:val="34"/>
            <w:vMerge w:val="continue"/>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FF0000"/>
                <w:strike w:val="1"/>
                <w:w w:val="78"/>
              </w:rPr>
              <w:t>74</w:t>
            </w:r>
          </w:p>
        </w:tc>
        <w:tc>
          <w:tcPr>
            <w:tcW w:w="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00" w:type="dxa"/>
            <w:vAlign w:val="bottom"/>
            <w:tcBorders>
              <w:right w:val="single" w:sz="8" w:color="FF0000"/>
            </w:tcBorders>
            <w:gridSpan w:val="39"/>
          </w:tcPr>
          <w:p>
            <w:pPr>
              <w:spacing w:after="0" w:line="20" w:lineRule="exact"/>
              <w:rPr>
                <w:sz w:val="1"/>
                <w:szCs w:val="1"/>
                <w:color w:val="auto"/>
              </w:rPr>
            </w:pPr>
          </w:p>
        </w:tc>
        <w:tc>
          <w:tcPr>
            <w:tcW w:w="380" w:type="dxa"/>
            <w:vAlign w:val="bottom"/>
            <w:tcBorders>
              <w:left w:val="single" w:sz="8" w:color="FF0000"/>
              <w:right w:val="single" w:sz="8" w:color="0000FF"/>
            </w:tcBorders>
            <w:gridSpan w:val="3"/>
            <w:shd w:val="clear" w:color="auto" w:fill="FF0000"/>
          </w:tcPr>
          <w:p>
            <w:pPr>
              <w:spacing w:after="0" w:line="20" w:lineRule="exact"/>
              <w:rPr>
                <w:sz w:val="1"/>
                <w:szCs w:val="1"/>
                <w:color w:val="auto"/>
              </w:rPr>
            </w:pPr>
          </w:p>
        </w:tc>
        <w:tc>
          <w:tcPr>
            <w:tcW w:w="3940" w:type="dxa"/>
            <w:vAlign w:val="bottom"/>
            <w:tcBorders>
              <w:right w:val="single" w:sz="8" w:color="010101"/>
            </w:tcBorders>
            <w:gridSpan w:val="32"/>
            <w:shd w:val="clear" w:color="auto" w:fill="0000FF"/>
          </w:tcPr>
          <w:p>
            <w:pPr>
              <w:spacing w:after="0" w:line="20" w:lineRule="exact"/>
              <w:rPr>
                <w:sz w:val="1"/>
                <w:szCs w:val="1"/>
                <w:color w:val="auto"/>
              </w:rPr>
            </w:pPr>
          </w:p>
        </w:tc>
        <w:tc>
          <w:tcPr>
            <w:tcW w:w="160" w:type="dxa"/>
            <w:vAlign w:val="bottom"/>
            <w:tcBorders>
              <w:right w:val="single" w:sz="8" w:color="010101"/>
            </w:tcBorders>
            <w:gridSpan w:val="2"/>
            <w:shd w:val="clear" w:color="auto" w:fill="010101"/>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4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20" w:type="dxa"/>
            <w:vAlign w:val="bottom"/>
            <w:gridSpan w:val="19"/>
          </w:tcPr>
          <w:p>
            <w:pPr>
              <w:ind w:left="480"/>
              <w:spacing w:after="0"/>
              <w:rPr>
                <w:sz w:val="20"/>
                <w:szCs w:val="20"/>
                <w:color w:val="auto"/>
              </w:rPr>
            </w:pPr>
            <w:r>
              <w:rPr>
                <w:rFonts w:ascii="Arial" w:cs="Arial" w:eastAsia="Arial" w:hAnsi="Arial"/>
                <w:sz w:val="16"/>
                <w:szCs w:val="16"/>
                <w:color w:val="010101"/>
                <w:w w:val="96"/>
              </w:rPr>
              <w:t>SECTION 5.01. Affirmative Covenants</w:t>
            </w:r>
          </w:p>
        </w:tc>
        <w:tc>
          <w:tcPr>
            <w:tcW w:w="140" w:type="dxa"/>
            <w:vAlign w:val="bottom"/>
          </w:tcPr>
          <w:p>
            <w:pPr>
              <w:spacing w:after="0"/>
              <w:rPr>
                <w:sz w:val="21"/>
                <w:szCs w:val="21"/>
                <w:color w:val="auto"/>
              </w:rPr>
            </w:pPr>
          </w:p>
        </w:tc>
        <w:tc>
          <w:tcPr>
            <w:tcW w:w="180" w:type="dxa"/>
            <w:vAlign w:val="bottom"/>
            <w:gridSpan w:val="4"/>
          </w:tcPr>
          <w:p>
            <w:pPr>
              <w:jc w:val="right"/>
              <w:ind w:right="20"/>
              <w:spacing w:after="0"/>
              <w:rPr>
                <w:sz w:val="20"/>
                <w:szCs w:val="20"/>
                <w:color w:val="auto"/>
              </w:rPr>
            </w:pPr>
            <w:r>
              <w:rPr>
                <w:rFonts w:ascii="Arial" w:cs="Arial" w:eastAsia="Arial" w:hAnsi="Arial"/>
                <w:sz w:val="16"/>
                <w:szCs w:val="16"/>
                <w:color w:val="FF0000"/>
                <w:strike w:val="1"/>
                <w:w w:val="78"/>
              </w:rPr>
              <w:t>74</w:t>
            </w:r>
          </w:p>
        </w:tc>
        <w:tc>
          <w:tcPr>
            <w:tcW w:w="2700" w:type="dxa"/>
            <w:vAlign w:val="bottom"/>
            <w:gridSpan w:val="24"/>
          </w:tcPr>
          <w:p>
            <w:pPr>
              <w:spacing w:after="0"/>
              <w:rPr>
                <w:sz w:val="20"/>
                <w:szCs w:val="20"/>
                <w:color w:val="auto"/>
              </w:rPr>
            </w:pPr>
            <w:r>
              <w:rPr>
                <w:rFonts w:ascii="Arial" w:cs="Arial" w:eastAsia="Arial" w:hAnsi="Arial"/>
                <w:sz w:val="16"/>
                <w:szCs w:val="16"/>
                <w:b w:val="1"/>
                <w:bCs w:val="1"/>
                <w:color w:val="0000FF"/>
                <w:w w:val="94"/>
              </w:rPr>
              <w:t xml:space="preserve">77 </w:t>
            </w:r>
            <w:r>
              <w:rPr>
                <w:rFonts w:ascii="Arial" w:cs="Arial" w:eastAsia="Arial" w:hAnsi="Arial"/>
                <w:sz w:val="16"/>
                <w:szCs w:val="16"/>
                <w:color w:val="010101"/>
                <w:w w:val="94"/>
              </w:rPr>
              <w:t>SECTION 5.02. Negative Covenants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FF0000"/>
                <w:strike w:val="1"/>
              </w:rPr>
              <w:t>77</w:t>
            </w:r>
          </w:p>
        </w:tc>
        <w:tc>
          <w:tcPr>
            <w:tcW w:w="2720" w:type="dxa"/>
            <w:vAlign w:val="bottom"/>
            <w:gridSpan w:val="23"/>
          </w:tcPr>
          <w:p>
            <w:pPr>
              <w:jc w:val="right"/>
              <w:ind w:right="160"/>
              <w:spacing w:after="0"/>
              <w:rPr>
                <w:sz w:val="20"/>
                <w:szCs w:val="20"/>
                <w:color w:val="auto"/>
              </w:rPr>
            </w:pPr>
            <w:r>
              <w:rPr>
                <w:rFonts w:ascii="Arial" w:cs="Arial" w:eastAsia="Arial" w:hAnsi="Arial"/>
                <w:sz w:val="16"/>
                <w:szCs w:val="16"/>
                <w:b w:val="1"/>
                <w:bCs w:val="1"/>
                <w:color w:val="0000FF"/>
                <w:w w:val="89"/>
              </w:rPr>
              <w:t xml:space="preserve">81 </w:t>
            </w:r>
            <w:r>
              <w:rPr>
                <w:rFonts w:ascii="Arial" w:cs="Arial" w:eastAsia="Arial" w:hAnsi="Arial"/>
                <w:sz w:val="16"/>
                <w:szCs w:val="16"/>
                <w:color w:val="010101"/>
                <w:w w:val="89"/>
              </w:rPr>
              <w:t>SECTION 5.03. Financial Covenants</w:t>
            </w:r>
          </w:p>
        </w:tc>
        <w:tc>
          <w:tcPr>
            <w:tcW w:w="280" w:type="dxa"/>
            <w:vAlign w:val="bottom"/>
          </w:tcPr>
          <w:p>
            <w:pPr>
              <w:jc w:val="right"/>
              <w:spacing w:after="0"/>
              <w:rPr>
                <w:sz w:val="20"/>
                <w:szCs w:val="20"/>
                <w:color w:val="auto"/>
              </w:rPr>
            </w:pPr>
            <w:r>
              <w:rPr>
                <w:rFonts w:ascii="Arial" w:cs="Arial" w:eastAsia="Arial" w:hAnsi="Arial"/>
                <w:sz w:val="16"/>
                <w:szCs w:val="16"/>
                <w:color w:val="FF0000"/>
                <w:strike w:val="1"/>
              </w:rPr>
              <w:t>81</w:t>
            </w:r>
          </w:p>
        </w:tc>
        <w:tc>
          <w:tcPr>
            <w:tcW w:w="160" w:type="dxa"/>
            <w:vAlign w:val="bottom"/>
            <w:gridSpan w:val="2"/>
          </w:tcPr>
          <w:p>
            <w:pPr>
              <w:jc w:val="right"/>
              <w:ind w:right="80"/>
              <w:spacing w:after="0"/>
              <w:rPr>
                <w:sz w:val="20"/>
                <w:szCs w:val="20"/>
                <w:color w:val="auto"/>
              </w:rPr>
            </w:pPr>
            <w:r>
              <w:rPr>
                <w:rFonts w:ascii="Arial" w:cs="Arial" w:eastAsia="Arial" w:hAnsi="Arial"/>
                <w:sz w:val="7"/>
                <w:szCs w:val="7"/>
                <w:b w:val="1"/>
                <w:bCs w:val="1"/>
                <w:color w:val="0000FF"/>
                <w:w w:val="76"/>
              </w:rPr>
              <w:t>85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gridSpan w:val="18"/>
          </w:tcPr>
          <w:p>
            <w:pPr>
              <w:spacing w:after="0" w:line="20" w:lineRule="exact"/>
              <w:rPr>
                <w:sz w:val="1"/>
                <w:szCs w:val="1"/>
                <w:color w:val="auto"/>
              </w:rPr>
            </w:pPr>
          </w:p>
        </w:tc>
        <w:tc>
          <w:tcPr>
            <w:tcW w:w="220" w:type="dxa"/>
            <w:vAlign w:val="bottom"/>
            <w:tcBorders>
              <w:left w:val="single" w:sz="8" w:color="FF0000"/>
              <w:right w:val="single" w:sz="8" w:color="FF0000"/>
            </w:tcBorders>
            <w:gridSpan w:val="2"/>
            <w:shd w:val="clear" w:color="auto" w:fill="FF0000"/>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520" w:type="dxa"/>
            <w:vAlign w:val="bottom"/>
            <w:tcBorders>
              <w:left w:val="single" w:sz="8" w:color="0000FF"/>
              <w:right w:val="single" w:sz="8" w:color="010101"/>
            </w:tcBorders>
            <w:gridSpan w:val="22"/>
            <w:shd w:val="clear" w:color="auto" w:fill="0000FF"/>
          </w:tcPr>
          <w:p>
            <w:pPr>
              <w:spacing w:after="0" w:line="20" w:lineRule="exact"/>
              <w:rPr>
                <w:sz w:val="1"/>
                <w:szCs w:val="1"/>
                <w:color w:val="auto"/>
              </w:rPr>
            </w:pPr>
          </w:p>
        </w:tc>
        <w:tc>
          <w:tcPr>
            <w:tcW w:w="100" w:type="dxa"/>
            <w:vAlign w:val="bottom"/>
            <w:shd w:val="clear" w:color="auto" w:fill="010101"/>
          </w:tcPr>
          <w:p>
            <w:pPr>
              <w:spacing w:after="0" w:line="20" w:lineRule="exact"/>
              <w:rPr>
                <w:sz w:val="1"/>
                <w:szCs w:val="1"/>
                <w:color w:val="auto"/>
              </w:rPr>
            </w:pPr>
          </w:p>
        </w:tc>
        <w:tc>
          <w:tcPr>
            <w:tcW w:w="280" w:type="dxa"/>
            <w:vAlign w:val="bottom"/>
            <w:tcBorders>
              <w:left w:val="single" w:sz="8" w:color="010101"/>
              <w:right w:val="single" w:sz="8" w:color="0000FF"/>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22"/>
            <w:shd w:val="clear" w:color="auto" w:fill="0000FF"/>
          </w:tcPr>
          <w:p>
            <w:pPr>
              <w:spacing w:after="0" w:line="20" w:lineRule="exact"/>
              <w:rPr>
                <w:sz w:val="1"/>
                <w:szCs w:val="1"/>
                <w:color w:val="auto"/>
              </w:rPr>
            </w:pPr>
          </w:p>
        </w:tc>
        <w:tc>
          <w:tcPr>
            <w:tcW w:w="280" w:type="dxa"/>
            <w:vAlign w:val="bottom"/>
            <w:tcBorders>
              <w:left w:val="single" w:sz="8" w:color="010101"/>
              <w:right w:val="single" w:sz="8" w:color="0000FF"/>
            </w:tcBorders>
          </w:tcPr>
          <w:p>
            <w:pPr>
              <w:spacing w:after="0" w:line="20" w:lineRule="exact"/>
              <w:rPr>
                <w:sz w:val="1"/>
                <w:szCs w:val="1"/>
                <w:color w:val="auto"/>
              </w:rPr>
            </w:pPr>
          </w:p>
        </w:tc>
        <w:tc>
          <w:tcPr>
            <w:tcW w:w="1620" w:type="dxa"/>
            <w:vAlign w:val="bottom"/>
            <w:gridSpan w:val="11"/>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580" w:type="dxa"/>
            <w:vAlign w:val="bottom"/>
            <w:gridSpan w:val="9"/>
          </w:tcPr>
          <w:p>
            <w:pPr>
              <w:spacing w:after="0"/>
              <w:rPr>
                <w:sz w:val="20"/>
                <w:szCs w:val="20"/>
                <w:color w:val="auto"/>
              </w:rPr>
            </w:pPr>
            <w:r>
              <w:rPr>
                <w:rFonts w:ascii="Arial" w:cs="Arial" w:eastAsia="Arial" w:hAnsi="Arial"/>
                <w:sz w:val="16"/>
                <w:szCs w:val="16"/>
                <w:color w:val="010101"/>
                <w:w w:val="97"/>
              </w:rPr>
              <w:t>ARTICLE VI EVENTS OF DEFAULT</w:t>
            </w:r>
          </w:p>
        </w:tc>
        <w:tc>
          <w:tcPr>
            <w:tcW w:w="120" w:type="dxa"/>
            <w:vAlign w:val="bottom"/>
            <w:tcBorders>
              <w:bottom w:val="single" w:sz="8" w:color="010101"/>
            </w:tcBorders>
            <w:gridSpan w:val="2"/>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FF0000"/>
                <w:strike w:val="1"/>
                <w:w w:val="74"/>
              </w:rPr>
              <w:t>82</w:t>
            </w:r>
          </w:p>
        </w:tc>
        <w:tc>
          <w:tcPr>
            <w:tcW w:w="140" w:type="dxa"/>
            <w:vAlign w:val="bottom"/>
            <w:tcBorders>
              <w:bottom w:val="single" w:sz="8" w:color="0000FF"/>
            </w:tcBorders>
            <w:gridSpan w:val="4"/>
          </w:tcPr>
          <w:p>
            <w:pPr>
              <w:spacing w:after="0"/>
              <w:rPr>
                <w:sz w:val="20"/>
                <w:szCs w:val="20"/>
                <w:color w:val="auto"/>
              </w:rPr>
            </w:pPr>
            <w:r>
              <w:rPr>
                <w:rFonts w:ascii="Arial" w:cs="Arial" w:eastAsia="Arial" w:hAnsi="Arial"/>
                <w:sz w:val="12"/>
                <w:szCs w:val="12"/>
                <w:b w:val="1"/>
                <w:bCs w:val="1"/>
                <w:color w:val="0000FF"/>
                <w:w w:val="74"/>
              </w:rPr>
              <w:t>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37"/>
            <w:vMerge w:val="restart"/>
          </w:tcPr>
          <w:p>
            <w:pPr>
              <w:spacing w:after="0"/>
              <w:rPr>
                <w:sz w:val="20"/>
                <w:szCs w:val="20"/>
                <w:color w:val="auto"/>
              </w:rPr>
            </w:pPr>
            <w:r>
              <w:rPr>
                <w:rFonts w:ascii="Arial" w:cs="Arial" w:eastAsia="Arial" w:hAnsi="Arial"/>
                <w:sz w:val="16"/>
                <w:szCs w:val="16"/>
                <w:b w:val="1"/>
                <w:bCs w:val="1"/>
                <w:color w:val="0000FF"/>
              </w:rPr>
              <w:t xml:space="preserve">85 </w:t>
            </w:r>
            <w:r>
              <w:rPr>
                <w:rFonts w:ascii="Arial" w:cs="Arial" w:eastAsia="Arial" w:hAnsi="Arial"/>
                <w:sz w:val="16"/>
                <w:szCs w:val="16"/>
                <w:color w:val="010101"/>
              </w:rPr>
              <w:t>ARTICLE VII THE ADMINISTRATIVE AGENT</w:t>
            </w:r>
          </w:p>
        </w:tc>
        <w:tc>
          <w:tcPr>
            <w:tcW w:w="160" w:type="dxa"/>
            <w:vAlign w:val="bottom"/>
          </w:tcPr>
          <w:p>
            <w:pPr>
              <w:spacing w:after="0"/>
              <w:rPr>
                <w:sz w:val="24"/>
                <w:szCs w:val="24"/>
                <w:color w:val="auto"/>
              </w:rPr>
            </w:pPr>
          </w:p>
        </w:tc>
        <w:tc>
          <w:tcPr>
            <w:tcW w:w="760" w:type="dxa"/>
            <w:vAlign w:val="bottom"/>
            <w:gridSpan w:val="6"/>
            <w:vMerge w:val="restart"/>
          </w:tcPr>
          <w:p>
            <w:pPr>
              <w:jc w:val="right"/>
              <w:ind w:right="600"/>
              <w:spacing w:after="0"/>
              <w:rPr>
                <w:sz w:val="20"/>
                <w:szCs w:val="20"/>
                <w:color w:val="auto"/>
              </w:rPr>
            </w:pPr>
            <w:r>
              <w:rPr>
                <w:rFonts w:ascii="Arial" w:cs="Arial" w:eastAsia="Arial" w:hAnsi="Arial"/>
                <w:sz w:val="16"/>
                <w:szCs w:val="16"/>
                <w:b w:val="1"/>
                <w:bCs w:val="1"/>
                <w:color w:val="0000FF"/>
                <w:w w:val="78"/>
              </w:rPr>
              <w:t>88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840" w:type="dxa"/>
            <w:vAlign w:val="bottom"/>
            <w:gridSpan w:val="13"/>
          </w:tcPr>
          <w:p>
            <w:pPr>
              <w:ind w:left="480"/>
              <w:spacing w:after="0"/>
              <w:rPr>
                <w:sz w:val="20"/>
                <w:szCs w:val="20"/>
                <w:color w:val="auto"/>
              </w:rPr>
            </w:pPr>
            <w:r>
              <w:rPr>
                <w:rFonts w:ascii="Arial" w:cs="Arial" w:eastAsia="Arial" w:hAnsi="Arial"/>
                <w:sz w:val="16"/>
                <w:szCs w:val="16"/>
                <w:color w:val="010101"/>
                <w:w w:val="96"/>
              </w:rPr>
              <w:t>SECTION 6.01.  Events of Default</w:t>
            </w:r>
          </w:p>
        </w:tc>
        <w:tc>
          <w:tcPr>
            <w:tcW w:w="200" w:type="dxa"/>
            <w:vAlign w:val="bottom"/>
            <w:gridSpan w:val="5"/>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FF0000"/>
                <w:strike w:val="1"/>
                <w:w w:val="78"/>
              </w:rPr>
              <w:t>82</w:t>
            </w:r>
          </w:p>
        </w:tc>
        <w:tc>
          <w:tcPr>
            <w:tcW w:w="3600" w:type="dxa"/>
            <w:vAlign w:val="bottom"/>
            <w:gridSpan w:val="37"/>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FF0000"/>
                <w:strike w:val="1"/>
                <w:w w:val="78"/>
              </w:rPr>
              <w:t>85</w:t>
            </w:r>
          </w:p>
        </w:tc>
        <w:tc>
          <w:tcPr>
            <w:tcW w:w="76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shd w:val="clear" w:color="auto" w:fill="010101"/>
          </w:tcPr>
          <w:p>
            <w:pPr>
              <w:spacing w:after="0" w:line="20" w:lineRule="exact"/>
              <w:rPr>
                <w:sz w:val="1"/>
                <w:szCs w:val="1"/>
                <w:color w:val="auto"/>
              </w:rPr>
            </w:pPr>
          </w:p>
        </w:tc>
        <w:tc>
          <w:tcPr>
            <w:tcW w:w="120" w:type="dxa"/>
            <w:vAlign w:val="bottom"/>
            <w:gridSpan w:val="3"/>
            <w:shd w:val="clear" w:color="auto" w:fill="01010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10101"/>
          </w:tcPr>
          <w:p>
            <w:pPr>
              <w:spacing w:after="0" w:line="20" w:lineRule="exact"/>
              <w:rPr>
                <w:sz w:val="1"/>
                <w:szCs w:val="1"/>
                <w:color w:val="auto"/>
              </w:rPr>
            </w:pPr>
          </w:p>
        </w:tc>
        <w:tc>
          <w:tcPr>
            <w:tcW w:w="120" w:type="dxa"/>
            <w:vAlign w:val="bottom"/>
            <w:tcBorders>
              <w:left w:val="single" w:sz="8" w:color="010101"/>
            </w:tcBorders>
            <w:shd w:val="clear" w:color="auto" w:fill="01010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gridSpan w:val="23"/>
          </w:tcPr>
          <w:p>
            <w:pPr>
              <w:ind w:left="480"/>
              <w:spacing w:after="0"/>
              <w:rPr>
                <w:sz w:val="20"/>
                <w:szCs w:val="20"/>
                <w:color w:val="auto"/>
              </w:rPr>
            </w:pPr>
            <w:r>
              <w:rPr>
                <w:rFonts w:ascii="Arial" w:cs="Arial" w:eastAsia="Arial" w:hAnsi="Arial"/>
                <w:sz w:val="16"/>
                <w:szCs w:val="16"/>
                <w:color w:val="010101"/>
                <w:w w:val="94"/>
              </w:rPr>
              <w:t>SECTION 7.01. Appointment and Authority</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ind w:left="60"/>
              <w:spacing w:after="0"/>
              <w:rPr>
                <w:sz w:val="20"/>
                <w:szCs w:val="20"/>
                <w:color w:val="auto"/>
              </w:rPr>
            </w:pPr>
            <w:r>
              <w:rPr>
                <w:rFonts w:ascii="Arial" w:cs="Arial" w:eastAsia="Arial" w:hAnsi="Arial"/>
                <w:sz w:val="16"/>
                <w:szCs w:val="16"/>
                <w:color w:val="FF0000"/>
                <w:strike w:val="1"/>
                <w:w w:val="78"/>
              </w:rPr>
              <w:t>85</w:t>
            </w:r>
          </w:p>
        </w:tc>
        <w:tc>
          <w:tcPr>
            <w:tcW w:w="2480" w:type="dxa"/>
            <w:vAlign w:val="bottom"/>
            <w:gridSpan w:val="22"/>
          </w:tcPr>
          <w:p>
            <w:pPr>
              <w:jc w:val="right"/>
              <w:spacing w:after="0"/>
              <w:rPr>
                <w:sz w:val="20"/>
                <w:szCs w:val="20"/>
                <w:color w:val="auto"/>
              </w:rPr>
            </w:pPr>
            <w:r>
              <w:rPr>
                <w:rFonts w:ascii="Arial" w:cs="Arial" w:eastAsia="Arial" w:hAnsi="Arial"/>
                <w:sz w:val="16"/>
                <w:szCs w:val="16"/>
                <w:b w:val="1"/>
                <w:bCs w:val="1"/>
                <w:color w:val="0000FF"/>
                <w:w w:val="90"/>
              </w:rPr>
              <w:t xml:space="preserve">88 </w:t>
            </w:r>
            <w:r>
              <w:rPr>
                <w:rFonts w:ascii="Arial" w:cs="Arial" w:eastAsia="Arial" w:hAnsi="Arial"/>
                <w:sz w:val="16"/>
                <w:szCs w:val="16"/>
                <w:color w:val="010101"/>
                <w:w w:val="90"/>
              </w:rPr>
              <w:t>SECTION 7.02. Rights as a Lender</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3"/>
          </w:tcPr>
          <w:p>
            <w:pPr>
              <w:spacing w:after="0"/>
              <w:rPr>
                <w:sz w:val="20"/>
                <w:szCs w:val="20"/>
                <w:color w:val="auto"/>
              </w:rPr>
            </w:pPr>
            <w:r>
              <w:rPr>
                <w:rFonts w:ascii="Arial" w:cs="Arial" w:eastAsia="Arial" w:hAnsi="Arial"/>
                <w:sz w:val="16"/>
                <w:szCs w:val="16"/>
                <w:color w:val="FF0000"/>
                <w:strike w:val="1"/>
                <w:w w:val="78"/>
              </w:rPr>
              <w:t>85</w:t>
            </w:r>
          </w:p>
        </w:tc>
        <w:tc>
          <w:tcPr>
            <w:tcW w:w="2960" w:type="dxa"/>
            <w:vAlign w:val="bottom"/>
            <w:gridSpan w:val="22"/>
          </w:tcPr>
          <w:p>
            <w:pPr>
              <w:jc w:val="right"/>
              <w:ind w:right="160"/>
              <w:spacing w:after="0"/>
              <w:rPr>
                <w:sz w:val="20"/>
                <w:szCs w:val="20"/>
                <w:color w:val="auto"/>
              </w:rPr>
            </w:pPr>
            <w:r>
              <w:rPr>
                <w:rFonts w:ascii="Arial" w:cs="Arial" w:eastAsia="Arial" w:hAnsi="Arial"/>
                <w:sz w:val="16"/>
                <w:szCs w:val="16"/>
                <w:b w:val="1"/>
                <w:bCs w:val="1"/>
                <w:color w:val="0000FF"/>
                <w:w w:val="92"/>
              </w:rPr>
              <w:t xml:space="preserve">89 </w:t>
            </w:r>
            <w:r>
              <w:rPr>
                <w:rFonts w:ascii="Arial" w:cs="Arial" w:eastAsia="Arial" w:hAnsi="Arial"/>
                <w:sz w:val="16"/>
                <w:szCs w:val="16"/>
                <w:color w:val="010101"/>
                <w:w w:val="92"/>
              </w:rPr>
              <w:t>SECTION 7.03. Exculpatory Provisions</w:t>
            </w:r>
          </w:p>
        </w:tc>
        <w:tc>
          <w:tcPr>
            <w:tcW w:w="220" w:type="dxa"/>
            <w:vAlign w:val="bottom"/>
          </w:tcPr>
          <w:p>
            <w:pPr>
              <w:jc w:val="right"/>
              <w:spacing w:after="0"/>
              <w:rPr>
                <w:sz w:val="20"/>
                <w:szCs w:val="20"/>
                <w:color w:val="auto"/>
              </w:rPr>
            </w:pPr>
            <w:r>
              <w:rPr>
                <w:rFonts w:ascii="Arial" w:cs="Arial" w:eastAsia="Arial" w:hAnsi="Arial"/>
                <w:sz w:val="16"/>
                <w:szCs w:val="16"/>
                <w:color w:val="FF0000"/>
                <w:strike w:val="1"/>
              </w:rPr>
              <w:t>85</w:t>
            </w:r>
          </w:p>
        </w:tc>
        <w:tc>
          <w:tcPr>
            <w:tcW w:w="1240" w:type="dxa"/>
            <w:vAlign w:val="bottom"/>
            <w:gridSpan w:val="8"/>
          </w:tcPr>
          <w:p>
            <w:pPr>
              <w:jc w:val="right"/>
              <w:spacing w:after="0"/>
              <w:rPr>
                <w:sz w:val="20"/>
                <w:szCs w:val="20"/>
                <w:color w:val="auto"/>
              </w:rPr>
            </w:pPr>
            <w:r>
              <w:rPr>
                <w:rFonts w:ascii="Arial" w:cs="Arial" w:eastAsia="Arial" w:hAnsi="Arial"/>
                <w:sz w:val="16"/>
                <w:szCs w:val="16"/>
                <w:b w:val="1"/>
                <w:bCs w:val="1"/>
                <w:color w:val="0000FF"/>
                <w:w w:val="91"/>
              </w:rPr>
              <w:t xml:space="preserve">89 </w:t>
            </w:r>
            <w:r>
              <w:rPr>
                <w:rFonts w:ascii="Arial" w:cs="Arial" w:eastAsia="Arial" w:hAnsi="Arial"/>
                <w:sz w:val="16"/>
                <w:szCs w:val="16"/>
                <w:color w:val="010101"/>
                <w:w w:val="91"/>
              </w:rPr>
              <w:t>SECTION 7.04.</w:t>
            </w:r>
          </w:p>
        </w:tc>
        <w:tc>
          <w:tcPr>
            <w:tcW w:w="0" w:type="dxa"/>
            <w:vAlign w:val="bottom"/>
          </w:tcPr>
          <w:p>
            <w:pPr>
              <w:spacing w:after="0"/>
              <w:rPr>
                <w:sz w:val="1"/>
                <w:szCs w:val="1"/>
                <w:color w:val="auto"/>
              </w:rPr>
            </w:pPr>
          </w:p>
        </w:tc>
      </w:tr>
      <w:tr>
        <w:trPr>
          <w:trHeight w:val="20"/>
        </w:trPr>
        <w:tc>
          <w:tcPr>
            <w:tcW w:w="3120" w:type="dxa"/>
            <w:vAlign w:val="bottom"/>
            <w:gridSpan w:val="19"/>
            <w:vMerge w:val="restart"/>
          </w:tcPr>
          <w:p>
            <w:pPr>
              <w:ind w:left="480"/>
              <w:spacing w:after="0" w:line="161" w:lineRule="exact"/>
              <w:rPr>
                <w:sz w:val="20"/>
                <w:szCs w:val="20"/>
                <w:color w:val="auto"/>
              </w:rPr>
            </w:pPr>
            <w:r>
              <w:rPr>
                <w:rFonts w:ascii="Arial" w:cs="Arial" w:eastAsia="Arial" w:hAnsi="Arial"/>
                <w:sz w:val="16"/>
                <w:szCs w:val="16"/>
                <w:color w:val="010101"/>
              </w:rPr>
              <w:t>Reliance by the Administrative Agent</w:t>
            </w: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010101"/>
            </w:tcBorders>
          </w:tcPr>
          <w:p>
            <w:pPr>
              <w:spacing w:after="0" w:line="20" w:lineRule="exact"/>
              <w:rPr>
                <w:sz w:val="1"/>
                <w:szCs w:val="1"/>
                <w:color w:val="auto"/>
              </w:rPr>
            </w:pPr>
          </w:p>
        </w:tc>
        <w:tc>
          <w:tcPr>
            <w:tcW w:w="60" w:type="dxa"/>
            <w:vAlign w:val="bottom"/>
            <w:tcBorders>
              <w:right w:val="single" w:sz="8" w:color="010101"/>
            </w:tcBorders>
            <w:shd w:val="clear" w:color="auto" w:fill="010101"/>
          </w:tcPr>
          <w:p>
            <w:pPr>
              <w:spacing w:after="0" w:line="20" w:lineRule="exact"/>
              <w:rPr>
                <w:sz w:val="1"/>
                <w:szCs w:val="1"/>
                <w:color w:val="auto"/>
              </w:rPr>
            </w:pPr>
          </w:p>
        </w:tc>
        <w:tc>
          <w:tcPr>
            <w:tcW w:w="80" w:type="dxa"/>
            <w:vAlign w:val="bottom"/>
            <w:tcBorders>
              <w:left w:val="single" w:sz="8" w:color="010101"/>
            </w:tcBorders>
            <w:shd w:val="clear" w:color="auto" w:fill="010101"/>
          </w:tcPr>
          <w:p>
            <w:pPr>
              <w:spacing w:after="0" w:line="20" w:lineRule="exact"/>
              <w:rPr>
                <w:sz w:val="1"/>
                <w:szCs w:val="1"/>
                <w:color w:val="auto"/>
              </w:rPr>
            </w:pPr>
          </w:p>
        </w:tc>
        <w:tc>
          <w:tcPr>
            <w:tcW w:w="80" w:type="dxa"/>
            <w:vAlign w:val="bottom"/>
            <w:tcBorders>
              <w:left w:val="single" w:sz="8" w:color="010101"/>
            </w:tcBorders>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jc w:val="right"/>
              <w:spacing w:after="0" w:line="161" w:lineRule="exact"/>
              <w:rPr>
                <w:sz w:val="20"/>
                <w:szCs w:val="20"/>
                <w:color w:val="auto"/>
              </w:rPr>
            </w:pPr>
            <w:r>
              <w:rPr>
                <w:rFonts w:ascii="Arial" w:cs="Arial" w:eastAsia="Arial" w:hAnsi="Arial"/>
                <w:sz w:val="15"/>
                <w:szCs w:val="15"/>
                <w:color w:val="FF0000"/>
                <w:strike w:val="1"/>
                <w:w w:val="71"/>
              </w:rPr>
              <w:t>87</w:t>
            </w:r>
          </w:p>
        </w:tc>
        <w:tc>
          <w:tcPr>
            <w:tcW w:w="260" w:type="dxa"/>
            <w:vAlign w:val="bottom"/>
            <w:gridSpan w:val="3"/>
            <w:vMerge w:val="restart"/>
          </w:tcPr>
          <w:p>
            <w:pPr>
              <w:jc w:val="right"/>
              <w:ind w:right="19"/>
              <w:spacing w:after="0" w:line="161" w:lineRule="exact"/>
              <w:rPr>
                <w:sz w:val="20"/>
                <w:szCs w:val="20"/>
                <w:color w:val="auto"/>
              </w:rPr>
            </w:pPr>
            <w:r>
              <w:rPr>
                <w:rFonts w:ascii="Arial" w:cs="Arial" w:eastAsia="Arial" w:hAnsi="Arial"/>
                <w:sz w:val="16"/>
                <w:szCs w:val="16"/>
                <w:b w:val="1"/>
                <w:bCs w:val="1"/>
                <w:color w:val="0000FF"/>
                <w:w w:val="78"/>
              </w:rPr>
              <w:t>90</w:t>
            </w:r>
          </w:p>
        </w:tc>
        <w:tc>
          <w:tcPr>
            <w:tcW w:w="180" w:type="dxa"/>
            <w:vAlign w:val="bottom"/>
            <w:tcBorders>
              <w:left w:val="single" w:sz="8" w:color="010101"/>
              <w:right w:val="single" w:sz="8" w:color="010101"/>
            </w:tcBorders>
            <w:shd w:val="clear" w:color="auto" w:fill="010101"/>
          </w:tcPr>
          <w:p>
            <w:pPr>
              <w:spacing w:after="0" w:line="20" w:lineRule="exact"/>
              <w:rPr>
                <w:sz w:val="1"/>
                <w:szCs w:val="1"/>
                <w:color w:val="auto"/>
              </w:rPr>
            </w:pPr>
          </w:p>
        </w:tc>
        <w:tc>
          <w:tcPr>
            <w:tcW w:w="40" w:type="dxa"/>
            <w:vAlign w:val="bottom"/>
            <w:tcBorders>
              <w:right w:val="single" w:sz="8" w:color="010101"/>
            </w:tcBorders>
            <w:shd w:val="clear" w:color="auto" w:fill="01010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FF0000"/>
            </w:tcBorders>
            <w:gridSpan w:val="2"/>
            <w:shd w:val="clear" w:color="auto" w:fill="FF0000"/>
          </w:tcPr>
          <w:p>
            <w:pPr>
              <w:spacing w:after="0" w:line="20" w:lineRule="exact"/>
              <w:rPr>
                <w:sz w:val="1"/>
                <w:szCs w:val="1"/>
                <w:color w:val="auto"/>
              </w:rPr>
            </w:pPr>
          </w:p>
        </w:tc>
        <w:tc>
          <w:tcPr>
            <w:tcW w:w="220" w:type="dxa"/>
            <w:vAlign w:val="bottom"/>
            <w:tcBorders>
              <w:left w:val="single" w:sz="8" w:color="FF0000"/>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gridSpan w:val="19"/>
            <w:vMerge w:val="continue"/>
          </w:tcPr>
          <w:p>
            <w:pPr>
              <w:spacing w:after="0"/>
              <w:rPr>
                <w:sz w:val="12"/>
                <w:szCs w:val="12"/>
                <w:color w:val="auto"/>
              </w:rPr>
            </w:pPr>
          </w:p>
        </w:tc>
        <w:tc>
          <w:tcPr>
            <w:tcW w:w="180" w:type="dxa"/>
            <w:vAlign w:val="bottom"/>
            <w:gridSpan w:val="3"/>
          </w:tcPr>
          <w:p>
            <w:pPr>
              <w:jc w:val="right"/>
              <w:ind w:right="20"/>
              <w:spacing w:after="0" w:line="142" w:lineRule="exact"/>
              <w:rPr>
                <w:sz w:val="20"/>
                <w:szCs w:val="20"/>
                <w:color w:val="auto"/>
              </w:rPr>
            </w:pPr>
            <w:r>
              <w:rPr>
                <w:rFonts w:ascii="Arial" w:cs="Arial" w:eastAsia="Arial" w:hAnsi="Arial"/>
                <w:sz w:val="16"/>
                <w:szCs w:val="16"/>
                <w:color w:val="FF0000"/>
                <w:strike w:val="1"/>
                <w:w w:val="78"/>
              </w:rPr>
              <w:t>86</w:t>
            </w:r>
          </w:p>
        </w:tc>
        <w:tc>
          <w:tcPr>
            <w:tcW w:w="220" w:type="dxa"/>
            <w:vAlign w:val="bottom"/>
            <w:gridSpan w:val="3"/>
          </w:tcPr>
          <w:p>
            <w:pPr>
              <w:jc w:val="right"/>
              <w:spacing w:after="0" w:line="142" w:lineRule="exact"/>
              <w:rPr>
                <w:sz w:val="20"/>
                <w:szCs w:val="20"/>
                <w:color w:val="auto"/>
              </w:rPr>
            </w:pPr>
            <w:r>
              <w:rPr>
                <w:rFonts w:ascii="Arial" w:cs="Arial" w:eastAsia="Arial" w:hAnsi="Arial"/>
                <w:sz w:val="16"/>
                <w:szCs w:val="16"/>
                <w:b w:val="1"/>
                <w:bCs w:val="1"/>
                <w:color w:val="0000FF"/>
                <w:w w:val="78"/>
              </w:rPr>
              <w:t>90</w:t>
            </w:r>
          </w:p>
        </w:tc>
        <w:tc>
          <w:tcPr>
            <w:tcW w:w="2140" w:type="dxa"/>
            <w:vAlign w:val="bottom"/>
            <w:gridSpan w:val="19"/>
          </w:tcPr>
          <w:p>
            <w:pPr>
              <w:ind w:left="60"/>
              <w:spacing w:after="0" w:line="142" w:lineRule="exact"/>
              <w:rPr>
                <w:sz w:val="20"/>
                <w:szCs w:val="20"/>
                <w:color w:val="auto"/>
              </w:rPr>
            </w:pPr>
            <w:r>
              <w:rPr>
                <w:rFonts w:ascii="Arial" w:cs="Arial" w:eastAsia="Arial" w:hAnsi="Arial"/>
                <w:sz w:val="16"/>
                <w:szCs w:val="16"/>
                <w:color w:val="010101"/>
                <w:w w:val="91"/>
              </w:rPr>
              <w:t>SECTION 7.05. Indemnification</w:t>
            </w:r>
          </w:p>
        </w:tc>
        <w:tc>
          <w:tcPr>
            <w:tcW w:w="1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2560" w:type="dxa"/>
            <w:vAlign w:val="bottom"/>
            <w:gridSpan w:val="20"/>
          </w:tcPr>
          <w:p>
            <w:pPr>
              <w:spacing w:after="0" w:line="142" w:lineRule="exact"/>
              <w:rPr>
                <w:sz w:val="20"/>
                <w:szCs w:val="20"/>
                <w:color w:val="auto"/>
              </w:rPr>
            </w:pPr>
            <w:r>
              <w:rPr>
                <w:rFonts w:ascii="Arial" w:cs="Arial" w:eastAsia="Arial" w:hAnsi="Arial"/>
                <w:sz w:val="16"/>
                <w:szCs w:val="16"/>
                <w:color w:val="010101"/>
                <w:w w:val="97"/>
              </w:rPr>
              <w:t>SECTION 7.06. Delegation of Duties</w:t>
            </w:r>
          </w:p>
        </w:tc>
        <w:tc>
          <w:tcPr>
            <w:tcW w:w="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78"/>
              </w:rPr>
              <w:t>87</w:t>
            </w:r>
          </w:p>
        </w:tc>
        <w:tc>
          <w:tcPr>
            <w:tcW w:w="2060" w:type="dxa"/>
            <w:vAlign w:val="bottom"/>
            <w:gridSpan w:val="14"/>
          </w:tcPr>
          <w:p>
            <w:pPr>
              <w:jc w:val="right"/>
              <w:spacing w:after="0" w:line="142" w:lineRule="exact"/>
              <w:rPr>
                <w:sz w:val="20"/>
                <w:szCs w:val="20"/>
                <w:color w:val="auto"/>
              </w:rPr>
            </w:pPr>
            <w:r>
              <w:rPr>
                <w:rFonts w:ascii="Arial" w:cs="Arial" w:eastAsia="Arial" w:hAnsi="Arial"/>
                <w:sz w:val="16"/>
                <w:szCs w:val="16"/>
                <w:b w:val="1"/>
                <w:bCs w:val="1"/>
                <w:color w:val="0000FF"/>
                <w:w w:val="91"/>
              </w:rPr>
              <w:t xml:space="preserve">91 </w:t>
            </w:r>
            <w:r>
              <w:rPr>
                <w:rFonts w:ascii="Arial" w:cs="Arial" w:eastAsia="Arial" w:hAnsi="Arial"/>
                <w:sz w:val="16"/>
                <w:szCs w:val="16"/>
                <w:color w:val="010101"/>
                <w:w w:val="91"/>
              </w:rPr>
              <w:t>SECTION 7.07. Resignation</w:t>
            </w:r>
          </w:p>
        </w:tc>
        <w:tc>
          <w:tcPr>
            <w:tcW w:w="0" w:type="dxa"/>
            <w:vAlign w:val="bottom"/>
          </w:tcPr>
          <w:p>
            <w:pPr>
              <w:spacing w:after="0"/>
              <w:rPr>
                <w:sz w:val="1"/>
                <w:szCs w:val="1"/>
                <w:color w:val="auto"/>
              </w:rPr>
            </w:pPr>
          </w:p>
        </w:tc>
      </w:tr>
      <w:tr>
        <w:trPr>
          <w:trHeight w:val="20"/>
        </w:trPr>
        <w:tc>
          <w:tcPr>
            <w:tcW w:w="2120" w:type="dxa"/>
            <w:vAlign w:val="bottom"/>
            <w:gridSpan w:val="6"/>
            <w:vMerge w:val="restart"/>
          </w:tcPr>
          <w:p>
            <w:pPr>
              <w:ind w:left="480"/>
              <w:spacing w:after="0" w:line="161" w:lineRule="exact"/>
              <w:rPr>
                <w:sz w:val="20"/>
                <w:szCs w:val="20"/>
                <w:color w:val="auto"/>
              </w:rPr>
            </w:pPr>
            <w:r>
              <w:rPr>
                <w:rFonts w:ascii="Arial" w:cs="Arial" w:eastAsia="Arial" w:hAnsi="Arial"/>
                <w:sz w:val="16"/>
                <w:szCs w:val="16"/>
                <w:color w:val="010101"/>
                <w:w w:val="98"/>
              </w:rPr>
              <w:t>of Administrative Agent</w:t>
            </w: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87</w:t>
            </w:r>
          </w:p>
        </w:tc>
        <w:tc>
          <w:tcPr>
            <w:tcW w:w="340" w:type="dxa"/>
            <w:vAlign w:val="bottom"/>
            <w:gridSpan w:val="6"/>
            <w:vMerge w:val="restart"/>
          </w:tcPr>
          <w:p>
            <w:pPr>
              <w:jc w:val="right"/>
              <w:ind w:right="159"/>
              <w:spacing w:after="0"/>
              <w:rPr>
                <w:sz w:val="20"/>
                <w:szCs w:val="20"/>
                <w:color w:val="auto"/>
              </w:rPr>
            </w:pPr>
            <w:r>
              <w:rPr>
                <w:rFonts w:ascii="Arial" w:cs="Arial" w:eastAsia="Arial" w:hAnsi="Arial"/>
                <w:sz w:val="12"/>
                <w:szCs w:val="12"/>
                <w:b w:val="1"/>
                <w:bCs w:val="1"/>
                <w:color w:val="0000FF"/>
                <w:w w:val="74"/>
              </w:rPr>
              <w:t>91</w:t>
            </w:r>
          </w:p>
        </w:tc>
        <w:tc>
          <w:tcPr>
            <w:tcW w:w="200" w:type="dxa"/>
            <w:vAlign w:val="bottom"/>
            <w:gridSpan w:val="4"/>
            <w:shd w:val="clear" w:color="auto" w:fill="01010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right w:val="single" w:sz="8" w:color="FF0000"/>
            </w:tcBorders>
            <w:gridSpan w:val="17"/>
          </w:tcPr>
          <w:p>
            <w:pPr>
              <w:spacing w:after="0" w:line="20" w:lineRule="exact"/>
              <w:rPr>
                <w:sz w:val="1"/>
                <w:szCs w:val="1"/>
                <w:color w:val="auto"/>
              </w:rPr>
            </w:pPr>
          </w:p>
        </w:tc>
        <w:tc>
          <w:tcPr>
            <w:tcW w:w="180" w:type="dxa"/>
            <w:vAlign w:val="bottom"/>
            <w:tcBorders>
              <w:right w:val="single" w:sz="8" w:color="FF0000"/>
            </w:tcBorders>
            <w:shd w:val="clear" w:color="auto" w:fill="FF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89</w:t>
            </w:r>
          </w:p>
        </w:tc>
        <w:tc>
          <w:tcPr>
            <w:tcW w:w="160" w:type="dxa"/>
            <w:vAlign w:val="bottom"/>
            <w:vMerge w:val="restart"/>
          </w:tcPr>
          <w:p>
            <w:pPr>
              <w:jc w:val="right"/>
              <w:spacing w:after="0" w:line="161" w:lineRule="exact"/>
              <w:rPr>
                <w:sz w:val="20"/>
                <w:szCs w:val="20"/>
                <w:color w:val="auto"/>
              </w:rPr>
            </w:pPr>
            <w:r>
              <w:rPr>
                <w:rFonts w:ascii="Arial" w:cs="Arial" w:eastAsia="Arial" w:hAnsi="Arial"/>
                <w:sz w:val="16"/>
                <w:szCs w:val="16"/>
                <w:b w:val="1"/>
                <w:bCs w:val="1"/>
                <w:color w:val="0000FF"/>
                <w:w w:val="78"/>
              </w:rPr>
              <w:t>92</w:t>
            </w:r>
          </w:p>
        </w:tc>
        <w:tc>
          <w:tcPr>
            <w:tcW w:w="220" w:type="dxa"/>
            <w:vAlign w:val="bottom"/>
            <w:vMerge w:val="restart"/>
          </w:tcPr>
          <w:p>
            <w:pPr>
              <w:spacing w:after="0" w:line="20" w:lineRule="exact"/>
              <w:rPr>
                <w:sz w:val="1"/>
                <w:szCs w:val="1"/>
                <w:color w:val="auto"/>
              </w:rPr>
            </w:pPr>
          </w:p>
        </w:tc>
        <w:tc>
          <w:tcPr>
            <w:tcW w:w="200" w:type="dxa"/>
            <w:vAlign w:val="bottom"/>
            <w:gridSpan w:val="2"/>
            <w:shd w:val="clear" w:color="auto" w:fill="FF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340" w:type="dxa"/>
            <w:vAlign w:val="bottom"/>
            <w:gridSpan w:val="6"/>
            <w:vMerge w:val="continue"/>
          </w:tcPr>
          <w:p>
            <w:pPr>
              <w:spacing w:after="0"/>
              <w:rPr>
                <w:sz w:val="12"/>
                <w:szCs w:val="12"/>
                <w:color w:val="auto"/>
              </w:rPr>
            </w:pPr>
          </w:p>
        </w:tc>
        <w:tc>
          <w:tcPr>
            <w:tcW w:w="4860" w:type="dxa"/>
            <w:vAlign w:val="bottom"/>
            <w:gridSpan w:val="49"/>
          </w:tcPr>
          <w:p>
            <w:pPr>
              <w:spacing w:after="0" w:line="142" w:lineRule="exact"/>
              <w:rPr>
                <w:sz w:val="20"/>
                <w:szCs w:val="20"/>
                <w:color w:val="auto"/>
              </w:rPr>
            </w:pPr>
            <w:r>
              <w:rPr>
                <w:rFonts w:ascii="Arial" w:cs="Arial" w:eastAsia="Arial" w:hAnsi="Arial"/>
                <w:sz w:val="16"/>
                <w:szCs w:val="16"/>
                <w:color w:val="010101"/>
                <w:w w:val="92"/>
              </w:rPr>
              <w:t>SECTION 7.08. Non-Reliance on Administrative Agent and Other Lenders</w:t>
            </w:r>
          </w:p>
        </w:tc>
        <w:tc>
          <w:tcPr>
            <w:tcW w:w="3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420" w:type="dxa"/>
            <w:vAlign w:val="bottom"/>
            <w:gridSpan w:val="17"/>
          </w:tcPr>
          <w:p>
            <w:pPr>
              <w:jc w:val="right"/>
              <w:spacing w:after="0" w:line="142" w:lineRule="exact"/>
              <w:rPr>
                <w:sz w:val="20"/>
                <w:szCs w:val="20"/>
                <w:color w:val="auto"/>
              </w:rPr>
            </w:pPr>
            <w:r>
              <w:rPr>
                <w:rFonts w:ascii="Arial" w:cs="Arial" w:eastAsia="Arial" w:hAnsi="Arial"/>
                <w:sz w:val="16"/>
                <w:szCs w:val="16"/>
                <w:color w:val="010101"/>
                <w:w w:val="89"/>
              </w:rPr>
              <w:t>SECTION 7.09. No Other Duties, Etc.</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89</w:t>
            </w:r>
          </w:p>
        </w:tc>
        <w:tc>
          <w:tcPr>
            <w:tcW w:w="1280" w:type="dxa"/>
            <w:vAlign w:val="bottom"/>
            <w:gridSpan w:val="2"/>
            <w:vMerge w:val="restart"/>
          </w:tcPr>
          <w:p>
            <w:pPr>
              <w:ind w:left="20"/>
              <w:spacing w:after="0" w:line="161" w:lineRule="exact"/>
              <w:rPr>
                <w:sz w:val="20"/>
                <w:szCs w:val="20"/>
                <w:color w:val="auto"/>
              </w:rPr>
            </w:pPr>
            <w:r>
              <w:rPr>
                <w:rFonts w:ascii="Arial" w:cs="Arial" w:eastAsia="Arial" w:hAnsi="Arial"/>
                <w:sz w:val="16"/>
                <w:szCs w:val="16"/>
                <w:b w:val="1"/>
                <w:bCs w:val="1"/>
                <w:color w:val="0000FF"/>
                <w:w w:val="92"/>
              </w:rPr>
              <w:t xml:space="preserve">92 </w:t>
            </w:r>
            <w:r>
              <w:rPr>
                <w:rFonts w:ascii="Arial" w:cs="Arial" w:eastAsia="Arial" w:hAnsi="Arial"/>
                <w:sz w:val="16"/>
                <w:szCs w:val="16"/>
                <w:color w:val="010101"/>
                <w:w w:val="92"/>
              </w:rPr>
              <w:t>SECTION 7.10.</w:t>
            </w:r>
          </w:p>
        </w:tc>
        <w:tc>
          <w:tcPr>
            <w:tcW w:w="300" w:type="dxa"/>
            <w:vAlign w:val="bottom"/>
            <w:gridSpan w:val="3"/>
            <w:shd w:val="clear" w:color="auto" w:fill="010101"/>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vMerge w:val="restart"/>
          </w:tcPr>
          <w:p>
            <w:pPr>
              <w:spacing w:after="0" w:line="161" w:lineRule="exact"/>
              <w:rPr>
                <w:sz w:val="20"/>
                <w:szCs w:val="20"/>
                <w:color w:val="auto"/>
              </w:rPr>
            </w:pPr>
            <w:r>
              <w:rPr>
                <w:rFonts w:ascii="Arial" w:cs="Arial" w:eastAsia="Arial" w:hAnsi="Arial"/>
                <w:sz w:val="15"/>
                <w:szCs w:val="15"/>
                <w:color w:val="FF0000"/>
                <w:strike w:val="1"/>
                <w:w w:val="71"/>
              </w:rPr>
              <w:t>89</w:t>
            </w:r>
          </w:p>
        </w:tc>
        <w:tc>
          <w:tcPr>
            <w:tcW w:w="2640" w:type="dxa"/>
            <w:vAlign w:val="bottom"/>
            <w:gridSpan w:val="23"/>
            <w:vMerge w:val="restart"/>
          </w:tcPr>
          <w:p>
            <w:pPr>
              <w:spacing w:after="0" w:line="161" w:lineRule="exact"/>
              <w:rPr>
                <w:sz w:val="20"/>
                <w:szCs w:val="20"/>
                <w:color w:val="auto"/>
              </w:rPr>
            </w:pPr>
            <w:r>
              <w:rPr>
                <w:rFonts w:ascii="Arial" w:cs="Arial" w:eastAsia="Arial" w:hAnsi="Arial"/>
                <w:sz w:val="16"/>
                <w:szCs w:val="16"/>
                <w:b w:val="1"/>
                <w:bCs w:val="1"/>
                <w:color w:val="0000FF"/>
                <w:w w:val="90"/>
              </w:rPr>
              <w:t xml:space="preserve">92 </w:t>
            </w:r>
            <w:r>
              <w:rPr>
                <w:rFonts w:ascii="Arial" w:cs="Arial" w:eastAsia="Arial" w:hAnsi="Arial"/>
                <w:sz w:val="16"/>
                <w:szCs w:val="16"/>
                <w:color w:val="010101"/>
                <w:w w:val="90"/>
              </w:rPr>
              <w:t>SECTION 7.11. Erroneous Payments</w:t>
            </w:r>
          </w:p>
        </w:tc>
        <w:tc>
          <w:tcPr>
            <w:tcW w:w="180" w:type="dxa"/>
            <w:vAlign w:val="bottom"/>
          </w:tcPr>
          <w:p>
            <w:pPr>
              <w:spacing w:after="0" w:line="20" w:lineRule="exact"/>
              <w:rPr>
                <w:sz w:val="1"/>
                <w:szCs w:val="1"/>
                <w:color w:val="auto"/>
              </w:rPr>
            </w:pPr>
          </w:p>
        </w:tc>
        <w:tc>
          <w:tcPr>
            <w:tcW w:w="180" w:type="dxa"/>
            <w:vAlign w:val="bottom"/>
            <w:gridSpan w:val="3"/>
            <w:vMerge w:val="restart"/>
          </w:tcPr>
          <w:p>
            <w:pPr>
              <w:spacing w:after="0" w:line="161" w:lineRule="exact"/>
              <w:rPr>
                <w:sz w:val="20"/>
                <w:szCs w:val="20"/>
                <w:color w:val="auto"/>
              </w:rPr>
            </w:pPr>
            <w:r>
              <w:rPr>
                <w:rFonts w:ascii="Arial" w:cs="Arial" w:eastAsia="Arial" w:hAnsi="Arial"/>
                <w:sz w:val="16"/>
                <w:szCs w:val="16"/>
                <w:color w:val="FF0000"/>
                <w:strike w:val="1"/>
                <w:w w:val="78"/>
              </w:rPr>
              <w:t>89</w:t>
            </w:r>
          </w:p>
        </w:tc>
        <w:tc>
          <w:tcPr>
            <w:tcW w:w="1180" w:type="dxa"/>
            <w:vAlign w:val="bottom"/>
            <w:gridSpan w:val="11"/>
            <w:vMerge w:val="restart"/>
          </w:tcPr>
          <w:p>
            <w:pPr>
              <w:spacing w:after="0" w:line="161" w:lineRule="exact"/>
              <w:rPr>
                <w:sz w:val="20"/>
                <w:szCs w:val="20"/>
                <w:color w:val="auto"/>
              </w:rPr>
            </w:pPr>
            <w:r>
              <w:rPr>
                <w:rFonts w:ascii="Arial" w:cs="Arial" w:eastAsia="Arial" w:hAnsi="Arial"/>
                <w:sz w:val="16"/>
                <w:szCs w:val="16"/>
                <w:b w:val="1"/>
                <w:bCs w:val="1"/>
                <w:color w:val="0000FF"/>
                <w:w w:val="86"/>
              </w:rPr>
              <w:t xml:space="preserve">93 </w:t>
            </w:r>
            <w:r>
              <w:rPr>
                <w:rFonts w:ascii="Arial" w:cs="Arial" w:eastAsia="Arial" w:hAnsi="Arial"/>
                <w:sz w:val="16"/>
                <w:szCs w:val="16"/>
                <w:color w:val="010101"/>
                <w:w w:val="86"/>
              </w:rPr>
              <w:t>SECTION 7.12.</w:t>
            </w:r>
          </w:p>
        </w:tc>
        <w:tc>
          <w:tcPr>
            <w:tcW w:w="300" w:type="dxa"/>
            <w:vAlign w:val="bottom"/>
            <w:shd w:val="clear" w:color="auto" w:fill="FF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vMerge w:val="restart"/>
          </w:tcPr>
          <w:p>
            <w:pPr>
              <w:jc w:val="right"/>
              <w:spacing w:after="0" w:line="161" w:lineRule="exact"/>
              <w:rPr>
                <w:sz w:val="20"/>
                <w:szCs w:val="20"/>
                <w:color w:val="auto"/>
              </w:rPr>
            </w:pPr>
            <w:r>
              <w:rPr>
                <w:rFonts w:ascii="Arial" w:cs="Arial" w:eastAsia="Arial" w:hAnsi="Arial"/>
                <w:sz w:val="16"/>
                <w:szCs w:val="16"/>
                <w:color w:val="FF0000"/>
                <w:strike w:val="1"/>
                <w:w w:val="78"/>
              </w:rPr>
              <w:t>91</w:t>
            </w: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0000FF"/>
                <w:w w:val="71"/>
              </w:rPr>
              <w:t>95</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19"/>
          </w:tcPr>
          <w:p>
            <w:pPr>
              <w:jc w:val="right"/>
              <w:ind w:right="200"/>
              <w:spacing w:after="0" w:line="142" w:lineRule="exact"/>
              <w:rPr>
                <w:sz w:val="20"/>
                <w:szCs w:val="20"/>
                <w:color w:val="auto"/>
              </w:rPr>
            </w:pPr>
            <w:r>
              <w:rPr>
                <w:rFonts w:ascii="Arial" w:cs="Arial" w:eastAsia="Arial" w:hAnsi="Arial"/>
                <w:sz w:val="16"/>
                <w:szCs w:val="16"/>
                <w:color w:val="010101"/>
                <w:w w:val="92"/>
              </w:rPr>
              <w:t>Guaranty Matters</w:t>
            </w:r>
          </w:p>
        </w:tc>
        <w:tc>
          <w:tcPr>
            <w:tcW w:w="160" w:type="dxa"/>
            <w:vAlign w:val="bottom"/>
            <w:gridSpan w:val="2"/>
            <w:vMerge w:val="continue"/>
          </w:tcPr>
          <w:p>
            <w:pPr>
              <w:spacing w:after="0"/>
              <w:rPr>
                <w:sz w:val="12"/>
                <w:szCs w:val="12"/>
                <w:color w:val="auto"/>
              </w:rPr>
            </w:pPr>
          </w:p>
        </w:tc>
        <w:tc>
          <w:tcPr>
            <w:tcW w:w="2640" w:type="dxa"/>
            <w:vAlign w:val="bottom"/>
            <w:gridSpan w:val="23"/>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1180" w:type="dxa"/>
            <w:vAlign w:val="bottom"/>
            <w:gridSpan w:val="11"/>
            <w:vMerge w:val="continue"/>
          </w:tcPr>
          <w:p>
            <w:pPr>
              <w:spacing w:after="0"/>
              <w:rPr>
                <w:sz w:val="12"/>
                <w:szCs w:val="12"/>
                <w:color w:val="auto"/>
              </w:rPr>
            </w:pPr>
          </w:p>
        </w:tc>
        <w:tc>
          <w:tcPr>
            <w:tcW w:w="1800" w:type="dxa"/>
            <w:vAlign w:val="bottom"/>
            <w:gridSpan w:val="12"/>
          </w:tcPr>
          <w:p>
            <w:pPr>
              <w:jc w:val="right"/>
              <w:ind w:right="200"/>
              <w:spacing w:after="0" w:line="142" w:lineRule="exact"/>
              <w:rPr>
                <w:sz w:val="20"/>
                <w:szCs w:val="20"/>
                <w:color w:val="auto"/>
              </w:rPr>
            </w:pPr>
            <w:r>
              <w:rPr>
                <w:rFonts w:ascii="Arial" w:cs="Arial" w:eastAsia="Arial" w:hAnsi="Arial"/>
                <w:sz w:val="16"/>
                <w:szCs w:val="16"/>
                <w:color w:val="010101"/>
                <w:w w:val="97"/>
              </w:rPr>
              <w:t>Certain ERISA Matters</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Borders>
              <w:right w:val="single" w:sz="8" w:color="010101"/>
            </w:tcBorders>
            <w:gridSpan w:val="20"/>
          </w:tcPr>
          <w:p>
            <w:pPr>
              <w:spacing w:after="0" w:line="20" w:lineRule="exact"/>
              <w:rPr>
                <w:sz w:val="1"/>
                <w:szCs w:val="1"/>
                <w:color w:val="auto"/>
              </w:rPr>
            </w:pPr>
          </w:p>
        </w:tc>
        <w:tc>
          <w:tcPr>
            <w:tcW w:w="120" w:type="dxa"/>
            <w:vAlign w:val="bottom"/>
            <w:tcBorders>
              <w:right w:val="single" w:sz="8" w:color="010101"/>
            </w:tcBorders>
            <w:gridSpan w:val="3"/>
            <w:shd w:val="clear" w:color="auto" w:fill="010101"/>
          </w:tcPr>
          <w:p>
            <w:pPr>
              <w:spacing w:after="0" w:line="20" w:lineRule="exact"/>
              <w:rPr>
                <w:sz w:val="1"/>
                <w:szCs w:val="1"/>
                <w:color w:val="auto"/>
              </w:rPr>
            </w:pPr>
          </w:p>
        </w:tc>
        <w:tc>
          <w:tcPr>
            <w:tcW w:w="60" w:type="dxa"/>
            <w:vAlign w:val="bottom"/>
            <w:tcBorders>
              <w:right w:val="single" w:sz="8" w:color="010101"/>
            </w:tcBorders>
            <w:shd w:val="clear" w:color="auto" w:fill="010101"/>
          </w:tcPr>
          <w:p>
            <w:pPr>
              <w:spacing w:after="0" w:line="20" w:lineRule="exact"/>
              <w:rPr>
                <w:sz w:val="1"/>
                <w:szCs w:val="1"/>
                <w:color w:val="auto"/>
              </w:rPr>
            </w:pPr>
          </w:p>
        </w:tc>
        <w:tc>
          <w:tcPr>
            <w:tcW w:w="160" w:type="dxa"/>
            <w:vAlign w:val="bottom"/>
            <w:tcBorders>
              <w:left w:val="single" w:sz="8" w:color="010101"/>
            </w:tcBorders>
            <w:gridSpan w:val="2"/>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10101"/>
            </w:tcBorders>
            <w:gridSpan w:val="22"/>
          </w:tcPr>
          <w:p>
            <w:pPr>
              <w:spacing w:after="0" w:line="20" w:lineRule="exact"/>
              <w:rPr>
                <w:sz w:val="1"/>
                <w:szCs w:val="1"/>
                <w:color w:val="auto"/>
              </w:rPr>
            </w:pPr>
          </w:p>
        </w:tc>
        <w:tc>
          <w:tcPr>
            <w:tcW w:w="180" w:type="dxa"/>
            <w:vAlign w:val="bottom"/>
            <w:tcBorders>
              <w:left w:val="single" w:sz="8" w:color="010101"/>
              <w:right w:val="single" w:sz="8" w:color="010101"/>
            </w:tcBorders>
            <w:shd w:val="clear" w:color="auto" w:fill="010101"/>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2820" w:type="dxa"/>
            <w:vAlign w:val="bottom"/>
            <w:tcBorders>
              <w:right w:val="single" w:sz="8" w:color="FF0000"/>
            </w:tcBorders>
            <w:gridSpan w:val="21"/>
            <w:shd w:val="clear" w:color="auto" w:fill="0000FF"/>
          </w:tcPr>
          <w:p>
            <w:pPr>
              <w:spacing w:after="0" w:line="20" w:lineRule="exact"/>
              <w:rPr>
                <w:sz w:val="1"/>
                <w:szCs w:val="1"/>
                <w:color w:val="auto"/>
              </w:rPr>
            </w:pPr>
          </w:p>
        </w:tc>
        <w:tc>
          <w:tcPr>
            <w:tcW w:w="160" w:type="dxa"/>
            <w:vAlign w:val="bottom"/>
            <w:tcBorders>
              <w:right w:val="single" w:sz="8" w:color="FF0000"/>
            </w:tcBorders>
            <w:gridSpan w:val="2"/>
            <w:shd w:val="clear" w:color="auto" w:fill="FF0000"/>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4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100"/>
          </w:cols>
          <w:pgMar w:left="320" w:top="1249" w:right="479" w:bottom="1440" w:gutter="0" w:footer="0" w:header="0"/>
        </w:sectPr>
      </w:pPr>
    </w:p>
    <w:bookmarkStart w:id="58" w:name="page59"/>
    <w:bookmarkEnd w:id="58"/>
    <w:tbl>
      <w:tblPr>
        <w:tblLayout w:type="fixed"/>
        <w:tblInd w:w="60" w:type="dxa"/>
        <w:tblCellMar>
          <w:top w:w="0" w:type="dxa"/>
          <w:left w:w="0" w:type="dxa"/>
          <w:bottom w:w="0" w:type="dxa"/>
          <w:right w:w="0" w:type="dxa"/>
        </w:tblCellMar>
      </w:tblPr>
      <w:tr>
        <w:trPr>
          <w:trHeight w:val="184"/>
        </w:trPr>
        <w:tc>
          <w:tcPr>
            <w:tcW w:w="2540" w:type="dxa"/>
            <w:vAlign w:val="bottom"/>
            <w:vMerge w:val="restart"/>
          </w:tcPr>
          <w:p>
            <w:pPr>
              <w:spacing w:after="0"/>
              <w:rPr>
                <w:sz w:val="20"/>
                <w:szCs w:val="20"/>
                <w:color w:val="auto"/>
              </w:rPr>
            </w:pPr>
            <w:r>
              <w:rPr>
                <w:rFonts w:ascii="Arial" w:cs="Arial" w:eastAsia="Arial" w:hAnsi="Arial"/>
                <w:sz w:val="16"/>
                <w:szCs w:val="16"/>
                <w:color w:val="010101"/>
              </w:rPr>
              <w:t>ARTICLE VIII GUARANTY</w:t>
            </w:r>
          </w:p>
        </w:tc>
        <w:tc>
          <w:tcPr>
            <w:tcW w:w="5460" w:type="dxa"/>
            <w:vAlign w:val="bottom"/>
          </w:tcPr>
          <w:p>
            <w:pPr>
              <w:jc w:val="right"/>
              <w:spacing w:after="0"/>
              <w:rPr>
                <w:sz w:val="20"/>
                <w:szCs w:val="20"/>
                <w:color w:val="auto"/>
              </w:rPr>
            </w:pPr>
            <w:r>
              <w:rPr>
                <w:rFonts w:ascii="Arial" w:cs="Arial" w:eastAsia="Arial" w:hAnsi="Arial"/>
                <w:sz w:val="16"/>
                <w:szCs w:val="16"/>
                <w:color w:val="FF0000"/>
                <w:strike w:val="1"/>
              </w:rPr>
              <w:t>92</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78"/>
              </w:rPr>
              <w:t>96</w:t>
            </w:r>
          </w:p>
        </w:tc>
        <w:tc>
          <w:tcPr>
            <w:tcW w:w="0" w:type="dxa"/>
            <w:vAlign w:val="bottom"/>
          </w:tcPr>
          <w:p>
            <w:pPr>
              <w:spacing w:after="0"/>
              <w:rPr>
                <w:sz w:val="1"/>
                <w:szCs w:val="1"/>
                <w:color w:val="auto"/>
              </w:rPr>
            </w:pPr>
          </w:p>
        </w:tc>
      </w:tr>
      <w:tr>
        <w:trPr>
          <w:trHeight w:val="79"/>
        </w:trPr>
        <w:tc>
          <w:tcPr>
            <w:tcW w:w="2540" w:type="dxa"/>
            <w:vAlign w:val="bottom"/>
            <w:vMerge w:val="continue"/>
          </w:tcPr>
          <w:p>
            <w:pPr>
              <w:spacing w:after="0"/>
              <w:rPr>
                <w:sz w:val="6"/>
                <w:szCs w:val="6"/>
                <w:color w:val="auto"/>
              </w:rPr>
            </w:pPr>
          </w:p>
        </w:tc>
        <w:tc>
          <w:tcPr>
            <w:tcW w:w="5620" w:type="dxa"/>
            <w:vAlign w:val="bottom"/>
            <w:gridSpan w:val="2"/>
            <w:vMerge w:val="restart"/>
          </w:tcPr>
          <w:p>
            <w:pPr>
              <w:jc w:val="right"/>
              <w:ind w:right="4839"/>
              <w:spacing w:after="0"/>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5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0139"/>
          </w:cols>
          <w:pgMar w:left="320" w:top="754"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2520" w:type="dxa"/>
            <w:vAlign w:val="bottom"/>
            <w:gridSpan w:val="22"/>
          </w:tcPr>
          <w:p>
            <w:pPr>
              <w:ind w:left="480"/>
              <w:spacing w:after="0"/>
              <w:rPr>
                <w:sz w:val="20"/>
                <w:szCs w:val="20"/>
                <w:color w:val="auto"/>
              </w:rPr>
            </w:pPr>
            <w:r>
              <w:rPr>
                <w:rFonts w:ascii="Arial" w:cs="Arial" w:eastAsia="Arial" w:hAnsi="Arial"/>
                <w:sz w:val="16"/>
                <w:szCs w:val="16"/>
                <w:color w:val="010101"/>
                <w:w w:val="93"/>
              </w:rPr>
              <w:t>SECTION 8.01. The Guaranty</w:t>
            </w:r>
          </w:p>
        </w:tc>
        <w:tc>
          <w:tcPr>
            <w:tcW w:w="180" w:type="dxa"/>
            <w:vAlign w:val="bottom"/>
            <w:gridSpan w:val="2"/>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FF0000"/>
                <w:strike w:val="1"/>
                <w:w w:val="78"/>
              </w:rPr>
              <w:t>92</w:t>
            </w:r>
          </w:p>
        </w:tc>
        <w:tc>
          <w:tcPr>
            <w:tcW w:w="2280" w:type="dxa"/>
            <w:vAlign w:val="bottom"/>
            <w:gridSpan w:val="21"/>
          </w:tcPr>
          <w:p>
            <w:pPr>
              <w:jc w:val="center"/>
              <w:ind w:right="240"/>
              <w:spacing w:after="0"/>
              <w:rPr>
                <w:sz w:val="20"/>
                <w:szCs w:val="20"/>
                <w:color w:val="auto"/>
              </w:rPr>
            </w:pPr>
            <w:r>
              <w:rPr>
                <w:rFonts w:ascii="Arial" w:cs="Arial" w:eastAsia="Arial" w:hAnsi="Arial"/>
                <w:sz w:val="16"/>
                <w:szCs w:val="16"/>
                <w:b w:val="1"/>
                <w:bCs w:val="1"/>
                <w:color w:val="0000FF"/>
                <w:w w:val="93"/>
              </w:rPr>
              <w:t xml:space="preserve">96 </w:t>
            </w:r>
            <w:r>
              <w:rPr>
                <w:rFonts w:ascii="Arial" w:cs="Arial" w:eastAsia="Arial" w:hAnsi="Arial"/>
                <w:sz w:val="16"/>
                <w:szCs w:val="16"/>
                <w:color w:val="010101"/>
                <w:w w:val="93"/>
              </w:rPr>
              <w:t>SECTION 8.02. Bankruptcy</w:t>
            </w:r>
          </w:p>
        </w:tc>
        <w:tc>
          <w:tcPr>
            <w:tcW w:w="160" w:type="dxa"/>
            <w:vAlign w:val="bottom"/>
            <w:gridSpan w:val="2"/>
          </w:tcPr>
          <w:p>
            <w:pPr>
              <w:jc w:val="right"/>
              <w:spacing w:after="0"/>
              <w:rPr>
                <w:sz w:val="20"/>
                <w:szCs w:val="20"/>
                <w:color w:val="auto"/>
              </w:rPr>
            </w:pPr>
            <w:r>
              <w:rPr>
                <w:rFonts w:ascii="Arial" w:cs="Arial" w:eastAsia="Arial" w:hAnsi="Arial"/>
                <w:sz w:val="15"/>
                <w:szCs w:val="15"/>
                <w:color w:val="FF0000"/>
                <w:strike w:val="1"/>
                <w:w w:val="71"/>
              </w:rPr>
              <w:t>93</w:t>
            </w:r>
          </w:p>
        </w:tc>
        <w:tc>
          <w:tcPr>
            <w:tcW w:w="2720" w:type="dxa"/>
            <w:vAlign w:val="bottom"/>
            <w:gridSpan w:val="24"/>
          </w:tcPr>
          <w:p>
            <w:pPr>
              <w:spacing w:after="0"/>
              <w:rPr>
                <w:sz w:val="20"/>
                <w:szCs w:val="20"/>
                <w:color w:val="auto"/>
              </w:rPr>
            </w:pPr>
            <w:r>
              <w:rPr>
                <w:rFonts w:ascii="Arial" w:cs="Arial" w:eastAsia="Arial" w:hAnsi="Arial"/>
                <w:sz w:val="16"/>
                <w:szCs w:val="16"/>
                <w:b w:val="1"/>
                <w:bCs w:val="1"/>
                <w:color w:val="0000FF"/>
              </w:rPr>
              <w:t xml:space="preserve">97 </w:t>
            </w:r>
            <w:r>
              <w:rPr>
                <w:rFonts w:ascii="Arial" w:cs="Arial" w:eastAsia="Arial" w:hAnsi="Arial"/>
                <w:sz w:val="16"/>
                <w:szCs w:val="16"/>
                <w:color w:val="010101"/>
              </w:rPr>
              <w:t>SECTION 8.03. Nature of Liability</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FF0000"/>
                <w:strike w:val="1"/>
                <w:w w:val="78"/>
              </w:rPr>
              <w:t>94</w:t>
            </w:r>
          </w:p>
        </w:tc>
        <w:tc>
          <w:tcPr>
            <w:tcW w:w="2780" w:type="dxa"/>
            <w:vAlign w:val="bottom"/>
            <w:gridSpan w:val="15"/>
          </w:tcPr>
          <w:p>
            <w:pPr>
              <w:jc w:val="right"/>
              <w:spacing w:after="0"/>
              <w:rPr>
                <w:sz w:val="20"/>
                <w:szCs w:val="20"/>
                <w:color w:val="auto"/>
              </w:rPr>
            </w:pPr>
            <w:r>
              <w:rPr>
                <w:rFonts w:ascii="Arial" w:cs="Arial" w:eastAsia="Arial" w:hAnsi="Arial"/>
                <w:sz w:val="16"/>
                <w:szCs w:val="16"/>
                <w:b w:val="1"/>
                <w:bCs w:val="1"/>
                <w:color w:val="0000FF"/>
                <w:w w:val="90"/>
              </w:rPr>
              <w:t xml:space="preserve">97 </w:t>
            </w:r>
            <w:r>
              <w:rPr>
                <w:rFonts w:ascii="Arial" w:cs="Arial" w:eastAsia="Arial" w:hAnsi="Arial"/>
                <w:sz w:val="16"/>
                <w:szCs w:val="16"/>
                <w:color w:val="010101"/>
                <w:w w:val="90"/>
              </w:rPr>
              <w:t>SECTION 8.04. Independent Obligation</w:t>
            </w:r>
          </w:p>
        </w:tc>
        <w:tc>
          <w:tcPr>
            <w:tcW w:w="0" w:type="dxa"/>
            <w:vAlign w:val="bottom"/>
          </w:tcPr>
          <w:p>
            <w:pPr>
              <w:spacing w:after="0"/>
              <w:rPr>
                <w:sz w:val="1"/>
                <w:szCs w:val="1"/>
                <w:color w:val="auto"/>
              </w:rPr>
            </w:pPr>
          </w:p>
        </w:tc>
      </w:tr>
      <w:tr>
        <w:trPr>
          <w:trHeight w:val="20"/>
        </w:trPr>
        <w:tc>
          <w:tcPr>
            <w:tcW w:w="2520" w:type="dxa"/>
            <w:vAlign w:val="bottom"/>
            <w:tcBorders>
              <w:right w:val="single" w:sz="8" w:color="FF0000"/>
            </w:tcBorders>
            <w:gridSpan w:val="22"/>
          </w:tcPr>
          <w:p>
            <w:pPr>
              <w:spacing w:after="0" w:line="20" w:lineRule="exact"/>
              <w:rPr>
                <w:sz w:val="1"/>
                <w:szCs w:val="1"/>
                <w:color w:val="auto"/>
              </w:rPr>
            </w:pPr>
          </w:p>
        </w:tc>
        <w:tc>
          <w:tcPr>
            <w:tcW w:w="180" w:type="dxa"/>
            <w:vAlign w:val="bottom"/>
            <w:tcBorders>
              <w:left w:val="single" w:sz="8" w:color="FF0000"/>
              <w:right w:val="single" w:sz="8" w:color="FF0000"/>
            </w:tcBorders>
            <w:gridSpan w:val="2"/>
            <w:shd w:val="clear" w:color="auto" w:fill="FF0000"/>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10101"/>
            </w:tcBorders>
            <w:gridSpan w:val="18"/>
          </w:tcPr>
          <w:p>
            <w:pPr>
              <w:spacing w:after="0" w:line="20" w:lineRule="exact"/>
              <w:rPr>
                <w:sz w:val="1"/>
                <w:szCs w:val="1"/>
                <w:color w:val="auto"/>
              </w:rPr>
            </w:pPr>
          </w:p>
        </w:tc>
        <w:tc>
          <w:tcPr>
            <w:tcW w:w="220" w:type="dxa"/>
            <w:vAlign w:val="bottom"/>
            <w:tcBorders>
              <w:left w:val="single" w:sz="8" w:color="010101"/>
              <w:right w:val="single" w:sz="8" w:color="010101"/>
            </w:tcBorders>
            <w:gridSpan w:val="2"/>
            <w:shd w:val="clear" w:color="auto" w:fill="010101"/>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tcBorders>
              <w:right w:val="single" w:sz="8" w:color="010101"/>
            </w:tcBorders>
            <w:gridSpan w:val="21"/>
          </w:tcPr>
          <w:p>
            <w:pPr>
              <w:spacing w:after="0" w:line="20" w:lineRule="exact"/>
              <w:rPr>
                <w:sz w:val="1"/>
                <w:szCs w:val="1"/>
                <w:color w:val="auto"/>
              </w:rPr>
            </w:pPr>
          </w:p>
        </w:tc>
        <w:tc>
          <w:tcPr>
            <w:tcW w:w="320" w:type="dxa"/>
            <w:vAlign w:val="bottom"/>
            <w:tcBorders>
              <w:right w:val="single" w:sz="8" w:color="0000FF"/>
            </w:tcBorders>
            <w:gridSpan w:val="4"/>
            <w:shd w:val="clear" w:color="auto" w:fill="010101"/>
          </w:tcPr>
          <w:p>
            <w:pPr>
              <w:spacing w:after="0" w:line="20" w:lineRule="exact"/>
              <w:rPr>
                <w:sz w:val="1"/>
                <w:szCs w:val="1"/>
                <w:color w:val="auto"/>
              </w:rPr>
            </w:pPr>
          </w:p>
        </w:tc>
        <w:tc>
          <w:tcPr>
            <w:tcW w:w="2780" w:type="dxa"/>
            <w:vAlign w:val="bottom"/>
            <w:gridSpan w:val="1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gridSpan w:val="3"/>
          </w:tcPr>
          <w:p>
            <w:pPr>
              <w:jc w:val="right"/>
              <w:ind w:right="800"/>
              <w:spacing w:after="0"/>
              <w:rPr>
                <w:sz w:val="20"/>
                <w:szCs w:val="20"/>
                <w:color w:val="auto"/>
              </w:rPr>
            </w:pPr>
            <w:r>
              <w:rPr>
                <w:rFonts w:ascii="Arial" w:cs="Arial" w:eastAsia="Arial" w:hAnsi="Arial"/>
                <w:sz w:val="16"/>
                <w:szCs w:val="16"/>
                <w:color w:val="FF0000"/>
                <w:strike w:val="1"/>
              </w:rPr>
              <w:t>94</w:t>
            </w:r>
          </w:p>
        </w:tc>
        <w:tc>
          <w:tcPr>
            <w:tcW w:w="2380" w:type="dxa"/>
            <w:vAlign w:val="bottom"/>
            <w:gridSpan w:val="26"/>
          </w:tcPr>
          <w:p>
            <w:pPr>
              <w:ind w:left="20"/>
              <w:spacing w:after="0" w:line="142" w:lineRule="exact"/>
              <w:rPr>
                <w:sz w:val="20"/>
                <w:szCs w:val="20"/>
                <w:color w:val="auto"/>
              </w:rPr>
            </w:pPr>
            <w:r>
              <w:rPr>
                <w:rFonts w:ascii="Arial" w:cs="Arial" w:eastAsia="Arial" w:hAnsi="Arial"/>
                <w:sz w:val="16"/>
                <w:szCs w:val="16"/>
                <w:b w:val="1"/>
                <w:bCs w:val="1"/>
                <w:color w:val="0000FF"/>
              </w:rPr>
              <w:t xml:space="preserve">98 </w:t>
            </w:r>
            <w:r>
              <w:rPr>
                <w:rFonts w:ascii="Arial" w:cs="Arial" w:eastAsia="Arial" w:hAnsi="Arial"/>
                <w:sz w:val="16"/>
                <w:szCs w:val="16"/>
                <w:color w:val="010101"/>
              </w:rPr>
              <w:t>SECTION 8.05. Authorization</w:t>
            </w:r>
          </w:p>
        </w:tc>
        <w:tc>
          <w:tcPr>
            <w:tcW w:w="22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89"/>
              </w:rPr>
              <w:t>94</w:t>
            </w:r>
          </w:p>
        </w:tc>
        <w:tc>
          <w:tcPr>
            <w:tcW w:w="7640" w:type="dxa"/>
            <w:vAlign w:val="bottom"/>
            <w:gridSpan w:val="60"/>
          </w:tcPr>
          <w:p>
            <w:pPr>
              <w:spacing w:after="0"/>
              <w:rPr>
                <w:sz w:val="20"/>
                <w:szCs w:val="20"/>
                <w:color w:val="auto"/>
              </w:rPr>
            </w:pPr>
            <w:r>
              <w:rPr>
                <w:rFonts w:ascii="Arial" w:cs="Arial" w:eastAsia="Arial" w:hAnsi="Arial"/>
                <w:sz w:val="12"/>
                <w:szCs w:val="12"/>
                <w:b w:val="1"/>
                <w:bCs w:val="1"/>
                <w:color w:val="0000FF"/>
                <w:w w:val="74"/>
              </w:rPr>
              <w:t>98</w:t>
            </w:r>
          </w:p>
        </w:tc>
        <w:tc>
          <w:tcPr>
            <w:tcW w:w="0" w:type="dxa"/>
            <w:vAlign w:val="bottom"/>
          </w:tcPr>
          <w:p>
            <w:pPr>
              <w:spacing w:after="0"/>
              <w:rPr>
                <w:sz w:val="1"/>
                <w:szCs w:val="1"/>
                <w:color w:val="auto"/>
              </w:rPr>
            </w:pPr>
          </w:p>
        </w:tc>
      </w:tr>
      <w:tr>
        <w:trPr>
          <w:trHeight w:val="20"/>
        </w:trPr>
        <w:tc>
          <w:tcPr>
            <w:tcW w:w="2280" w:type="dxa"/>
            <w:vAlign w:val="bottom"/>
            <w:gridSpan w:val="18"/>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3"/>
            <w:vMerge w:val="restart"/>
          </w:tcPr>
          <w:p>
            <w:pPr>
              <w:spacing w:after="0" w:line="161" w:lineRule="exact"/>
              <w:rPr>
                <w:sz w:val="20"/>
                <w:szCs w:val="20"/>
                <w:color w:val="auto"/>
              </w:rPr>
            </w:pPr>
            <w:r>
              <w:rPr>
                <w:rFonts w:ascii="Arial" w:cs="Arial" w:eastAsia="Arial" w:hAnsi="Arial"/>
                <w:sz w:val="16"/>
                <w:szCs w:val="16"/>
                <w:color w:val="FF0000"/>
                <w:strike w:val="1"/>
                <w:w w:val="78"/>
              </w:rPr>
              <w:t>94</w:t>
            </w:r>
          </w:p>
        </w:tc>
        <w:tc>
          <w:tcPr>
            <w:tcW w:w="180" w:type="dxa"/>
            <w:vAlign w:val="bottom"/>
            <w:gridSpan w:val="2"/>
            <w:vMerge w:val="restart"/>
          </w:tcPr>
          <w:p>
            <w:pPr>
              <w:spacing w:after="0" w:line="161" w:lineRule="exact"/>
              <w:rPr>
                <w:sz w:val="20"/>
                <w:szCs w:val="20"/>
                <w:color w:val="auto"/>
              </w:rPr>
            </w:pPr>
            <w:r>
              <w:rPr>
                <w:rFonts w:ascii="Arial" w:cs="Arial" w:eastAsia="Arial" w:hAnsi="Arial"/>
                <w:sz w:val="16"/>
                <w:szCs w:val="16"/>
                <w:b w:val="1"/>
                <w:bCs w:val="1"/>
                <w:color w:val="0000FF"/>
                <w:w w:val="78"/>
              </w:rPr>
              <w:t>98</w:t>
            </w:r>
          </w:p>
        </w:tc>
        <w:tc>
          <w:tcPr>
            <w:tcW w:w="320" w:type="dxa"/>
            <w:vAlign w:val="bottom"/>
            <w:tcBorders>
              <w:right w:val="single" w:sz="8" w:color="010101"/>
            </w:tcBorders>
            <w:gridSpan w:val="4"/>
          </w:tcPr>
          <w:p>
            <w:pPr>
              <w:spacing w:after="0" w:line="20" w:lineRule="exact"/>
              <w:rPr>
                <w:sz w:val="1"/>
                <w:szCs w:val="1"/>
                <w:color w:val="auto"/>
              </w:rPr>
            </w:pPr>
          </w:p>
        </w:tc>
        <w:tc>
          <w:tcPr>
            <w:tcW w:w="160" w:type="dxa"/>
            <w:vAlign w:val="bottom"/>
            <w:tcBorders>
              <w:right w:val="single" w:sz="8" w:color="010101"/>
            </w:tcBorders>
            <w:shd w:val="clear" w:color="auto" w:fill="010101"/>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7640" w:type="dxa"/>
            <w:vAlign w:val="bottom"/>
            <w:gridSpan w:val="60"/>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gridSpan w:val="15"/>
          </w:tcPr>
          <w:p>
            <w:pPr>
              <w:spacing w:after="0"/>
              <w:rPr>
                <w:sz w:val="20"/>
                <w:szCs w:val="20"/>
                <w:color w:val="auto"/>
              </w:rPr>
            </w:pPr>
            <w:r>
              <w:rPr>
                <w:rFonts w:ascii="Arial" w:cs="Arial" w:eastAsia="Arial" w:hAnsi="Arial"/>
                <w:sz w:val="16"/>
                <w:szCs w:val="16"/>
                <w:color w:val="010101"/>
              </w:rPr>
              <w:t>SECTION 8.06. Reliance</w:t>
            </w:r>
          </w:p>
        </w:tc>
        <w:tc>
          <w:tcPr>
            <w:tcW w:w="140" w:type="dxa"/>
            <w:vAlign w:val="bottom"/>
            <w:tcBorders>
              <w:bottom w:val="single" w:sz="8" w:color="FF0000"/>
            </w:tcBorders>
            <w:gridSpan w:val="3"/>
          </w:tcPr>
          <w:p>
            <w:pPr>
              <w:spacing w:after="0"/>
              <w:rPr>
                <w:sz w:val="12"/>
                <w:szCs w:val="12"/>
                <w:color w:val="auto"/>
              </w:rPr>
            </w:pPr>
          </w:p>
        </w:tc>
        <w:tc>
          <w:tcPr>
            <w:tcW w:w="60" w:type="dxa"/>
            <w:vAlign w:val="bottom"/>
            <w:tcBorders>
              <w:bottom w:val="single" w:sz="8" w:color="FF0000"/>
            </w:tcBorders>
            <w:vMerge w:val="continue"/>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180" w:type="dxa"/>
            <w:vAlign w:val="bottom"/>
            <w:tcBorders>
              <w:bottom w:val="single" w:sz="8" w:color="0000FF"/>
            </w:tcBorders>
            <w:gridSpan w:val="2"/>
            <w:vMerge w:val="continue"/>
          </w:tcPr>
          <w:p>
            <w:pPr>
              <w:spacing w:after="0"/>
              <w:rPr>
                <w:sz w:val="12"/>
                <w:szCs w:val="12"/>
                <w:color w:val="auto"/>
              </w:rPr>
            </w:pPr>
          </w:p>
        </w:tc>
        <w:tc>
          <w:tcPr>
            <w:tcW w:w="8340" w:type="dxa"/>
            <w:vAlign w:val="bottom"/>
            <w:gridSpan w:val="6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gridSpan w:val="13"/>
          </w:tcPr>
          <w:p>
            <w:pPr>
              <w:ind w:left="480"/>
              <w:spacing w:after="0" w:line="142" w:lineRule="exact"/>
              <w:rPr>
                <w:sz w:val="20"/>
                <w:szCs w:val="20"/>
                <w:color w:val="auto"/>
              </w:rPr>
            </w:pPr>
            <w:r>
              <w:rPr>
                <w:rFonts w:ascii="Arial" w:cs="Arial" w:eastAsia="Arial" w:hAnsi="Arial"/>
                <w:sz w:val="16"/>
                <w:szCs w:val="16"/>
                <w:color w:val="010101"/>
                <w:w w:val="93"/>
              </w:rPr>
              <w:t>SECTION 8.07. Waiver</w:t>
            </w:r>
          </w:p>
        </w:tc>
        <w:tc>
          <w:tcPr>
            <w:tcW w:w="100" w:type="dxa"/>
            <w:vAlign w:val="bottom"/>
            <w:tcBorders>
              <w:bottom w:val="single" w:sz="8" w:color="FF0000"/>
            </w:tcBorders>
            <w:gridSpan w:val="2"/>
          </w:tcPr>
          <w:p>
            <w:pPr>
              <w:spacing w:after="0"/>
              <w:rPr>
                <w:sz w:val="12"/>
                <w:szCs w:val="12"/>
                <w:color w:val="auto"/>
              </w:rPr>
            </w:pPr>
          </w:p>
        </w:tc>
        <w:tc>
          <w:tcPr>
            <w:tcW w:w="20" w:type="dxa"/>
            <w:vAlign w:val="bottom"/>
            <w:tcBorders>
              <w:bottom w:val="single" w:sz="8" w:color="FF0000"/>
            </w:tcBorders>
          </w:tcPr>
          <w:p>
            <w:pPr>
              <w:spacing w:after="0"/>
              <w:rPr>
                <w:sz w:val="12"/>
                <w:szCs w:val="12"/>
                <w:color w:val="auto"/>
              </w:rPr>
            </w:pPr>
          </w:p>
        </w:tc>
        <w:tc>
          <w:tcPr>
            <w:tcW w:w="80" w:type="dxa"/>
            <w:vAlign w:val="bottom"/>
            <w:tcBorders>
              <w:bottom w:val="single" w:sz="8" w:color="FF0000"/>
            </w:tcBorders>
          </w:tcPr>
          <w:p>
            <w:pPr>
              <w:spacing w:after="0"/>
              <w:rPr>
                <w:sz w:val="12"/>
                <w:szCs w:val="12"/>
                <w:color w:val="auto"/>
              </w:rPr>
            </w:pPr>
          </w:p>
        </w:tc>
        <w:tc>
          <w:tcPr>
            <w:tcW w:w="160" w:type="dxa"/>
            <w:vAlign w:val="bottom"/>
            <w:gridSpan w:val="4"/>
          </w:tcPr>
          <w:p>
            <w:pPr>
              <w:jc w:val="right"/>
              <w:spacing w:after="0" w:line="142" w:lineRule="exact"/>
              <w:rPr>
                <w:sz w:val="20"/>
                <w:szCs w:val="20"/>
                <w:color w:val="auto"/>
              </w:rPr>
            </w:pPr>
            <w:r>
              <w:rPr>
                <w:rFonts w:ascii="Arial" w:cs="Arial" w:eastAsia="Arial" w:hAnsi="Arial"/>
                <w:sz w:val="16"/>
                <w:szCs w:val="16"/>
                <w:color w:val="FF0000"/>
                <w:strike w:val="1"/>
                <w:w w:val="78"/>
              </w:rPr>
              <w:t>95</w:t>
            </w:r>
          </w:p>
        </w:tc>
        <w:tc>
          <w:tcPr>
            <w:tcW w:w="1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98</w:t>
            </w:r>
          </w:p>
        </w:tc>
        <w:tc>
          <w:tcPr>
            <w:tcW w:w="880" w:type="dxa"/>
            <w:vAlign w:val="bottom"/>
            <w:gridSpan w:val="9"/>
            <w:vMerge w:val="restart"/>
          </w:tcPr>
          <w:p>
            <w:pPr>
              <w:jc w:val="right"/>
              <w:spacing w:after="0"/>
              <w:rPr>
                <w:sz w:val="20"/>
                <w:szCs w:val="20"/>
                <w:color w:val="auto"/>
              </w:rPr>
            </w:pPr>
            <w:r>
              <w:rPr>
                <w:rFonts w:ascii="Arial" w:cs="Arial" w:eastAsia="Arial" w:hAnsi="Arial"/>
                <w:sz w:val="16"/>
                <w:szCs w:val="16"/>
                <w:color w:val="010101"/>
                <w:w w:val="88"/>
              </w:rPr>
              <w:t>Enforcement</w:t>
            </w:r>
          </w:p>
        </w:tc>
        <w:tc>
          <w:tcPr>
            <w:tcW w:w="140" w:type="dxa"/>
            <w:vAlign w:val="bottom"/>
            <w:gridSpan w:val="2"/>
            <w:vMerge w:val="restart"/>
          </w:tcPr>
          <w:p>
            <w:pPr>
              <w:spacing w:after="0"/>
              <w:rPr>
                <w:sz w:val="12"/>
                <w:szCs w:val="12"/>
                <w:color w:val="auto"/>
              </w:rPr>
            </w:pPr>
          </w:p>
        </w:tc>
        <w:tc>
          <w:tcPr>
            <w:tcW w:w="160" w:type="dxa"/>
            <w:vAlign w:val="bottom"/>
            <w:gridSpan w:val="2"/>
            <w:vMerge w:val="restart"/>
          </w:tcPr>
          <w:p>
            <w:pPr>
              <w:spacing w:after="0"/>
              <w:rPr>
                <w:sz w:val="20"/>
                <w:szCs w:val="20"/>
                <w:color w:val="auto"/>
              </w:rPr>
            </w:pPr>
            <w:r>
              <w:rPr>
                <w:rFonts w:ascii="Arial" w:cs="Arial" w:eastAsia="Arial" w:hAnsi="Arial"/>
                <w:sz w:val="16"/>
                <w:szCs w:val="16"/>
                <w:color w:val="FF0000"/>
                <w:strike w:val="1"/>
                <w:w w:val="78"/>
              </w:rPr>
              <w:t>96</w:t>
            </w:r>
          </w:p>
        </w:tc>
        <w:tc>
          <w:tcPr>
            <w:tcW w:w="3080" w:type="dxa"/>
            <w:vAlign w:val="bottom"/>
            <w:gridSpan w:val="25"/>
            <w:vMerge w:val="restart"/>
          </w:tcPr>
          <w:p>
            <w:pPr>
              <w:spacing w:after="0"/>
              <w:rPr>
                <w:sz w:val="20"/>
                <w:szCs w:val="20"/>
                <w:color w:val="auto"/>
              </w:rPr>
            </w:pPr>
            <w:r>
              <w:rPr>
                <w:rFonts w:ascii="Arial" w:cs="Arial" w:eastAsia="Arial" w:hAnsi="Arial"/>
                <w:sz w:val="16"/>
                <w:szCs w:val="16"/>
                <w:b w:val="1"/>
                <w:bCs w:val="1"/>
                <w:color w:val="0000FF"/>
                <w:w w:val="96"/>
              </w:rPr>
              <w:t xml:space="preserve">99 </w:t>
            </w:r>
            <w:r>
              <w:rPr>
                <w:rFonts w:ascii="Arial" w:cs="Arial" w:eastAsia="Arial" w:hAnsi="Arial"/>
                <w:sz w:val="16"/>
                <w:szCs w:val="16"/>
                <w:color w:val="010101"/>
                <w:w w:val="96"/>
              </w:rPr>
              <w:t>SECTION 8.09. Confirmation of Payment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FF0000"/>
                <w:strike w:val="1"/>
              </w:rPr>
              <w:t>96</w:t>
            </w: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0000FF"/>
                <w:w w:val="71"/>
              </w:rPr>
              <w:t>99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gridSpan w:val="17"/>
          </w:tcPr>
          <w:p>
            <w:pPr>
              <w:ind w:left="480"/>
              <w:spacing w:after="0" w:line="142" w:lineRule="exact"/>
              <w:rPr>
                <w:sz w:val="20"/>
                <w:szCs w:val="20"/>
                <w:color w:val="auto"/>
              </w:rPr>
            </w:pPr>
            <w:r>
              <w:rPr>
                <w:rFonts w:ascii="Arial" w:cs="Arial" w:eastAsia="Arial" w:hAnsi="Arial"/>
                <w:sz w:val="16"/>
                <w:szCs w:val="16"/>
                <w:color w:val="010101"/>
                <w:w w:val="94"/>
              </w:rPr>
              <w:t>SECTION 8.08. Limitation</w:t>
            </w:r>
          </w:p>
        </w:tc>
        <w:tc>
          <w:tcPr>
            <w:tcW w:w="280" w:type="dxa"/>
            <w:vAlign w:val="bottom"/>
            <w:gridSpan w:val="5"/>
          </w:tcPr>
          <w:p>
            <w:pPr>
              <w:ind w:left="60"/>
              <w:spacing w:after="0" w:line="142" w:lineRule="exact"/>
              <w:rPr>
                <w:sz w:val="20"/>
                <w:szCs w:val="20"/>
                <w:color w:val="auto"/>
              </w:rPr>
            </w:pPr>
            <w:r>
              <w:rPr>
                <w:rFonts w:ascii="Arial" w:cs="Arial" w:eastAsia="Arial" w:hAnsi="Arial"/>
                <w:sz w:val="16"/>
                <w:szCs w:val="16"/>
                <w:color w:val="010101"/>
              </w:rPr>
              <w:t>on</w:t>
            </w:r>
          </w:p>
        </w:tc>
        <w:tc>
          <w:tcPr>
            <w:tcW w:w="880" w:type="dxa"/>
            <w:vAlign w:val="bottom"/>
            <w:gridSpan w:val="9"/>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3080" w:type="dxa"/>
            <w:vAlign w:val="bottom"/>
            <w:gridSpan w:val="25"/>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gridSpan w:val="18"/>
            <w:vMerge w:val="restart"/>
          </w:tcPr>
          <w:p>
            <w:pPr>
              <w:spacing w:after="0"/>
              <w:rPr>
                <w:sz w:val="20"/>
                <w:szCs w:val="20"/>
                <w:color w:val="auto"/>
              </w:rPr>
            </w:pPr>
            <w:r>
              <w:rPr>
                <w:rFonts w:ascii="Arial" w:cs="Arial" w:eastAsia="Arial" w:hAnsi="Arial"/>
                <w:sz w:val="16"/>
                <w:szCs w:val="16"/>
                <w:color w:val="010101"/>
                <w:w w:val="99"/>
              </w:rPr>
              <w:t>ARTICLE IX MISCELLANEOUS</w:t>
            </w:r>
          </w:p>
        </w:tc>
        <w:tc>
          <w:tcPr>
            <w:tcW w:w="240" w:type="dxa"/>
            <w:vAlign w:val="bottom"/>
            <w:gridSpan w:val="4"/>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2"/>
                <w:szCs w:val="12"/>
                <w:color w:val="FF0000"/>
                <w:strike w:val="1"/>
                <w:w w:val="74"/>
              </w:rPr>
              <w:t>96</w:t>
            </w:r>
          </w:p>
        </w:tc>
        <w:tc>
          <w:tcPr>
            <w:tcW w:w="2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0000FF"/>
                <w:w w:val="82"/>
              </w:rPr>
              <w:t>100</w:t>
            </w:r>
          </w:p>
        </w:tc>
        <w:tc>
          <w:tcPr>
            <w:tcW w:w="520" w:type="dxa"/>
            <w:vAlign w:val="bottom"/>
            <w:tcBorders>
              <w:right w:val="single" w:sz="8" w:color="FF0000"/>
            </w:tcBorders>
            <w:gridSpan w:val="4"/>
          </w:tcPr>
          <w:p>
            <w:pPr>
              <w:spacing w:after="0" w:line="20" w:lineRule="exact"/>
              <w:rPr>
                <w:sz w:val="1"/>
                <w:szCs w:val="1"/>
                <w:color w:val="auto"/>
              </w:rPr>
            </w:pPr>
          </w:p>
        </w:tc>
        <w:tc>
          <w:tcPr>
            <w:tcW w:w="460" w:type="dxa"/>
            <w:vAlign w:val="bottom"/>
            <w:tcBorders>
              <w:right w:val="single" w:sz="8" w:color="0000FF"/>
            </w:tcBorders>
            <w:gridSpan w:val="6"/>
            <w:shd w:val="clear" w:color="auto" w:fill="FF0000"/>
          </w:tcPr>
          <w:p>
            <w:pPr>
              <w:spacing w:after="0" w:line="20" w:lineRule="exact"/>
              <w:rPr>
                <w:sz w:val="1"/>
                <w:szCs w:val="1"/>
                <w:color w:val="auto"/>
              </w:rPr>
            </w:pPr>
          </w:p>
        </w:tc>
        <w:tc>
          <w:tcPr>
            <w:tcW w:w="2920" w:type="dxa"/>
            <w:vAlign w:val="bottom"/>
            <w:gridSpan w:val="23"/>
          </w:tcPr>
          <w:p>
            <w:pPr>
              <w:spacing w:after="0" w:line="20" w:lineRule="exact"/>
              <w:rPr>
                <w:sz w:val="1"/>
                <w:szCs w:val="1"/>
                <w:color w:val="auto"/>
              </w:rPr>
            </w:pPr>
          </w:p>
        </w:tc>
        <w:tc>
          <w:tcPr>
            <w:tcW w:w="240" w:type="dxa"/>
            <w:vAlign w:val="bottom"/>
            <w:tcBorders>
              <w:left w:val="single" w:sz="8" w:color="010101"/>
              <w:right w:val="single" w:sz="8" w:color="0000FF"/>
            </w:tcBorders>
          </w:tcPr>
          <w:p>
            <w:pPr>
              <w:spacing w:after="0" w:line="20" w:lineRule="exact"/>
              <w:rPr>
                <w:sz w:val="1"/>
                <w:szCs w:val="1"/>
                <w:color w:val="auto"/>
              </w:rPr>
            </w:pPr>
          </w:p>
        </w:tc>
        <w:tc>
          <w:tcPr>
            <w:tcW w:w="4020" w:type="dxa"/>
            <w:vAlign w:val="bottom"/>
            <w:gridSpan w:val="30"/>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280" w:type="dxa"/>
            <w:vAlign w:val="bottom"/>
            <w:gridSpan w:val="18"/>
            <w:vMerge w:val="continue"/>
          </w:tcPr>
          <w:p>
            <w:pPr>
              <w:spacing w:after="0"/>
              <w:rPr>
                <w:sz w:val="24"/>
                <w:szCs w:val="24"/>
                <w:color w:val="auto"/>
              </w:rPr>
            </w:pPr>
          </w:p>
        </w:tc>
        <w:tc>
          <w:tcPr>
            <w:tcW w:w="80" w:type="dxa"/>
            <w:vAlign w:val="bottom"/>
            <w:tcBorders>
              <w:bottom w:val="single" w:sz="8" w:color="010101"/>
            </w:tcBorders>
            <w:gridSpan w:val="2"/>
          </w:tcPr>
          <w:p>
            <w:pPr>
              <w:spacing w:after="0"/>
              <w:rPr>
                <w:sz w:val="24"/>
                <w:szCs w:val="24"/>
                <w:color w:val="auto"/>
              </w:rPr>
            </w:pPr>
          </w:p>
        </w:tc>
        <w:tc>
          <w:tcPr>
            <w:tcW w:w="160" w:type="dxa"/>
            <w:vAlign w:val="bottom"/>
            <w:tcBorders>
              <w:bottom w:val="single" w:sz="8" w:color="010101"/>
            </w:tcBorders>
            <w:gridSpan w:val="2"/>
          </w:tcPr>
          <w:p>
            <w:pPr>
              <w:spacing w:after="0"/>
              <w:rPr>
                <w:sz w:val="24"/>
                <w:szCs w:val="24"/>
                <w:color w:val="auto"/>
              </w:rPr>
            </w:pPr>
          </w:p>
        </w:tc>
        <w:tc>
          <w:tcPr>
            <w:tcW w:w="120" w:type="dxa"/>
            <w:vAlign w:val="bottom"/>
            <w:vMerge w:val="continue"/>
          </w:tcPr>
          <w:p>
            <w:pPr>
              <w:spacing w:after="0"/>
              <w:rPr>
                <w:sz w:val="24"/>
                <w:szCs w:val="24"/>
                <w:color w:val="auto"/>
              </w:rPr>
            </w:pPr>
          </w:p>
        </w:tc>
        <w:tc>
          <w:tcPr>
            <w:tcW w:w="240" w:type="dxa"/>
            <w:vAlign w:val="bottom"/>
            <w:tcBorders>
              <w:bottom w:val="single" w:sz="8" w:color="0000FF"/>
            </w:tcBorders>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22"/>
            <w:vMerge w:val="restart"/>
          </w:tcPr>
          <w:p>
            <w:pPr>
              <w:spacing w:after="0"/>
              <w:rPr>
                <w:sz w:val="20"/>
                <w:szCs w:val="20"/>
                <w:color w:val="auto"/>
              </w:rPr>
            </w:pPr>
            <w:r>
              <w:rPr>
                <w:rFonts w:ascii="Arial" w:cs="Arial" w:eastAsia="Arial" w:hAnsi="Arial"/>
                <w:sz w:val="16"/>
                <w:szCs w:val="16"/>
                <w:b w:val="1"/>
                <w:bCs w:val="1"/>
                <w:color w:val="0000FF"/>
                <w:w w:val="99"/>
              </w:rPr>
              <w:t xml:space="preserve">100 </w:t>
            </w:r>
            <w:r>
              <w:rPr>
                <w:rFonts w:ascii="Arial" w:cs="Arial" w:eastAsia="Arial" w:hAnsi="Arial"/>
                <w:sz w:val="16"/>
                <w:szCs w:val="16"/>
                <w:color w:val="010101"/>
                <w:w w:val="99"/>
              </w:rPr>
              <w:t>SECTION 9.02. Notices, Etc.</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25"/>
            <w:vMerge w:val="restart"/>
          </w:tcPr>
          <w:p>
            <w:pPr>
              <w:spacing w:after="0"/>
              <w:rPr>
                <w:sz w:val="20"/>
                <w:szCs w:val="20"/>
                <w:color w:val="auto"/>
              </w:rPr>
            </w:pPr>
            <w:r>
              <w:rPr>
                <w:rFonts w:ascii="Arial" w:cs="Arial" w:eastAsia="Arial" w:hAnsi="Arial"/>
                <w:sz w:val="16"/>
                <w:szCs w:val="16"/>
                <w:b w:val="1"/>
                <w:bCs w:val="1"/>
                <w:color w:val="0000FF"/>
                <w:w w:val="96"/>
              </w:rPr>
              <w:t xml:space="preserve">100 </w:t>
            </w:r>
            <w:r>
              <w:rPr>
                <w:rFonts w:ascii="Arial" w:cs="Arial" w:eastAsia="Arial" w:hAnsi="Arial"/>
                <w:sz w:val="16"/>
                <w:szCs w:val="16"/>
                <w:color w:val="010101"/>
                <w:w w:val="96"/>
              </w:rPr>
              <w:t>SECTION 9.03. No Waiver; Remedies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8"/>
            <w:vMerge w:val="restart"/>
          </w:tcPr>
          <w:p>
            <w:pPr>
              <w:jc w:val="right"/>
              <w:spacing w:after="0"/>
              <w:rPr>
                <w:sz w:val="20"/>
                <w:szCs w:val="20"/>
                <w:color w:val="auto"/>
              </w:rPr>
            </w:pPr>
            <w:r>
              <w:rPr>
                <w:rFonts w:ascii="Arial" w:cs="Arial" w:eastAsia="Arial" w:hAnsi="Arial"/>
                <w:sz w:val="16"/>
                <w:szCs w:val="16"/>
                <w:b w:val="1"/>
                <w:bCs w:val="1"/>
                <w:color w:val="0000FF"/>
                <w:w w:val="92"/>
              </w:rPr>
              <w:t xml:space="preserve">102 </w:t>
            </w:r>
            <w:r>
              <w:rPr>
                <w:rFonts w:ascii="Arial" w:cs="Arial" w:eastAsia="Arial" w:hAnsi="Arial"/>
                <w:sz w:val="16"/>
                <w:szCs w:val="16"/>
                <w:color w:val="010101"/>
                <w:w w:val="92"/>
              </w:rPr>
              <w:t>SECTION 9.04.</w:t>
            </w:r>
          </w:p>
        </w:tc>
        <w:tc>
          <w:tcPr>
            <w:tcW w:w="0" w:type="dxa"/>
            <w:vAlign w:val="bottom"/>
          </w:tcPr>
          <w:p>
            <w:pPr>
              <w:spacing w:after="0"/>
              <w:rPr>
                <w:sz w:val="1"/>
                <w:szCs w:val="1"/>
                <w:color w:val="auto"/>
              </w:rPr>
            </w:pPr>
          </w:p>
        </w:tc>
      </w:tr>
      <w:tr>
        <w:trPr>
          <w:trHeight w:val="334"/>
        </w:trPr>
        <w:tc>
          <w:tcPr>
            <w:tcW w:w="2800" w:type="dxa"/>
            <w:vAlign w:val="bottom"/>
            <w:gridSpan w:val="26"/>
          </w:tcPr>
          <w:p>
            <w:pPr>
              <w:ind w:left="480"/>
              <w:spacing w:after="0"/>
              <w:rPr>
                <w:sz w:val="20"/>
                <w:szCs w:val="20"/>
                <w:color w:val="auto"/>
              </w:rPr>
            </w:pPr>
            <w:r>
              <w:rPr>
                <w:rFonts w:ascii="Arial" w:cs="Arial" w:eastAsia="Arial" w:hAnsi="Arial"/>
                <w:sz w:val="16"/>
                <w:szCs w:val="16"/>
                <w:color w:val="010101"/>
                <w:w w:val="93"/>
              </w:rPr>
              <w:t>SECTION 9.01. Amendments, Etc.</w:t>
            </w:r>
          </w:p>
        </w:tc>
        <w:tc>
          <w:tcPr>
            <w:tcW w:w="380" w:type="dxa"/>
            <w:vAlign w:val="bottom"/>
            <w:gridSpan w:val="3"/>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FF0000"/>
                <w:strike w:val="1"/>
              </w:rPr>
              <w:t>96</w:t>
            </w:r>
          </w:p>
        </w:tc>
        <w:tc>
          <w:tcPr>
            <w:tcW w:w="2400" w:type="dxa"/>
            <w:vAlign w:val="bottom"/>
            <w:gridSpan w:val="2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FF0000"/>
                <w:strike w:val="1"/>
                <w:w w:val="78"/>
              </w:rPr>
              <w:t>97</w:t>
            </w:r>
          </w:p>
        </w:tc>
        <w:tc>
          <w:tcPr>
            <w:tcW w:w="2940" w:type="dxa"/>
            <w:vAlign w:val="bottom"/>
            <w:gridSpan w:val="25"/>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FF0000"/>
                <w:strike w:val="1"/>
                <w:w w:val="78"/>
              </w:rPr>
              <w:t>99</w:t>
            </w:r>
          </w:p>
        </w:tc>
        <w:tc>
          <w:tcPr>
            <w:tcW w:w="134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gridSpan w:val="11"/>
            <w:vMerge w:val="restart"/>
          </w:tcPr>
          <w:p>
            <w:pPr>
              <w:ind w:left="480"/>
              <w:spacing w:after="0" w:line="161" w:lineRule="exact"/>
              <w:rPr>
                <w:sz w:val="20"/>
                <w:szCs w:val="20"/>
                <w:color w:val="auto"/>
              </w:rPr>
            </w:pPr>
            <w:r>
              <w:rPr>
                <w:rFonts w:ascii="Arial" w:cs="Arial" w:eastAsia="Arial" w:hAnsi="Arial"/>
                <w:sz w:val="16"/>
                <w:szCs w:val="16"/>
                <w:color w:val="010101"/>
                <w:w w:val="89"/>
              </w:rPr>
              <w:t>Costs and Expenses</w:t>
            </w:r>
          </w:p>
        </w:tc>
        <w:tc>
          <w:tcPr>
            <w:tcW w:w="460" w:type="dxa"/>
            <w:vAlign w:val="bottom"/>
            <w:gridSpan w:val="7"/>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161" w:lineRule="exact"/>
              <w:rPr>
                <w:sz w:val="20"/>
                <w:szCs w:val="20"/>
                <w:color w:val="auto"/>
              </w:rPr>
            </w:pPr>
            <w:r>
              <w:rPr>
                <w:rFonts w:ascii="Arial" w:cs="Arial" w:eastAsia="Arial" w:hAnsi="Arial"/>
                <w:sz w:val="15"/>
                <w:szCs w:val="15"/>
                <w:color w:val="FF0000"/>
                <w:strike w:val="1"/>
                <w:w w:val="71"/>
              </w:rPr>
              <w:t>99</w:t>
            </w:r>
          </w:p>
        </w:tc>
        <w:tc>
          <w:tcPr>
            <w:tcW w:w="240" w:type="dxa"/>
            <w:vAlign w:val="bottom"/>
            <w:gridSpan w:val="3"/>
            <w:vMerge w:val="restart"/>
          </w:tcPr>
          <w:p>
            <w:pPr>
              <w:spacing w:after="0" w:line="161" w:lineRule="exact"/>
              <w:rPr>
                <w:sz w:val="20"/>
                <w:szCs w:val="20"/>
                <w:color w:val="auto"/>
              </w:rPr>
            </w:pPr>
            <w:r>
              <w:rPr>
                <w:rFonts w:ascii="Arial" w:cs="Arial" w:eastAsia="Arial" w:hAnsi="Arial"/>
                <w:sz w:val="16"/>
                <w:szCs w:val="16"/>
                <w:b w:val="1"/>
                <w:bCs w:val="1"/>
                <w:color w:val="0000FF"/>
                <w:w w:val="82"/>
              </w:rPr>
              <w:t>102</w:t>
            </w:r>
          </w:p>
        </w:tc>
        <w:tc>
          <w:tcPr>
            <w:tcW w:w="40" w:type="dxa"/>
            <w:vAlign w:val="bottom"/>
            <w:vMerge w:val="restart"/>
          </w:tcPr>
          <w:p>
            <w:pPr>
              <w:spacing w:after="0" w:line="20" w:lineRule="exact"/>
              <w:rPr>
                <w:sz w:val="1"/>
                <w:szCs w:val="1"/>
                <w:color w:val="auto"/>
              </w:rPr>
            </w:pPr>
          </w:p>
        </w:tc>
        <w:tc>
          <w:tcPr>
            <w:tcW w:w="380" w:type="dxa"/>
            <w:vAlign w:val="bottom"/>
            <w:tcBorders>
              <w:right w:val="single" w:sz="8" w:color="010101"/>
            </w:tcBorders>
            <w:gridSpan w:val="3"/>
            <w:shd w:val="clear" w:color="auto" w:fill="010101"/>
          </w:tcPr>
          <w:p>
            <w:pPr>
              <w:spacing w:after="0" w:line="20" w:lineRule="exact"/>
              <w:rPr>
                <w:sz w:val="1"/>
                <w:szCs w:val="1"/>
                <w:color w:val="auto"/>
              </w:rPr>
            </w:pPr>
          </w:p>
        </w:tc>
        <w:tc>
          <w:tcPr>
            <w:tcW w:w="360" w:type="dxa"/>
            <w:vAlign w:val="bottom"/>
            <w:tcBorders>
              <w:left w:val="single" w:sz="8" w:color="010101"/>
            </w:tcBorders>
            <w:gridSpan w:val="4"/>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Borders>
              <w:left w:val="single" w:sz="8" w:color="0000FF"/>
              <w:right w:val="single" w:sz="8" w:color="FF0000"/>
            </w:tcBorders>
            <w:gridSpan w:val="19"/>
          </w:tcPr>
          <w:p>
            <w:pPr>
              <w:spacing w:after="0" w:line="20" w:lineRule="exact"/>
              <w:rPr>
                <w:sz w:val="1"/>
                <w:szCs w:val="1"/>
                <w:color w:val="auto"/>
              </w:rPr>
            </w:pPr>
          </w:p>
        </w:tc>
        <w:tc>
          <w:tcPr>
            <w:tcW w:w="280" w:type="dxa"/>
            <w:vAlign w:val="bottom"/>
            <w:tcBorders>
              <w:right w:val="single" w:sz="8" w:color="FF0000"/>
            </w:tcBorders>
            <w:gridSpan w:val="2"/>
            <w:shd w:val="clear" w:color="auto" w:fill="FF0000"/>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100" w:type="dxa"/>
            <w:vAlign w:val="bottom"/>
            <w:tcBorders>
              <w:left w:val="single" w:sz="8" w:color="0000FF"/>
              <w:right w:val="single" w:sz="8" w:color="010101"/>
            </w:tcBorders>
            <w:gridSpan w:val="25"/>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20" w:type="dxa"/>
            <w:vAlign w:val="bottom"/>
            <w:gridSpan w:val="11"/>
            <w:vMerge w:val="continue"/>
          </w:tcPr>
          <w:p>
            <w:pPr>
              <w:spacing w:after="0"/>
              <w:rPr>
                <w:sz w:val="12"/>
                <w:szCs w:val="12"/>
                <w:color w:val="auto"/>
              </w:rPr>
            </w:pPr>
          </w:p>
        </w:tc>
        <w:tc>
          <w:tcPr>
            <w:tcW w:w="46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24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360" w:type="dxa"/>
            <w:vAlign w:val="bottom"/>
            <w:gridSpan w:val="22"/>
          </w:tcPr>
          <w:p>
            <w:pPr>
              <w:jc w:val="center"/>
              <w:ind w:right="140"/>
              <w:spacing w:after="0" w:line="142" w:lineRule="exact"/>
              <w:rPr>
                <w:sz w:val="20"/>
                <w:szCs w:val="20"/>
                <w:color w:val="auto"/>
              </w:rPr>
            </w:pPr>
            <w:r>
              <w:rPr>
                <w:rFonts w:ascii="Arial" w:cs="Arial" w:eastAsia="Arial" w:hAnsi="Arial"/>
                <w:sz w:val="16"/>
                <w:szCs w:val="16"/>
                <w:color w:val="010101"/>
                <w:w w:val="98"/>
              </w:rPr>
              <w:t>SECTION 9.05. Right of Set-off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2"/>
          </w:tcPr>
          <w:p>
            <w:pPr>
              <w:spacing w:after="0" w:line="142" w:lineRule="exact"/>
              <w:rPr>
                <w:sz w:val="20"/>
                <w:szCs w:val="20"/>
                <w:color w:val="auto"/>
              </w:rPr>
            </w:pPr>
            <w:r>
              <w:rPr>
                <w:rFonts w:ascii="Arial" w:cs="Arial" w:eastAsia="Arial" w:hAnsi="Arial"/>
                <w:sz w:val="16"/>
                <w:szCs w:val="16"/>
                <w:color w:val="FF0000"/>
                <w:strike w:val="1"/>
                <w:w w:val="74"/>
              </w:rPr>
              <w:t>100</w:t>
            </w:r>
          </w:p>
        </w:tc>
        <w:tc>
          <w:tcPr>
            <w:tcW w:w="2500" w:type="dxa"/>
            <w:vAlign w:val="bottom"/>
            <w:gridSpan w:val="22"/>
          </w:tcPr>
          <w:p>
            <w:pPr>
              <w:spacing w:after="0" w:line="142" w:lineRule="exact"/>
              <w:rPr>
                <w:sz w:val="20"/>
                <w:szCs w:val="20"/>
                <w:color w:val="auto"/>
              </w:rPr>
            </w:pPr>
            <w:r>
              <w:rPr>
                <w:rFonts w:ascii="Arial" w:cs="Arial" w:eastAsia="Arial" w:hAnsi="Arial"/>
                <w:sz w:val="16"/>
                <w:szCs w:val="16"/>
                <w:b w:val="1"/>
                <w:bCs w:val="1"/>
                <w:color w:val="0000FF"/>
              </w:rPr>
              <w:t xml:space="preserve">104 </w:t>
            </w:r>
            <w:r>
              <w:rPr>
                <w:rFonts w:ascii="Arial" w:cs="Arial" w:eastAsia="Arial" w:hAnsi="Arial"/>
                <w:sz w:val="16"/>
                <w:szCs w:val="16"/>
                <w:color w:val="010101"/>
              </w:rPr>
              <w:t>SECTION 9.06. Binding Effect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spacing w:after="0" w:line="142" w:lineRule="exact"/>
              <w:rPr>
                <w:sz w:val="20"/>
                <w:szCs w:val="20"/>
                <w:color w:val="auto"/>
              </w:rPr>
            </w:pPr>
            <w:r>
              <w:rPr>
                <w:rFonts w:ascii="Arial" w:cs="Arial" w:eastAsia="Arial" w:hAnsi="Arial"/>
                <w:sz w:val="16"/>
                <w:szCs w:val="16"/>
                <w:color w:val="FF0000"/>
                <w:strike w:val="1"/>
                <w:w w:val="82"/>
              </w:rPr>
              <w:t>101</w:t>
            </w:r>
          </w:p>
        </w:tc>
        <w:tc>
          <w:tcPr>
            <w:tcW w:w="1040" w:type="dxa"/>
            <w:vAlign w:val="bottom"/>
            <w:gridSpan w:val="4"/>
          </w:tcPr>
          <w:p>
            <w:pPr>
              <w:spacing w:after="0" w:line="142" w:lineRule="exact"/>
              <w:rPr>
                <w:sz w:val="20"/>
                <w:szCs w:val="20"/>
                <w:color w:val="auto"/>
              </w:rPr>
            </w:pPr>
            <w:r>
              <w:rPr>
                <w:rFonts w:ascii="Arial" w:cs="Arial" w:eastAsia="Arial" w:hAnsi="Arial"/>
                <w:sz w:val="16"/>
                <w:szCs w:val="16"/>
                <w:b w:val="1"/>
                <w:bCs w:val="1"/>
                <w:color w:val="0000FF"/>
                <w:w w:val="97"/>
              </w:rPr>
              <w:t xml:space="preserve">104 </w:t>
            </w:r>
            <w:r>
              <w:rPr>
                <w:rFonts w:ascii="Arial" w:cs="Arial" w:eastAsia="Arial" w:hAnsi="Arial"/>
                <w:sz w:val="16"/>
                <w:szCs w:val="16"/>
                <w:color w:val="010101"/>
                <w:w w:val="97"/>
              </w:rPr>
              <w:t>SECTION</w:t>
            </w:r>
          </w:p>
        </w:tc>
        <w:tc>
          <w:tcPr>
            <w:tcW w:w="400" w:type="dxa"/>
            <w:vAlign w:val="bottom"/>
            <w:gridSpan w:val="2"/>
          </w:tcPr>
          <w:p>
            <w:pPr>
              <w:jc w:val="right"/>
              <w:spacing w:after="0" w:line="142" w:lineRule="exact"/>
              <w:rPr>
                <w:sz w:val="20"/>
                <w:szCs w:val="20"/>
                <w:color w:val="auto"/>
              </w:rPr>
            </w:pPr>
            <w:r>
              <w:rPr>
                <w:rFonts w:ascii="Arial" w:cs="Arial" w:eastAsia="Arial" w:hAnsi="Arial"/>
                <w:sz w:val="16"/>
                <w:szCs w:val="16"/>
                <w:color w:val="010101"/>
                <w:w w:val="84"/>
              </w:rPr>
              <w:t>9.07.</w:t>
            </w:r>
          </w:p>
        </w:tc>
        <w:tc>
          <w:tcPr>
            <w:tcW w:w="1100" w:type="dxa"/>
            <w:vAlign w:val="bottom"/>
            <w:gridSpan w:val="7"/>
          </w:tcPr>
          <w:p>
            <w:pPr>
              <w:jc w:val="right"/>
              <w:spacing w:after="0" w:line="142" w:lineRule="exact"/>
              <w:rPr>
                <w:sz w:val="20"/>
                <w:szCs w:val="20"/>
                <w:color w:val="auto"/>
              </w:rPr>
            </w:pPr>
            <w:r>
              <w:rPr>
                <w:rFonts w:ascii="Arial" w:cs="Arial" w:eastAsia="Arial" w:hAnsi="Arial"/>
                <w:sz w:val="16"/>
                <w:szCs w:val="16"/>
                <w:color w:val="010101"/>
                <w:w w:val="87"/>
              </w:rPr>
              <w:t>Assignments and</w:t>
            </w:r>
          </w:p>
        </w:tc>
        <w:tc>
          <w:tcPr>
            <w:tcW w:w="0" w:type="dxa"/>
            <w:vAlign w:val="bottom"/>
          </w:tcPr>
          <w:p>
            <w:pPr>
              <w:spacing w:after="0"/>
              <w:rPr>
                <w:sz w:val="1"/>
                <w:szCs w:val="1"/>
                <w:color w:val="auto"/>
              </w:rPr>
            </w:pPr>
          </w:p>
        </w:tc>
      </w:tr>
      <w:tr>
        <w:trPr>
          <w:trHeight w:val="20"/>
        </w:trPr>
        <w:tc>
          <w:tcPr>
            <w:tcW w:w="1380" w:type="dxa"/>
            <w:vAlign w:val="bottom"/>
            <w:gridSpan w:val="6"/>
            <w:vMerge w:val="restart"/>
          </w:tcPr>
          <w:p>
            <w:pPr>
              <w:ind w:left="480"/>
              <w:spacing w:after="0" w:line="161" w:lineRule="exact"/>
              <w:rPr>
                <w:sz w:val="20"/>
                <w:szCs w:val="20"/>
                <w:color w:val="auto"/>
              </w:rPr>
            </w:pPr>
            <w:r>
              <w:rPr>
                <w:rFonts w:ascii="Arial" w:cs="Arial" w:eastAsia="Arial" w:hAnsi="Arial"/>
                <w:sz w:val="16"/>
                <w:szCs w:val="16"/>
                <w:color w:val="010101"/>
                <w:w w:val="91"/>
              </w:rPr>
              <w:t>Participations</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40" w:type="dxa"/>
            <w:vAlign w:val="bottom"/>
            <w:gridSpan w:val="2"/>
            <w:shd w:val="clear" w:color="auto" w:fill="FF0000"/>
          </w:tcPr>
          <w:p>
            <w:pPr>
              <w:spacing w:after="0" w:line="20" w:lineRule="exact"/>
              <w:rPr>
                <w:sz w:val="1"/>
                <w:szCs w:val="1"/>
                <w:color w:val="auto"/>
              </w:rPr>
            </w:pPr>
          </w:p>
        </w:tc>
        <w:tc>
          <w:tcPr>
            <w:tcW w:w="100" w:type="dxa"/>
            <w:vAlign w:val="bottom"/>
            <w:gridSpan w:val="2"/>
            <w:shd w:val="clear" w:color="auto" w:fill="FF0000"/>
          </w:tcPr>
          <w:p>
            <w:pPr>
              <w:spacing w:after="0" w:line="20" w:lineRule="exact"/>
              <w:rPr>
                <w:sz w:val="1"/>
                <w:szCs w:val="1"/>
                <w:color w:val="auto"/>
              </w:rPr>
            </w:pPr>
          </w:p>
        </w:tc>
        <w:tc>
          <w:tcPr>
            <w:tcW w:w="200" w:type="dxa"/>
            <w:vAlign w:val="bottom"/>
            <w:gridSpan w:val="4"/>
            <w:shd w:val="clear" w:color="auto" w:fill="FF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15"/>
            <w:vMerge w:val="restart"/>
          </w:tcPr>
          <w:p>
            <w:pPr>
              <w:ind w:left="220"/>
              <w:spacing w:after="0" w:line="161" w:lineRule="exact"/>
              <w:rPr>
                <w:sz w:val="20"/>
                <w:szCs w:val="20"/>
                <w:color w:val="auto"/>
              </w:rPr>
            </w:pPr>
            <w:r>
              <w:rPr>
                <w:rFonts w:ascii="Arial" w:cs="Arial" w:eastAsia="Arial" w:hAnsi="Arial"/>
                <w:sz w:val="16"/>
                <w:szCs w:val="16"/>
                <w:color w:val="010101"/>
                <w:w w:val="95"/>
              </w:rPr>
              <w:t>9.08. Confidentiality</w:t>
            </w: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10101"/>
            </w:tcBorders>
            <w:shd w:val="clear" w:color="auto" w:fill="010101"/>
          </w:tcPr>
          <w:p>
            <w:pPr>
              <w:spacing w:after="0" w:line="20" w:lineRule="exact"/>
              <w:rPr>
                <w:sz w:val="1"/>
                <w:szCs w:val="1"/>
                <w:color w:val="auto"/>
              </w:rPr>
            </w:pPr>
          </w:p>
        </w:tc>
        <w:tc>
          <w:tcPr>
            <w:tcW w:w="60" w:type="dxa"/>
            <w:vAlign w:val="bottom"/>
            <w:shd w:val="clear" w:color="auto" w:fill="010101"/>
          </w:tcPr>
          <w:p>
            <w:pPr>
              <w:spacing w:after="0" w:line="20" w:lineRule="exact"/>
              <w:rPr>
                <w:sz w:val="1"/>
                <w:szCs w:val="1"/>
                <w:color w:val="auto"/>
              </w:rPr>
            </w:pPr>
          </w:p>
        </w:tc>
        <w:tc>
          <w:tcPr>
            <w:tcW w:w="100" w:type="dxa"/>
            <w:vAlign w:val="bottom"/>
            <w:tcBorders>
              <w:right w:val="single" w:sz="8" w:color="010101"/>
            </w:tcBorders>
            <w:shd w:val="clear" w:color="auto" w:fill="01010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12"/>
            <w:vMerge w:val="restart"/>
          </w:tcPr>
          <w:p>
            <w:pPr>
              <w:ind w:left="140"/>
              <w:spacing w:after="0" w:line="161" w:lineRule="exact"/>
              <w:rPr>
                <w:sz w:val="20"/>
                <w:szCs w:val="20"/>
                <w:color w:val="auto"/>
              </w:rPr>
            </w:pPr>
            <w:r>
              <w:rPr>
                <w:rFonts w:ascii="Arial" w:cs="Arial" w:eastAsia="Arial" w:hAnsi="Arial"/>
                <w:sz w:val="16"/>
                <w:szCs w:val="16"/>
                <w:color w:val="010101"/>
                <w:w w:val="94"/>
              </w:rPr>
              <w:t>9.09. Governing Law</w:t>
            </w: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gridSpan w:val="4"/>
            <w:vMerge w:val="restart"/>
          </w:tcPr>
          <w:p>
            <w:pPr>
              <w:jc w:val="right"/>
              <w:ind w:right="20"/>
              <w:spacing w:after="0" w:line="161" w:lineRule="exact"/>
              <w:rPr>
                <w:sz w:val="20"/>
                <w:szCs w:val="20"/>
                <w:color w:val="auto"/>
              </w:rPr>
            </w:pPr>
            <w:r>
              <w:rPr>
                <w:rFonts w:ascii="Arial" w:cs="Arial" w:eastAsia="Arial" w:hAnsi="Arial"/>
                <w:sz w:val="16"/>
                <w:szCs w:val="16"/>
                <w:color w:val="FF0000"/>
                <w:strike w:val="1"/>
                <w:w w:val="82"/>
              </w:rPr>
              <w:t>105</w:t>
            </w:r>
          </w:p>
        </w:tc>
        <w:tc>
          <w:tcPr>
            <w:tcW w:w="20" w:type="dxa"/>
            <w:vAlign w:val="bottom"/>
            <w:vMerge w:val="restart"/>
          </w:tcPr>
          <w:p>
            <w:pPr>
              <w:spacing w:after="0" w:line="20" w:lineRule="exact"/>
              <w:rPr>
                <w:sz w:val="1"/>
                <w:szCs w:val="1"/>
                <w:color w:val="auto"/>
              </w:rPr>
            </w:pPr>
          </w:p>
        </w:tc>
        <w:tc>
          <w:tcPr>
            <w:tcW w:w="200" w:type="dxa"/>
            <w:vAlign w:val="bottom"/>
            <w:gridSpan w:val="2"/>
            <w:shd w:val="clear" w:color="auto" w:fill="010101"/>
          </w:tcPr>
          <w:p>
            <w:pPr>
              <w:spacing w:after="0" w:line="20" w:lineRule="exact"/>
              <w:rPr>
                <w:sz w:val="1"/>
                <w:szCs w:val="1"/>
                <w:color w:val="auto"/>
              </w:rPr>
            </w:pPr>
          </w:p>
        </w:tc>
        <w:tc>
          <w:tcPr>
            <w:tcW w:w="100" w:type="dxa"/>
            <w:vAlign w:val="bottom"/>
            <w:tcBorders>
              <w:right w:val="single" w:sz="8" w:color="010101"/>
            </w:tcBorders>
            <w:shd w:val="clear" w:color="auto" w:fill="01010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gridSpan w:val="6"/>
            <w:vMerge w:val="continue"/>
          </w:tcPr>
          <w:p>
            <w:pPr>
              <w:spacing w:after="0"/>
              <w:rPr>
                <w:sz w:val="12"/>
                <w:szCs w:val="12"/>
                <w:color w:val="auto"/>
              </w:rPr>
            </w:pPr>
          </w:p>
        </w:tc>
        <w:tc>
          <w:tcPr>
            <w:tcW w:w="80" w:type="dxa"/>
            <w:vAlign w:val="bottom"/>
            <w:tcBorders>
              <w:bottom w:val="single" w:sz="8" w:color="010101"/>
            </w:tcBorders>
            <w:vMerge w:val="continue"/>
          </w:tcPr>
          <w:p>
            <w:pPr>
              <w:spacing w:after="0"/>
              <w:rPr>
                <w:sz w:val="12"/>
                <w:szCs w:val="12"/>
                <w:color w:val="auto"/>
              </w:rPr>
            </w:pPr>
          </w:p>
        </w:tc>
        <w:tc>
          <w:tcPr>
            <w:tcW w:w="100" w:type="dxa"/>
            <w:vAlign w:val="bottom"/>
            <w:tcBorders>
              <w:bottom w:val="single" w:sz="8" w:color="010101"/>
            </w:tcBorders>
          </w:tcPr>
          <w:p>
            <w:pPr>
              <w:spacing w:after="0"/>
              <w:rPr>
                <w:sz w:val="12"/>
                <w:szCs w:val="12"/>
                <w:color w:val="auto"/>
              </w:rPr>
            </w:pPr>
          </w:p>
        </w:tc>
        <w:tc>
          <w:tcPr>
            <w:tcW w:w="120" w:type="dxa"/>
            <w:vAlign w:val="bottom"/>
            <w:tcBorders>
              <w:bottom w:val="single" w:sz="8" w:color="010101"/>
            </w:tcBorders>
          </w:tcPr>
          <w:p>
            <w:pPr>
              <w:spacing w:after="0"/>
              <w:rPr>
                <w:sz w:val="12"/>
                <w:szCs w:val="12"/>
                <w:color w:val="auto"/>
              </w:rPr>
            </w:pPr>
          </w:p>
        </w:tc>
        <w:tc>
          <w:tcPr>
            <w:tcW w:w="240" w:type="dxa"/>
            <w:vAlign w:val="bottom"/>
            <w:gridSpan w:val="3"/>
          </w:tcPr>
          <w:p>
            <w:pPr>
              <w:spacing w:after="0" w:line="142" w:lineRule="exact"/>
              <w:rPr>
                <w:sz w:val="20"/>
                <w:szCs w:val="20"/>
                <w:color w:val="auto"/>
              </w:rPr>
            </w:pPr>
            <w:r>
              <w:rPr>
                <w:rFonts w:ascii="Arial" w:cs="Arial" w:eastAsia="Arial" w:hAnsi="Arial"/>
                <w:sz w:val="16"/>
                <w:szCs w:val="16"/>
                <w:color w:val="FF0000"/>
                <w:strike w:val="1"/>
                <w:w w:val="82"/>
              </w:rPr>
              <w:t>101</w:t>
            </w:r>
          </w:p>
        </w:tc>
        <w:tc>
          <w:tcPr>
            <w:tcW w:w="24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b w:val="1"/>
                <w:bCs w:val="1"/>
                <w:color w:val="0000FF"/>
                <w:w w:val="82"/>
              </w:rPr>
              <w:t>104</w:t>
            </w:r>
          </w:p>
        </w:tc>
        <w:tc>
          <w:tcPr>
            <w:tcW w:w="200" w:type="dxa"/>
            <w:vAlign w:val="bottom"/>
            <w:gridSpan w:val="4"/>
          </w:tcPr>
          <w:p>
            <w:pPr>
              <w:spacing w:after="0"/>
              <w:rPr>
                <w:sz w:val="12"/>
                <w:szCs w:val="12"/>
                <w:color w:val="auto"/>
              </w:rPr>
            </w:pPr>
          </w:p>
        </w:tc>
        <w:tc>
          <w:tcPr>
            <w:tcW w:w="400" w:type="dxa"/>
            <w:vAlign w:val="bottom"/>
            <w:gridSpan w:val="5"/>
          </w:tcPr>
          <w:p>
            <w:pPr>
              <w:spacing w:after="0"/>
              <w:rPr>
                <w:sz w:val="20"/>
                <w:szCs w:val="20"/>
                <w:color w:val="auto"/>
              </w:rPr>
            </w:pPr>
            <w:r>
              <w:rPr>
                <w:rFonts w:ascii="Arial" w:cs="Arial" w:eastAsia="Arial" w:hAnsi="Arial"/>
                <w:sz w:val="12"/>
                <w:szCs w:val="12"/>
                <w:color w:val="010101"/>
                <w:w w:val="71"/>
              </w:rPr>
              <w:t>SECTION</w:t>
            </w:r>
          </w:p>
        </w:tc>
        <w:tc>
          <w:tcPr>
            <w:tcW w:w="1580" w:type="dxa"/>
            <w:vAlign w:val="bottom"/>
            <w:gridSpan w:val="15"/>
            <w:vMerge w:val="continue"/>
          </w:tcPr>
          <w:p>
            <w:pPr>
              <w:spacing w:after="0"/>
              <w:rPr>
                <w:sz w:val="12"/>
                <w:szCs w:val="12"/>
                <w:color w:val="auto"/>
              </w:rPr>
            </w:pPr>
          </w:p>
        </w:tc>
        <w:tc>
          <w:tcPr>
            <w:tcW w:w="60" w:type="dxa"/>
            <w:vAlign w:val="bottom"/>
            <w:tcBorders>
              <w:bottom w:val="single" w:sz="8" w:color="010101"/>
            </w:tcBorders>
            <w:vMerge w:val="continue"/>
          </w:tcPr>
          <w:p>
            <w:pPr>
              <w:spacing w:after="0"/>
              <w:rPr>
                <w:sz w:val="12"/>
                <w:szCs w:val="12"/>
                <w:color w:val="auto"/>
              </w:rPr>
            </w:pPr>
          </w:p>
        </w:tc>
        <w:tc>
          <w:tcPr>
            <w:tcW w:w="80" w:type="dxa"/>
            <w:vAlign w:val="bottom"/>
            <w:tcBorders>
              <w:bottom w:val="single" w:sz="8" w:color="010101"/>
            </w:tcBorders>
          </w:tcPr>
          <w:p>
            <w:pPr>
              <w:spacing w:after="0"/>
              <w:rPr>
                <w:sz w:val="12"/>
                <w:szCs w:val="12"/>
                <w:color w:val="auto"/>
              </w:rPr>
            </w:pPr>
          </w:p>
        </w:tc>
        <w:tc>
          <w:tcPr>
            <w:tcW w:w="160" w:type="dxa"/>
            <w:vAlign w:val="bottom"/>
            <w:tcBorders>
              <w:bottom w:val="single" w:sz="8" w:color="010101"/>
            </w:tcBorders>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89"/>
              </w:rPr>
              <w:t>104</w:t>
            </w:r>
          </w:p>
        </w:tc>
        <w:tc>
          <w:tcPr>
            <w:tcW w:w="260" w:type="dxa"/>
            <w:vAlign w:val="bottom"/>
            <w:tcBorders>
              <w:bottom w:val="single" w:sz="8" w:color="0000FF"/>
            </w:tcBorders>
            <w:gridSpan w:val="3"/>
          </w:tcPr>
          <w:p>
            <w:pPr>
              <w:jc w:val="right"/>
              <w:ind w:right="20"/>
              <w:spacing w:after="0" w:line="142" w:lineRule="exact"/>
              <w:rPr>
                <w:sz w:val="20"/>
                <w:szCs w:val="20"/>
                <w:color w:val="auto"/>
              </w:rPr>
            </w:pPr>
            <w:r>
              <w:rPr>
                <w:rFonts w:ascii="Arial" w:cs="Arial" w:eastAsia="Arial" w:hAnsi="Arial"/>
                <w:sz w:val="16"/>
                <w:szCs w:val="16"/>
                <w:b w:val="1"/>
                <w:bCs w:val="1"/>
                <w:color w:val="0000FF"/>
                <w:w w:val="82"/>
              </w:rPr>
              <w:t>108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spacing w:after="0" w:line="142" w:lineRule="exact"/>
              <w:rPr>
                <w:sz w:val="20"/>
                <w:szCs w:val="20"/>
                <w:color w:val="auto"/>
              </w:rPr>
            </w:pPr>
            <w:r>
              <w:rPr>
                <w:rFonts w:ascii="Arial" w:cs="Arial" w:eastAsia="Arial" w:hAnsi="Arial"/>
                <w:sz w:val="14"/>
                <w:szCs w:val="14"/>
                <w:color w:val="010101"/>
                <w:w w:val="70"/>
              </w:rPr>
              <w:t>SECTION</w:t>
            </w:r>
          </w:p>
        </w:tc>
        <w:tc>
          <w:tcPr>
            <w:tcW w:w="1560" w:type="dxa"/>
            <w:vAlign w:val="bottom"/>
            <w:gridSpan w:val="12"/>
            <w:vMerge w:val="continue"/>
          </w:tcPr>
          <w:p>
            <w:pPr>
              <w:spacing w:after="0"/>
              <w:rPr>
                <w:sz w:val="12"/>
                <w:szCs w:val="12"/>
                <w:color w:val="auto"/>
              </w:rPr>
            </w:pPr>
          </w:p>
        </w:tc>
        <w:tc>
          <w:tcPr>
            <w:tcW w:w="100" w:type="dxa"/>
            <w:vAlign w:val="bottom"/>
            <w:tcBorders>
              <w:bottom w:val="single" w:sz="8" w:color="FF0000"/>
            </w:tcBorders>
            <w:vMerge w:val="continue"/>
          </w:tcPr>
          <w:p>
            <w:pPr>
              <w:spacing w:after="0"/>
              <w:rPr>
                <w:sz w:val="12"/>
                <w:szCs w:val="12"/>
                <w:color w:val="auto"/>
              </w:rPr>
            </w:pPr>
          </w:p>
        </w:tc>
        <w:tc>
          <w:tcPr>
            <w:tcW w:w="100" w:type="dxa"/>
            <w:vAlign w:val="bottom"/>
            <w:tcBorders>
              <w:bottom w:val="single" w:sz="8" w:color="FF0000"/>
            </w:tcBorders>
            <w:vMerge w:val="continue"/>
          </w:tcPr>
          <w:p>
            <w:pPr>
              <w:spacing w:after="0"/>
              <w:rPr>
                <w:sz w:val="12"/>
                <w:szCs w:val="12"/>
                <w:color w:val="auto"/>
              </w:rPr>
            </w:pPr>
          </w:p>
        </w:tc>
        <w:tc>
          <w:tcPr>
            <w:tcW w:w="120" w:type="dxa"/>
            <w:vAlign w:val="bottom"/>
            <w:tcBorders>
              <w:bottom w:val="single" w:sz="8" w:color="FF0000"/>
            </w:tcBorders>
            <w:vMerge w:val="continue"/>
          </w:tcPr>
          <w:p>
            <w:pPr>
              <w:spacing w:after="0"/>
              <w:rPr>
                <w:sz w:val="12"/>
                <w:szCs w:val="12"/>
                <w:color w:val="auto"/>
              </w:rPr>
            </w:pPr>
          </w:p>
        </w:tc>
        <w:tc>
          <w:tcPr>
            <w:tcW w:w="2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0" w:type="dxa"/>
            <w:vAlign w:val="bottom"/>
            <w:tcBorders>
              <w:bottom w:val="single" w:sz="8" w:color="0000FF"/>
            </w:tcBorders>
            <w:gridSpan w:val="2"/>
          </w:tcPr>
          <w:p>
            <w:pPr>
              <w:spacing w:after="0" w:line="142" w:lineRule="exact"/>
              <w:rPr>
                <w:sz w:val="20"/>
                <w:szCs w:val="20"/>
                <w:color w:val="auto"/>
              </w:rPr>
            </w:pPr>
            <w:r>
              <w:rPr>
                <w:rFonts w:ascii="Arial" w:cs="Arial" w:eastAsia="Arial" w:hAnsi="Arial"/>
                <w:sz w:val="15"/>
                <w:szCs w:val="15"/>
                <w:b w:val="1"/>
                <w:bCs w:val="1"/>
                <w:color w:val="0000FF"/>
                <w:w w:val="71"/>
              </w:rPr>
              <w:t>108</w:t>
            </w:r>
          </w:p>
        </w:tc>
        <w:tc>
          <w:tcPr>
            <w:tcW w:w="100" w:type="dxa"/>
            <w:vAlign w:val="bottom"/>
          </w:tcPr>
          <w:p>
            <w:pPr>
              <w:spacing w:after="0"/>
              <w:rPr>
                <w:sz w:val="12"/>
                <w:szCs w:val="12"/>
                <w:color w:val="auto"/>
              </w:rPr>
            </w:pPr>
          </w:p>
        </w:tc>
        <w:tc>
          <w:tcPr>
            <w:tcW w:w="480" w:type="dxa"/>
            <w:vAlign w:val="bottom"/>
            <w:gridSpan w:val="3"/>
          </w:tcPr>
          <w:p>
            <w:pPr>
              <w:spacing w:after="0" w:line="142" w:lineRule="exact"/>
              <w:rPr>
                <w:sz w:val="20"/>
                <w:szCs w:val="20"/>
                <w:color w:val="auto"/>
              </w:rPr>
            </w:pPr>
            <w:r>
              <w:rPr>
                <w:rFonts w:ascii="Arial" w:cs="Arial" w:eastAsia="Arial" w:hAnsi="Arial"/>
                <w:sz w:val="14"/>
                <w:szCs w:val="14"/>
                <w:color w:val="010101"/>
                <w:w w:val="73"/>
              </w:rPr>
              <w:t>SECTION</w:t>
            </w:r>
          </w:p>
        </w:tc>
        <w:tc>
          <w:tcPr>
            <w:tcW w:w="2300" w:type="dxa"/>
            <w:vAlign w:val="bottom"/>
            <w:gridSpan w:val="12"/>
          </w:tcPr>
          <w:p>
            <w:pPr>
              <w:jc w:val="right"/>
              <w:spacing w:after="0" w:line="142" w:lineRule="exact"/>
              <w:rPr>
                <w:sz w:val="20"/>
                <w:szCs w:val="20"/>
                <w:color w:val="auto"/>
              </w:rPr>
            </w:pPr>
            <w:r>
              <w:rPr>
                <w:rFonts w:ascii="Arial" w:cs="Arial" w:eastAsia="Arial" w:hAnsi="Arial"/>
                <w:sz w:val="16"/>
                <w:szCs w:val="16"/>
                <w:color w:val="010101"/>
              </w:rPr>
              <w:t>9.10. Counterparts; Integration;</w:t>
            </w:r>
          </w:p>
        </w:tc>
        <w:tc>
          <w:tcPr>
            <w:tcW w:w="0" w:type="dxa"/>
            <w:vAlign w:val="bottom"/>
          </w:tcPr>
          <w:p>
            <w:pPr>
              <w:spacing w:after="0"/>
              <w:rPr>
                <w:sz w:val="1"/>
                <w:szCs w:val="1"/>
                <w:color w:val="auto"/>
              </w:rPr>
            </w:pPr>
          </w:p>
        </w:tc>
      </w:tr>
      <w:tr>
        <w:trPr>
          <w:trHeight w:val="142"/>
        </w:trPr>
        <w:tc>
          <w:tcPr>
            <w:tcW w:w="1360" w:type="dxa"/>
            <w:vAlign w:val="bottom"/>
            <w:gridSpan w:val="5"/>
          </w:tcPr>
          <w:p>
            <w:pPr>
              <w:ind w:left="480"/>
              <w:spacing w:after="0" w:line="142" w:lineRule="exact"/>
              <w:rPr>
                <w:sz w:val="20"/>
                <w:szCs w:val="20"/>
                <w:color w:val="auto"/>
              </w:rPr>
            </w:pPr>
            <w:r>
              <w:rPr>
                <w:rFonts w:ascii="Arial" w:cs="Arial" w:eastAsia="Arial" w:hAnsi="Arial"/>
                <w:sz w:val="16"/>
                <w:szCs w:val="16"/>
                <w:color w:val="010101"/>
                <w:w w:val="90"/>
              </w:rPr>
              <w:t>Effectiveness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82"/>
              </w:rPr>
              <w:t>105</w:t>
            </w:r>
          </w:p>
        </w:tc>
        <w:tc>
          <w:tcPr>
            <w:tcW w:w="2600" w:type="dxa"/>
            <w:vAlign w:val="bottom"/>
            <w:gridSpan w:val="31"/>
          </w:tcPr>
          <w:p>
            <w:pPr>
              <w:spacing w:after="0" w:line="142" w:lineRule="exact"/>
              <w:rPr>
                <w:sz w:val="20"/>
                <w:szCs w:val="20"/>
                <w:color w:val="auto"/>
              </w:rPr>
            </w:pPr>
            <w:r>
              <w:rPr>
                <w:rFonts w:ascii="Arial" w:cs="Arial" w:eastAsia="Arial" w:hAnsi="Arial"/>
                <w:sz w:val="16"/>
                <w:szCs w:val="16"/>
                <w:b w:val="1"/>
                <w:bCs w:val="1"/>
                <w:color w:val="0000FF"/>
                <w:w w:val="97"/>
              </w:rPr>
              <w:t xml:space="preserve">108 </w:t>
            </w:r>
            <w:r>
              <w:rPr>
                <w:rFonts w:ascii="Arial" w:cs="Arial" w:eastAsia="Arial" w:hAnsi="Arial"/>
                <w:sz w:val="16"/>
                <w:szCs w:val="16"/>
                <w:color w:val="010101"/>
                <w:w w:val="97"/>
              </w:rPr>
              <w:t>SECTION 9.11. Jurisdiction, Etc.</w:t>
            </w:r>
          </w:p>
        </w:tc>
        <w:tc>
          <w:tcPr>
            <w:tcW w:w="8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82"/>
              </w:rPr>
              <w:t>106</w:t>
            </w:r>
          </w:p>
        </w:tc>
        <w:tc>
          <w:tcPr>
            <w:tcW w:w="2600" w:type="dxa"/>
            <w:vAlign w:val="bottom"/>
            <w:gridSpan w:val="20"/>
          </w:tcPr>
          <w:p>
            <w:pPr>
              <w:spacing w:after="0" w:line="142" w:lineRule="exact"/>
              <w:rPr>
                <w:sz w:val="20"/>
                <w:szCs w:val="20"/>
                <w:color w:val="auto"/>
              </w:rPr>
            </w:pPr>
            <w:r>
              <w:rPr>
                <w:rFonts w:ascii="Arial" w:cs="Arial" w:eastAsia="Arial" w:hAnsi="Arial"/>
                <w:sz w:val="16"/>
                <w:szCs w:val="16"/>
                <w:b w:val="1"/>
                <w:bCs w:val="1"/>
                <w:color w:val="0000FF"/>
                <w:w w:val="95"/>
              </w:rPr>
              <w:t xml:space="preserve">110 </w:t>
            </w:r>
            <w:r>
              <w:rPr>
                <w:rFonts w:ascii="Arial" w:cs="Arial" w:eastAsia="Arial" w:hAnsi="Arial"/>
                <w:sz w:val="16"/>
                <w:szCs w:val="16"/>
                <w:color w:val="010101"/>
                <w:w w:val="95"/>
              </w:rPr>
              <w:t>SECTION 9.12. Patriot Act Notice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74"/>
              </w:rPr>
              <w:t>107</w:t>
            </w:r>
          </w:p>
        </w:tc>
        <w:tc>
          <w:tcPr>
            <w:tcW w:w="20" w:type="dxa"/>
            <w:vAlign w:val="bottom"/>
          </w:tcPr>
          <w:p>
            <w:pPr>
              <w:spacing w:after="0"/>
              <w:rPr>
                <w:sz w:val="12"/>
                <w:szCs w:val="12"/>
                <w:color w:val="auto"/>
              </w:rPr>
            </w:pPr>
          </w:p>
        </w:tc>
        <w:tc>
          <w:tcPr>
            <w:tcW w:w="240" w:type="dxa"/>
            <w:vAlign w:val="bottom"/>
            <w:gridSpan w:val="3"/>
          </w:tcPr>
          <w:p>
            <w:pPr>
              <w:jc w:val="right"/>
              <w:ind w:right="20"/>
              <w:spacing w:after="0" w:line="142" w:lineRule="exact"/>
              <w:rPr>
                <w:sz w:val="20"/>
                <w:szCs w:val="20"/>
                <w:color w:val="auto"/>
              </w:rPr>
            </w:pPr>
            <w:r>
              <w:rPr>
                <w:rFonts w:ascii="Arial" w:cs="Arial" w:eastAsia="Arial" w:hAnsi="Arial"/>
                <w:sz w:val="16"/>
                <w:szCs w:val="16"/>
                <w:b w:val="1"/>
                <w:bCs w:val="1"/>
                <w:color w:val="0000FF"/>
                <w:w w:val="74"/>
              </w:rPr>
              <w:t>110</w:t>
            </w:r>
          </w:p>
        </w:tc>
        <w:tc>
          <w:tcPr>
            <w:tcW w:w="2620" w:type="dxa"/>
            <w:vAlign w:val="bottom"/>
            <w:gridSpan w:val="15"/>
          </w:tcPr>
          <w:p>
            <w:pPr>
              <w:ind w:left="40"/>
              <w:spacing w:after="0" w:line="142" w:lineRule="exact"/>
              <w:rPr>
                <w:sz w:val="20"/>
                <w:szCs w:val="20"/>
                <w:color w:val="auto"/>
              </w:rPr>
            </w:pPr>
            <w:r>
              <w:rPr>
                <w:rFonts w:ascii="Arial" w:cs="Arial" w:eastAsia="Arial" w:hAnsi="Arial"/>
                <w:sz w:val="16"/>
                <w:szCs w:val="16"/>
                <w:color w:val="010101"/>
              </w:rPr>
              <w:t>SECTION 9.13. Waiver of Jury Trial</w:t>
            </w: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89"/>
              </w:rPr>
              <w:t>107</w:t>
            </w:r>
          </w:p>
        </w:tc>
        <w:tc>
          <w:tcPr>
            <w:tcW w:w="220" w:type="dxa"/>
            <w:vAlign w:val="bottom"/>
            <w:gridSpan w:val="2"/>
          </w:tcPr>
          <w:p>
            <w:pPr>
              <w:jc w:val="right"/>
              <w:spacing w:after="0" w:line="142" w:lineRule="exact"/>
              <w:rPr>
                <w:sz w:val="20"/>
                <w:szCs w:val="20"/>
                <w:color w:val="auto"/>
              </w:rPr>
            </w:pPr>
            <w:r>
              <w:rPr>
                <w:rFonts w:ascii="Arial" w:cs="Arial" w:eastAsia="Arial" w:hAnsi="Arial"/>
                <w:sz w:val="16"/>
                <w:szCs w:val="16"/>
                <w:b w:val="1"/>
                <w:bCs w:val="1"/>
                <w:color w:val="0000FF"/>
                <w:w w:val="74"/>
              </w:rPr>
              <w:t>110</w:t>
            </w:r>
          </w:p>
        </w:tc>
        <w:tc>
          <w:tcPr>
            <w:tcW w:w="0" w:type="dxa"/>
            <w:vAlign w:val="bottom"/>
          </w:tcPr>
          <w:p>
            <w:pPr>
              <w:spacing w:after="0"/>
              <w:rPr>
                <w:sz w:val="1"/>
                <w:szCs w:val="1"/>
                <w:color w:val="auto"/>
              </w:rPr>
            </w:pPr>
          </w:p>
        </w:tc>
      </w:tr>
      <w:tr>
        <w:trPr>
          <w:trHeight w:val="20"/>
        </w:trPr>
        <w:tc>
          <w:tcPr>
            <w:tcW w:w="1560" w:type="dxa"/>
            <w:vAlign w:val="bottom"/>
            <w:gridSpan w:val="8"/>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3140" w:type="dxa"/>
            <w:vAlign w:val="bottom"/>
            <w:tcBorders>
              <w:right w:val="single" w:sz="8" w:color="0000FF"/>
            </w:tcBorders>
            <w:gridSpan w:val="36"/>
            <w:shd w:val="clear" w:color="auto" w:fill="0000FF"/>
          </w:tcPr>
          <w:p>
            <w:pPr>
              <w:spacing w:after="0" w:line="20" w:lineRule="exact"/>
              <w:rPr>
                <w:sz w:val="1"/>
                <w:szCs w:val="1"/>
                <w:color w:val="auto"/>
              </w:rPr>
            </w:pPr>
          </w:p>
        </w:tc>
        <w:tc>
          <w:tcPr>
            <w:tcW w:w="3000" w:type="dxa"/>
            <w:vAlign w:val="bottom"/>
            <w:tcBorders>
              <w:right w:val="single" w:sz="8" w:color="0000FF"/>
            </w:tcBorders>
            <w:gridSpan w:val="26"/>
          </w:tcPr>
          <w:p>
            <w:pPr>
              <w:spacing w:after="0" w:line="20" w:lineRule="exact"/>
              <w:rPr>
                <w:sz w:val="1"/>
                <w:szCs w:val="1"/>
                <w:color w:val="auto"/>
              </w:rPr>
            </w:pPr>
          </w:p>
        </w:tc>
        <w:tc>
          <w:tcPr>
            <w:tcW w:w="31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60" w:type="dxa"/>
            <w:vAlign w:val="bottom"/>
            <w:gridSpan w:val="8"/>
          </w:tcPr>
          <w:p>
            <w:pPr>
              <w:ind w:left="480"/>
              <w:spacing w:after="0" w:line="132" w:lineRule="exact"/>
              <w:rPr>
                <w:sz w:val="20"/>
                <w:szCs w:val="20"/>
                <w:color w:val="auto"/>
              </w:rPr>
            </w:pPr>
            <w:r>
              <w:rPr>
                <w:rFonts w:ascii="Arial" w:cs="Arial" w:eastAsia="Arial" w:hAnsi="Arial"/>
                <w:sz w:val="15"/>
                <w:szCs w:val="15"/>
                <w:color w:val="010101"/>
              </w:rPr>
              <w:t>SECTION 9.14.</w:t>
            </w:r>
          </w:p>
        </w:tc>
        <w:tc>
          <w:tcPr>
            <w:tcW w:w="240" w:type="dxa"/>
            <w:vAlign w:val="bottom"/>
            <w:gridSpan w:val="2"/>
            <w:vMerge w:val="continue"/>
          </w:tcPr>
          <w:p>
            <w:pPr>
              <w:spacing w:after="0"/>
              <w:rPr>
                <w:sz w:val="11"/>
                <w:szCs w:val="11"/>
                <w:color w:val="auto"/>
              </w:rPr>
            </w:pPr>
          </w:p>
        </w:tc>
        <w:tc>
          <w:tcPr>
            <w:tcW w:w="3360" w:type="dxa"/>
            <w:vAlign w:val="bottom"/>
            <w:gridSpan w:val="38"/>
          </w:tcPr>
          <w:p>
            <w:pPr>
              <w:spacing w:after="0" w:line="132" w:lineRule="exact"/>
              <w:rPr>
                <w:sz w:val="20"/>
                <w:szCs w:val="20"/>
                <w:color w:val="auto"/>
              </w:rPr>
            </w:pPr>
            <w:r>
              <w:rPr>
                <w:rFonts w:ascii="Arial" w:cs="Arial" w:eastAsia="Arial" w:hAnsi="Arial"/>
                <w:sz w:val="15"/>
                <w:szCs w:val="15"/>
                <w:color w:val="010101"/>
                <w:w w:val="94"/>
              </w:rPr>
              <w:t>Acknowledgement and Consent to Bail-In of Affected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0"/>
          </w:tcPr>
          <w:p>
            <w:pPr>
              <w:ind w:left="20"/>
              <w:spacing w:after="0" w:line="172" w:lineRule="exact"/>
              <w:rPr>
                <w:sz w:val="20"/>
                <w:szCs w:val="20"/>
                <w:color w:val="auto"/>
              </w:rPr>
            </w:pPr>
            <w:r>
              <w:rPr>
                <w:rFonts w:ascii="Arial" w:cs="Arial" w:eastAsia="Arial" w:hAnsi="Arial"/>
                <w:sz w:val="16"/>
                <w:szCs w:val="16"/>
                <w:color w:val="010101"/>
                <w:w w:val="99"/>
              </w:rPr>
              <w:t>Financial Institutions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spacing w:after="0" w:line="172" w:lineRule="exact"/>
              <w:rPr>
                <w:sz w:val="20"/>
                <w:szCs w:val="20"/>
                <w:color w:val="auto"/>
              </w:rPr>
            </w:pPr>
            <w:r>
              <w:rPr>
                <w:rFonts w:ascii="Arial" w:cs="Arial" w:eastAsia="Arial" w:hAnsi="Arial"/>
                <w:sz w:val="16"/>
                <w:szCs w:val="16"/>
                <w:color w:val="FF0000"/>
                <w:strike w:val="1"/>
                <w:w w:val="74"/>
              </w:rPr>
              <w:t>107</w:t>
            </w:r>
          </w:p>
        </w:tc>
        <w:tc>
          <w:tcPr>
            <w:tcW w:w="3680" w:type="dxa"/>
            <w:vAlign w:val="bottom"/>
            <w:gridSpan w:val="30"/>
          </w:tcPr>
          <w:p>
            <w:pPr>
              <w:jc w:val="right"/>
              <w:ind w:right="320"/>
              <w:spacing w:after="0" w:line="172" w:lineRule="exact"/>
              <w:rPr>
                <w:sz w:val="20"/>
                <w:szCs w:val="20"/>
                <w:color w:val="auto"/>
              </w:rPr>
            </w:pPr>
            <w:r>
              <w:rPr>
                <w:rFonts w:ascii="Arial" w:cs="Arial" w:eastAsia="Arial" w:hAnsi="Arial"/>
                <w:sz w:val="16"/>
                <w:szCs w:val="16"/>
                <w:b w:val="1"/>
                <w:bCs w:val="1"/>
                <w:color w:val="0000FF"/>
                <w:w w:val="92"/>
              </w:rPr>
              <w:t xml:space="preserve">111 </w:t>
            </w:r>
            <w:r>
              <w:rPr>
                <w:rFonts w:ascii="Arial" w:cs="Arial" w:eastAsia="Arial" w:hAnsi="Arial"/>
                <w:sz w:val="16"/>
                <w:szCs w:val="16"/>
                <w:color w:val="010101"/>
                <w:w w:val="92"/>
              </w:rPr>
              <w:t>SECTION 9.15. Amendment and Restatement</w:t>
            </w:r>
          </w:p>
        </w:tc>
        <w:tc>
          <w:tcPr>
            <w:tcW w:w="240" w:type="dxa"/>
            <w:vAlign w:val="bottom"/>
            <w:gridSpan w:val="3"/>
          </w:tcPr>
          <w:p>
            <w:pPr>
              <w:jc w:val="right"/>
              <w:spacing w:after="0" w:line="172" w:lineRule="exact"/>
              <w:rPr>
                <w:sz w:val="20"/>
                <w:szCs w:val="20"/>
                <w:color w:val="auto"/>
              </w:rPr>
            </w:pPr>
            <w:r>
              <w:rPr>
                <w:rFonts w:ascii="Arial" w:cs="Arial" w:eastAsia="Arial" w:hAnsi="Arial"/>
                <w:sz w:val="16"/>
                <w:szCs w:val="16"/>
                <w:color w:val="FF0000"/>
                <w:strike w:val="1"/>
                <w:w w:val="82"/>
              </w:rPr>
              <w:t>108</w:t>
            </w:r>
          </w:p>
        </w:tc>
        <w:tc>
          <w:tcPr>
            <w:tcW w:w="3000" w:type="dxa"/>
            <w:vAlign w:val="bottom"/>
            <w:gridSpan w:val="20"/>
          </w:tcPr>
          <w:p>
            <w:pPr>
              <w:spacing w:after="0" w:line="172" w:lineRule="exact"/>
              <w:rPr>
                <w:sz w:val="20"/>
                <w:szCs w:val="20"/>
                <w:color w:val="auto"/>
              </w:rPr>
            </w:pPr>
            <w:r>
              <w:rPr>
                <w:rFonts w:ascii="Arial" w:cs="Arial" w:eastAsia="Arial" w:hAnsi="Arial"/>
                <w:sz w:val="16"/>
                <w:szCs w:val="16"/>
                <w:b w:val="1"/>
                <w:bCs w:val="1"/>
                <w:color w:val="0000FF"/>
              </w:rPr>
              <w:t xml:space="preserve">111 </w:t>
            </w:r>
            <w:r>
              <w:rPr>
                <w:rFonts w:ascii="Arial" w:cs="Arial" w:eastAsia="Arial" w:hAnsi="Arial"/>
                <w:sz w:val="16"/>
                <w:szCs w:val="16"/>
                <w:color w:val="010101"/>
              </w:rPr>
              <w:t>SECTION 9.16. Judgment Currency</w:t>
            </w:r>
          </w:p>
        </w:tc>
        <w:tc>
          <w:tcPr>
            <w:tcW w:w="20" w:type="dxa"/>
            <w:vAlign w:val="bottom"/>
          </w:tcPr>
          <w:p>
            <w:pPr>
              <w:spacing w:after="0"/>
              <w:rPr>
                <w:sz w:val="14"/>
                <w:szCs w:val="14"/>
                <w:color w:val="auto"/>
              </w:rPr>
            </w:pPr>
          </w:p>
        </w:tc>
        <w:tc>
          <w:tcPr>
            <w:tcW w:w="260" w:type="dxa"/>
            <w:vAlign w:val="bottom"/>
            <w:gridSpan w:val="2"/>
          </w:tcPr>
          <w:p>
            <w:pPr>
              <w:jc w:val="right"/>
              <w:spacing w:after="0" w:line="172" w:lineRule="exact"/>
              <w:rPr>
                <w:sz w:val="20"/>
                <w:szCs w:val="20"/>
                <w:color w:val="auto"/>
              </w:rPr>
            </w:pPr>
            <w:r>
              <w:rPr>
                <w:rFonts w:ascii="Arial" w:cs="Arial" w:eastAsia="Arial" w:hAnsi="Arial"/>
                <w:sz w:val="16"/>
                <w:szCs w:val="16"/>
                <w:color w:val="FF0000"/>
                <w:strike w:val="1"/>
                <w:w w:val="82"/>
              </w:rPr>
              <w:t>108</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0000FF"/>
                <w:w w:val="71"/>
              </w:rPr>
              <w:t>111</w:t>
            </w:r>
          </w:p>
        </w:tc>
        <w:tc>
          <w:tcPr>
            <w:tcW w:w="0" w:type="dxa"/>
            <w:vAlign w:val="bottom"/>
          </w:tcPr>
          <w:p>
            <w:pPr>
              <w:spacing w:after="0"/>
              <w:rPr>
                <w:sz w:val="1"/>
                <w:szCs w:val="1"/>
                <w:color w:val="auto"/>
              </w:rPr>
            </w:pPr>
          </w:p>
        </w:tc>
      </w:tr>
      <w:tr>
        <w:trPr>
          <w:trHeight w:val="20"/>
        </w:trPr>
        <w:tc>
          <w:tcPr>
            <w:tcW w:w="3180" w:type="dxa"/>
            <w:vAlign w:val="bottom"/>
            <w:tcBorders>
              <w:right w:val="single" w:sz="8" w:color="010101"/>
            </w:tcBorders>
            <w:gridSpan w:val="29"/>
          </w:tcPr>
          <w:p>
            <w:pPr>
              <w:spacing w:after="0" w:line="20" w:lineRule="exact"/>
              <w:rPr>
                <w:sz w:val="1"/>
                <w:szCs w:val="1"/>
                <w:color w:val="auto"/>
              </w:rPr>
            </w:pPr>
          </w:p>
        </w:tc>
        <w:tc>
          <w:tcPr>
            <w:tcW w:w="120" w:type="dxa"/>
            <w:vAlign w:val="bottom"/>
            <w:tcBorders>
              <w:left w:val="single" w:sz="8" w:color="010101"/>
            </w:tcBorders>
            <w:shd w:val="clear" w:color="auto" w:fill="010101"/>
          </w:tcPr>
          <w:p>
            <w:pPr>
              <w:spacing w:after="0" w:line="20" w:lineRule="exact"/>
              <w:rPr>
                <w:sz w:val="1"/>
                <w:szCs w:val="1"/>
                <w:color w:val="auto"/>
              </w:rPr>
            </w:pPr>
          </w:p>
        </w:tc>
        <w:tc>
          <w:tcPr>
            <w:tcW w:w="100" w:type="dxa"/>
            <w:vAlign w:val="bottom"/>
            <w:tcBorders>
              <w:right w:val="single" w:sz="8" w:color="010101"/>
            </w:tcBorders>
            <w:shd w:val="clear" w:color="auto" w:fill="010101"/>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shd w:val="clear" w:color="auto" w:fill="01010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10101"/>
            </w:tcBorders>
          </w:tcPr>
          <w:p>
            <w:pPr>
              <w:spacing w:after="0" w:line="20" w:lineRule="exact"/>
              <w:rPr>
                <w:sz w:val="1"/>
                <w:szCs w:val="1"/>
                <w:color w:val="auto"/>
              </w:rPr>
            </w:pPr>
          </w:p>
        </w:tc>
        <w:tc>
          <w:tcPr>
            <w:tcW w:w="240" w:type="dxa"/>
            <w:vAlign w:val="bottom"/>
            <w:gridSpan w:val="2"/>
            <w:shd w:val="clear" w:color="auto" w:fill="010101"/>
          </w:tcPr>
          <w:p>
            <w:pPr>
              <w:spacing w:after="0" w:line="20" w:lineRule="exact"/>
              <w:rPr>
                <w:sz w:val="1"/>
                <w:szCs w:val="1"/>
                <w:color w:val="auto"/>
              </w:rPr>
            </w:pPr>
          </w:p>
        </w:tc>
        <w:tc>
          <w:tcPr>
            <w:tcW w:w="20" w:type="dxa"/>
            <w:vAlign w:val="bottom"/>
            <w:shd w:val="clear" w:color="auto" w:fill="010101"/>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FF0000"/>
                <w:strike w:val="1"/>
              </w:rPr>
              <w:t>109</w:t>
            </w: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3400" w:type="dxa"/>
            <w:vAlign w:val="bottom"/>
            <w:gridSpan w:val="31"/>
            <w:vMerge w:val="restart"/>
          </w:tcPr>
          <w:p>
            <w:pPr>
              <w:ind w:left="480"/>
              <w:spacing w:after="0" w:line="142" w:lineRule="exact"/>
              <w:rPr>
                <w:sz w:val="20"/>
                <w:szCs w:val="20"/>
                <w:color w:val="auto"/>
              </w:rPr>
            </w:pPr>
            <w:r>
              <w:rPr>
                <w:rFonts w:ascii="Arial" w:cs="Arial" w:eastAsia="Arial" w:hAnsi="Arial"/>
                <w:sz w:val="16"/>
                <w:szCs w:val="16"/>
                <w:color w:val="010101"/>
                <w:w w:val="89"/>
              </w:rPr>
              <w:t>SECTION 9.17. Appointment of the Company</w:t>
            </w:r>
          </w:p>
        </w:tc>
        <w:tc>
          <w:tcPr>
            <w:tcW w:w="14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gridSpan w:val="2"/>
          </w:tcPr>
          <w:p>
            <w:pPr>
              <w:spacing w:after="0"/>
              <w:rPr>
                <w:sz w:val="7"/>
                <w:szCs w:val="7"/>
                <w:color w:val="auto"/>
              </w:rPr>
            </w:pPr>
          </w:p>
        </w:tc>
        <w:tc>
          <w:tcPr>
            <w:tcW w:w="2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color w:val="FF0000"/>
                <w:strike w:val="1"/>
                <w:w w:val="89"/>
              </w:rPr>
              <w:t>108</w:t>
            </w:r>
          </w:p>
        </w:tc>
        <w:tc>
          <w:tcPr>
            <w:tcW w:w="2280" w:type="dxa"/>
            <w:vAlign w:val="bottom"/>
            <w:gridSpan w:val="18"/>
            <w:vMerge w:val="restart"/>
          </w:tcPr>
          <w:p>
            <w:pPr>
              <w:spacing w:after="0" w:line="142" w:lineRule="exact"/>
              <w:rPr>
                <w:sz w:val="20"/>
                <w:szCs w:val="20"/>
                <w:color w:val="auto"/>
              </w:rPr>
            </w:pPr>
            <w:r>
              <w:rPr>
                <w:rFonts w:ascii="Arial" w:cs="Arial" w:eastAsia="Arial" w:hAnsi="Arial"/>
                <w:sz w:val="16"/>
                <w:szCs w:val="16"/>
                <w:b w:val="1"/>
                <w:bCs w:val="1"/>
                <w:color w:val="0000FF"/>
              </w:rPr>
              <w:t xml:space="preserve">112 </w:t>
            </w:r>
            <w:r>
              <w:rPr>
                <w:rFonts w:ascii="Arial" w:cs="Arial" w:eastAsia="Arial" w:hAnsi="Arial"/>
                <w:sz w:val="16"/>
                <w:szCs w:val="16"/>
                <w:color w:val="010101"/>
              </w:rPr>
              <w:t>SECTION 9.18. [reserved]</w:t>
            </w:r>
          </w:p>
        </w:tc>
        <w:tc>
          <w:tcPr>
            <w:tcW w:w="240" w:type="dxa"/>
            <w:vAlign w:val="bottom"/>
            <w:gridSpan w:val="2"/>
            <w:vMerge w:val="restart"/>
          </w:tcPr>
          <w:p>
            <w:pPr>
              <w:jc w:val="right"/>
              <w:spacing w:after="0" w:line="142" w:lineRule="exact"/>
              <w:rPr>
                <w:sz w:val="20"/>
                <w:szCs w:val="20"/>
                <w:color w:val="auto"/>
              </w:rPr>
            </w:pPr>
            <w:r>
              <w:rPr>
                <w:rFonts w:ascii="Arial" w:cs="Arial" w:eastAsia="Arial" w:hAnsi="Arial"/>
                <w:sz w:val="16"/>
                <w:szCs w:val="16"/>
                <w:color w:val="FF0000"/>
                <w:strike w:val="1"/>
                <w:w w:val="82"/>
              </w:rPr>
              <w:t>108</w:t>
            </w:r>
          </w:p>
        </w:tc>
        <w:tc>
          <w:tcPr>
            <w:tcW w:w="4020" w:type="dxa"/>
            <w:vAlign w:val="bottom"/>
            <w:gridSpan w:val="29"/>
            <w:vMerge w:val="restart"/>
          </w:tcPr>
          <w:p>
            <w:pPr>
              <w:spacing w:after="0" w:line="142" w:lineRule="exact"/>
              <w:rPr>
                <w:sz w:val="20"/>
                <w:szCs w:val="20"/>
                <w:color w:val="auto"/>
              </w:rPr>
            </w:pPr>
            <w:r>
              <w:rPr>
                <w:rFonts w:ascii="Arial" w:cs="Arial" w:eastAsia="Arial" w:hAnsi="Arial"/>
                <w:sz w:val="16"/>
                <w:szCs w:val="16"/>
                <w:b w:val="1"/>
                <w:bCs w:val="1"/>
                <w:color w:val="0000FF"/>
                <w:w w:val="99"/>
              </w:rPr>
              <w:t xml:space="preserve">112 </w:t>
            </w:r>
            <w:r>
              <w:rPr>
                <w:rFonts w:ascii="Arial" w:cs="Arial" w:eastAsia="Arial" w:hAnsi="Arial"/>
                <w:sz w:val="16"/>
                <w:szCs w:val="16"/>
                <w:color w:val="010101"/>
                <w:w w:val="99"/>
              </w:rPr>
              <w:t>SECTION 9.19. Australian Code of Banking Practice</w:t>
            </w:r>
          </w:p>
        </w:tc>
        <w:tc>
          <w:tcPr>
            <w:tcW w:w="20" w:type="dxa"/>
            <w:vAlign w:val="bottom"/>
            <w:tcBorders>
              <w:bottom w:val="single" w:sz="8" w:color="FF0000"/>
            </w:tcBorders>
          </w:tcPr>
          <w:p>
            <w:pPr>
              <w:spacing w:after="0"/>
              <w:rPr>
                <w:sz w:val="7"/>
                <w:szCs w:val="7"/>
                <w:color w:val="auto"/>
              </w:rPr>
            </w:pPr>
          </w:p>
        </w:tc>
        <w:tc>
          <w:tcPr>
            <w:tcW w:w="240" w:type="dxa"/>
            <w:vAlign w:val="bottom"/>
            <w:tcBorders>
              <w:bottom w:val="single" w:sz="8" w:color="FF0000"/>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0" w:type="dxa"/>
            <w:vAlign w:val="bottom"/>
            <w:vMerge w:val="restart"/>
          </w:tcPr>
          <w:p>
            <w:pPr>
              <w:jc w:val="right"/>
              <w:spacing w:after="0" w:line="142" w:lineRule="exact"/>
              <w:rPr>
                <w:sz w:val="20"/>
                <w:szCs w:val="20"/>
                <w:color w:val="auto"/>
              </w:rPr>
            </w:pPr>
            <w:r>
              <w:rPr>
                <w:rFonts w:ascii="Arial" w:cs="Arial" w:eastAsia="Arial" w:hAnsi="Arial"/>
                <w:sz w:val="15"/>
                <w:szCs w:val="15"/>
                <w:b w:val="1"/>
                <w:bCs w:val="1"/>
                <w:color w:val="0000FF"/>
                <w:w w:val="71"/>
              </w:rPr>
              <w:t>112</w:t>
            </w:r>
          </w:p>
        </w:tc>
        <w:tc>
          <w:tcPr>
            <w:tcW w:w="0" w:type="dxa"/>
            <w:vAlign w:val="bottom"/>
          </w:tcPr>
          <w:p>
            <w:pPr>
              <w:spacing w:after="0"/>
              <w:rPr>
                <w:sz w:val="1"/>
                <w:szCs w:val="1"/>
                <w:color w:val="auto"/>
              </w:rPr>
            </w:pPr>
          </w:p>
        </w:tc>
      </w:tr>
      <w:tr>
        <w:trPr>
          <w:trHeight w:val="41"/>
        </w:trPr>
        <w:tc>
          <w:tcPr>
            <w:tcW w:w="3400" w:type="dxa"/>
            <w:vAlign w:val="bottom"/>
            <w:gridSpan w:val="31"/>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2280" w:type="dxa"/>
            <w:vAlign w:val="bottom"/>
            <w:gridSpan w:val="18"/>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4020" w:type="dxa"/>
            <w:vAlign w:val="bottom"/>
            <w:gridSpan w:val="29"/>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40" w:type="dxa"/>
            <w:vAlign w:val="bottom"/>
            <w:gridSpan w:val="33"/>
            <w:vMerge w:val="restart"/>
          </w:tcPr>
          <w:p>
            <w:pPr>
              <w:ind w:left="480"/>
              <w:spacing w:after="0" w:line="161" w:lineRule="exact"/>
              <w:rPr>
                <w:sz w:val="20"/>
                <w:szCs w:val="20"/>
                <w:color w:val="auto"/>
              </w:rPr>
            </w:pPr>
            <w:r>
              <w:rPr>
                <w:rFonts w:ascii="Arial" w:cs="Arial" w:eastAsia="Arial" w:hAnsi="Arial"/>
                <w:sz w:val="16"/>
                <w:szCs w:val="16"/>
                <w:color w:val="010101"/>
                <w:w w:val="93"/>
              </w:rPr>
              <w:t>SECTION 9.20. Acknowledgement Regarding</w:t>
            </w:r>
          </w:p>
        </w:tc>
        <w:tc>
          <w:tcPr>
            <w:tcW w:w="240" w:type="dxa"/>
            <w:vAlign w:val="bottom"/>
            <w:tcBorders>
              <w:left w:val="single" w:sz="8" w:color="FF0000"/>
            </w:tcBorders>
            <w:gridSpan w:val="3"/>
            <w:shd w:val="clear" w:color="auto" w:fill="FF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10101"/>
            </w:tcBorders>
          </w:tcPr>
          <w:p>
            <w:pPr>
              <w:spacing w:after="0" w:line="20" w:lineRule="exact"/>
              <w:rPr>
                <w:sz w:val="1"/>
                <w:szCs w:val="1"/>
                <w:color w:val="auto"/>
              </w:rPr>
            </w:pPr>
          </w:p>
        </w:tc>
        <w:tc>
          <w:tcPr>
            <w:tcW w:w="220" w:type="dxa"/>
            <w:vAlign w:val="bottom"/>
            <w:tcBorders>
              <w:right w:val="single" w:sz="8" w:color="010101"/>
            </w:tcBorders>
            <w:shd w:val="clear" w:color="auto" w:fill="01010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60" w:type="dxa"/>
            <w:vAlign w:val="bottom"/>
            <w:gridSpan w:val="21"/>
            <w:vMerge w:val="restart"/>
          </w:tcPr>
          <w:p>
            <w:pPr>
              <w:ind w:left="60"/>
              <w:spacing w:after="0" w:line="161" w:lineRule="exact"/>
              <w:rPr>
                <w:sz w:val="20"/>
                <w:szCs w:val="20"/>
                <w:color w:val="auto"/>
              </w:rPr>
            </w:pPr>
            <w:r>
              <w:rPr>
                <w:rFonts w:ascii="Arial" w:cs="Arial" w:eastAsia="Arial" w:hAnsi="Arial"/>
                <w:sz w:val="16"/>
                <w:szCs w:val="16"/>
                <w:color w:val="010101"/>
                <w:w w:val="91"/>
              </w:rPr>
              <w:t>Crediting of Payments and Proceeds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shd w:val="clear" w:color="auto" w:fill="01010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40" w:type="dxa"/>
            <w:vAlign w:val="bottom"/>
            <w:gridSpan w:val="33"/>
            <w:vMerge w:val="continue"/>
          </w:tcPr>
          <w:p>
            <w:pPr>
              <w:spacing w:after="0"/>
              <w:rPr>
                <w:sz w:val="12"/>
                <w:szCs w:val="12"/>
                <w:color w:val="auto"/>
              </w:rPr>
            </w:pPr>
          </w:p>
        </w:tc>
        <w:tc>
          <w:tcPr>
            <w:tcW w:w="240" w:type="dxa"/>
            <w:vAlign w:val="bottom"/>
            <w:gridSpan w:val="3"/>
          </w:tcPr>
          <w:p>
            <w:pPr>
              <w:ind w:left="20"/>
              <w:spacing w:after="0" w:line="142" w:lineRule="exact"/>
              <w:rPr>
                <w:sz w:val="20"/>
                <w:szCs w:val="20"/>
                <w:color w:val="auto"/>
              </w:rPr>
            </w:pPr>
            <w:r>
              <w:rPr>
                <w:rFonts w:ascii="Arial" w:cs="Arial" w:eastAsia="Arial" w:hAnsi="Arial"/>
                <w:sz w:val="16"/>
                <w:szCs w:val="16"/>
                <w:color w:val="010101"/>
                <w:w w:val="72"/>
              </w:rPr>
              <w:t>Any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10"/>
          </w:tcPr>
          <w:p>
            <w:pPr>
              <w:spacing w:after="0" w:line="142" w:lineRule="exact"/>
              <w:rPr>
                <w:sz w:val="20"/>
                <w:szCs w:val="20"/>
                <w:color w:val="auto"/>
              </w:rPr>
            </w:pPr>
            <w:r>
              <w:rPr>
                <w:rFonts w:ascii="Arial" w:cs="Arial" w:eastAsia="Arial" w:hAnsi="Arial"/>
                <w:sz w:val="16"/>
                <w:szCs w:val="16"/>
                <w:color w:val="010101"/>
                <w:w w:val="91"/>
              </w:rPr>
              <w:t>Supported QFCs</w:t>
            </w:r>
          </w:p>
        </w:tc>
        <w:tc>
          <w:tcPr>
            <w:tcW w:w="6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6"/>
                <w:szCs w:val="16"/>
                <w:color w:val="FF0000"/>
                <w:strike w:val="1"/>
                <w:w w:val="82"/>
              </w:rPr>
              <w:t>109</w:t>
            </w:r>
          </w:p>
        </w:tc>
        <w:tc>
          <w:tcPr>
            <w:tcW w:w="820" w:type="dxa"/>
            <w:vAlign w:val="bottom"/>
            <w:gridSpan w:val="5"/>
          </w:tcPr>
          <w:p>
            <w:pPr>
              <w:jc w:val="right"/>
              <w:spacing w:after="0" w:line="142" w:lineRule="exact"/>
              <w:rPr>
                <w:sz w:val="20"/>
                <w:szCs w:val="20"/>
                <w:color w:val="auto"/>
              </w:rPr>
            </w:pPr>
            <w:r>
              <w:rPr>
                <w:rFonts w:ascii="Arial" w:cs="Arial" w:eastAsia="Arial" w:hAnsi="Arial"/>
                <w:sz w:val="16"/>
                <w:szCs w:val="16"/>
                <w:b w:val="1"/>
                <w:bCs w:val="1"/>
                <w:color w:val="0000FF"/>
                <w:w w:val="78"/>
              </w:rPr>
              <w:t xml:space="preserve">112 </w:t>
            </w:r>
            <w:r>
              <w:rPr>
                <w:rFonts w:ascii="Arial" w:cs="Arial" w:eastAsia="Arial" w:hAnsi="Arial"/>
                <w:sz w:val="16"/>
                <w:szCs w:val="16"/>
                <w:color w:val="010101"/>
                <w:w w:val="78"/>
              </w:rPr>
              <w:t>SECTION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010101"/>
                <w:w w:val="74"/>
              </w:rPr>
              <w:t>9.21.</w:t>
            </w:r>
          </w:p>
        </w:tc>
        <w:tc>
          <w:tcPr>
            <w:tcW w:w="2460" w:type="dxa"/>
            <w:vAlign w:val="bottom"/>
            <w:gridSpan w:val="21"/>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FF0000"/>
                <w:strike w:val="1"/>
                <w:w w:val="76"/>
              </w:rPr>
              <w:t>110</w:t>
            </w:r>
          </w:p>
        </w:tc>
        <w:tc>
          <w:tcPr>
            <w:tcW w:w="860" w:type="dxa"/>
            <w:vAlign w:val="bottom"/>
            <w:gridSpan w:val="4"/>
          </w:tcPr>
          <w:p>
            <w:pPr>
              <w:spacing w:after="0" w:line="142" w:lineRule="exact"/>
              <w:rPr>
                <w:sz w:val="20"/>
                <w:szCs w:val="20"/>
                <w:color w:val="auto"/>
              </w:rPr>
            </w:pPr>
            <w:r>
              <w:rPr>
                <w:rFonts w:ascii="Arial" w:cs="Arial" w:eastAsia="Arial" w:hAnsi="Arial"/>
                <w:sz w:val="16"/>
                <w:szCs w:val="16"/>
                <w:b w:val="1"/>
                <w:bCs w:val="1"/>
                <w:color w:val="0000FF"/>
                <w:w w:val="82"/>
              </w:rPr>
              <w:t xml:space="preserve">113 </w:t>
            </w:r>
            <w:r>
              <w:rPr>
                <w:rFonts w:ascii="Arial" w:cs="Arial" w:eastAsia="Arial" w:hAnsi="Arial"/>
                <w:sz w:val="16"/>
                <w:szCs w:val="16"/>
                <w:color w:val="010101"/>
                <w:w w:val="82"/>
              </w:rPr>
              <w:t>SECTION</w:t>
            </w:r>
          </w:p>
        </w:tc>
        <w:tc>
          <w:tcPr>
            <w:tcW w:w="480" w:type="dxa"/>
            <w:vAlign w:val="bottom"/>
            <w:gridSpan w:val="4"/>
          </w:tcPr>
          <w:p>
            <w:pPr>
              <w:jc w:val="right"/>
              <w:spacing w:after="0" w:line="142" w:lineRule="exact"/>
              <w:rPr>
                <w:sz w:val="20"/>
                <w:szCs w:val="20"/>
                <w:color w:val="auto"/>
              </w:rPr>
            </w:pPr>
            <w:r>
              <w:rPr>
                <w:rFonts w:ascii="Arial" w:cs="Arial" w:eastAsia="Arial" w:hAnsi="Arial"/>
                <w:sz w:val="16"/>
                <w:szCs w:val="16"/>
                <w:color w:val="010101"/>
              </w:rPr>
              <w:t>9.22.</w:t>
            </w:r>
          </w:p>
        </w:tc>
        <w:tc>
          <w:tcPr>
            <w:tcW w:w="0" w:type="dxa"/>
            <w:vAlign w:val="bottom"/>
          </w:tcPr>
          <w:p>
            <w:pPr>
              <w:spacing w:after="0"/>
              <w:rPr>
                <w:sz w:val="1"/>
                <w:szCs w:val="1"/>
                <w:color w:val="auto"/>
              </w:rPr>
            </w:pPr>
          </w:p>
        </w:tc>
      </w:tr>
      <w:tr>
        <w:trPr>
          <w:trHeight w:val="142"/>
        </w:trPr>
        <w:tc>
          <w:tcPr>
            <w:tcW w:w="3180" w:type="dxa"/>
            <w:vAlign w:val="bottom"/>
            <w:gridSpan w:val="29"/>
          </w:tcPr>
          <w:p>
            <w:pPr>
              <w:ind w:left="480"/>
              <w:spacing w:after="0" w:line="142" w:lineRule="exact"/>
              <w:rPr>
                <w:sz w:val="20"/>
                <w:szCs w:val="20"/>
                <w:color w:val="auto"/>
              </w:rPr>
            </w:pPr>
            <w:r>
              <w:rPr>
                <w:rFonts w:ascii="Arial" w:cs="Arial" w:eastAsia="Arial" w:hAnsi="Arial"/>
                <w:sz w:val="16"/>
                <w:szCs w:val="16"/>
                <w:color w:val="010101"/>
                <w:w w:val="94"/>
              </w:rPr>
              <w:t>No Advisory or Fiduciary Responsibility.</w:t>
            </w:r>
          </w:p>
        </w:tc>
        <w:tc>
          <w:tcPr>
            <w:tcW w:w="220" w:type="dxa"/>
            <w:vAlign w:val="bottom"/>
            <w:tcBorders>
              <w:bottom w:val="single" w:sz="8" w:color="FF0000"/>
            </w:tcBorders>
            <w:gridSpan w:val="2"/>
          </w:tcPr>
          <w:p>
            <w:pPr>
              <w:spacing w:after="0"/>
              <w:rPr>
                <w:sz w:val="12"/>
                <w:szCs w:val="12"/>
                <w:color w:val="auto"/>
              </w:rPr>
            </w:pPr>
          </w:p>
        </w:tc>
        <w:tc>
          <w:tcPr>
            <w:tcW w:w="140" w:type="dxa"/>
            <w:vAlign w:val="bottom"/>
            <w:gridSpan w:val="2"/>
          </w:tcPr>
          <w:p>
            <w:pPr>
              <w:spacing w:after="0"/>
              <w:rPr>
                <w:sz w:val="20"/>
                <w:szCs w:val="20"/>
                <w:color w:val="auto"/>
              </w:rPr>
            </w:pPr>
            <w:r>
              <w:rPr>
                <w:rFonts w:ascii="Arial" w:cs="Arial" w:eastAsia="Arial" w:hAnsi="Arial"/>
                <w:sz w:val="8"/>
                <w:szCs w:val="8"/>
                <w:color w:val="FF0000"/>
                <w:strike w:val="1"/>
                <w:w w:val="74"/>
              </w:rPr>
              <w:t>111</w:t>
            </w:r>
          </w:p>
        </w:tc>
        <w:tc>
          <w:tcPr>
            <w:tcW w:w="3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b w:val="1"/>
                <w:bCs w:val="1"/>
                <w:color w:val="0000FF"/>
                <w:w w:val="97"/>
              </w:rPr>
              <w:t>114</w:t>
            </w:r>
          </w:p>
        </w:tc>
        <w:tc>
          <w:tcPr>
            <w:tcW w:w="1080" w:type="dxa"/>
            <w:vAlign w:val="bottom"/>
            <w:gridSpan w:val="9"/>
          </w:tcPr>
          <w:p>
            <w:pPr>
              <w:spacing w:after="0"/>
              <w:rPr>
                <w:sz w:val="12"/>
                <w:szCs w:val="12"/>
                <w:color w:val="auto"/>
              </w:rPr>
            </w:pPr>
          </w:p>
        </w:tc>
        <w:tc>
          <w:tcPr>
            <w:tcW w:w="280" w:type="dxa"/>
            <w:vAlign w:val="bottom"/>
            <w:tcBorders>
              <w:top w:val="single" w:sz="8" w:color="010101"/>
            </w:tcBorders>
            <w:gridSpan w:val="3"/>
          </w:tcPr>
          <w:p>
            <w:pPr>
              <w:spacing w:after="0"/>
              <w:rPr>
                <w:sz w:val="12"/>
                <w:szCs w:val="12"/>
                <w:color w:val="auto"/>
              </w:rPr>
            </w:pPr>
          </w:p>
        </w:tc>
        <w:tc>
          <w:tcPr>
            <w:tcW w:w="260" w:type="dxa"/>
            <w:vAlign w:val="bottom"/>
            <w:gridSpan w:val="2"/>
          </w:tcPr>
          <w:p>
            <w:pPr>
              <w:spacing w:after="0"/>
              <w:rPr>
                <w:sz w:val="12"/>
                <w:szCs w:val="12"/>
                <w:color w:val="auto"/>
              </w:rPr>
            </w:pPr>
          </w:p>
        </w:tc>
        <w:tc>
          <w:tcPr>
            <w:tcW w:w="320" w:type="dxa"/>
            <w:vAlign w:val="bottom"/>
            <w:tcBorders>
              <w:top w:val="single" w:sz="8" w:color="0000FF"/>
            </w:tcBorders>
            <w:gridSpan w:val="2"/>
          </w:tcPr>
          <w:p>
            <w:pPr>
              <w:spacing w:after="0"/>
              <w:rPr>
                <w:sz w:val="12"/>
                <w:szCs w:val="12"/>
                <w:color w:val="auto"/>
              </w:rPr>
            </w:pPr>
          </w:p>
        </w:tc>
        <w:tc>
          <w:tcPr>
            <w:tcW w:w="3440" w:type="dxa"/>
            <w:vAlign w:val="bottom"/>
            <w:gridSpan w:val="28"/>
          </w:tcPr>
          <w:p>
            <w:pPr>
              <w:spacing w:after="0"/>
              <w:rPr>
                <w:sz w:val="12"/>
                <w:szCs w:val="12"/>
                <w:color w:val="auto"/>
              </w:rPr>
            </w:pPr>
          </w:p>
        </w:tc>
        <w:tc>
          <w:tcPr>
            <w:tcW w:w="300" w:type="dxa"/>
            <w:vAlign w:val="bottom"/>
            <w:tcBorders>
              <w:top w:val="single" w:sz="8" w:color="FF0000"/>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10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180" w:type="dxa"/>
            <w:vAlign w:val="bottom"/>
            <w:gridSpan w:val="29"/>
          </w:tcPr>
          <w:p>
            <w:pPr>
              <w:spacing w:after="0"/>
              <w:rPr>
                <w:sz w:val="20"/>
                <w:szCs w:val="20"/>
                <w:color w:val="auto"/>
              </w:rPr>
            </w:pPr>
            <w:r>
              <w:rPr>
                <w:rFonts w:ascii="Arial" w:cs="Arial" w:eastAsia="Arial" w:hAnsi="Arial"/>
                <w:sz w:val="16"/>
                <w:szCs w:val="16"/>
                <w:color w:val="010101"/>
              </w:rPr>
              <w:t>ARTICLE X LETTER OF CREDIT FACILITY</w:t>
            </w:r>
          </w:p>
        </w:tc>
        <w:tc>
          <w:tcPr>
            <w:tcW w:w="1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FF0000"/>
                <w:strike w:val="1"/>
                <w:w w:val="82"/>
              </w:rPr>
              <w:t>112</w:t>
            </w:r>
          </w:p>
        </w:tc>
        <w:tc>
          <w:tcPr>
            <w:tcW w:w="2260" w:type="dxa"/>
            <w:vAlign w:val="bottom"/>
            <w:gridSpan w:val="20"/>
          </w:tcPr>
          <w:p>
            <w:pPr>
              <w:spacing w:after="0"/>
              <w:rPr>
                <w:sz w:val="20"/>
                <w:szCs w:val="20"/>
                <w:color w:val="auto"/>
              </w:rPr>
            </w:pPr>
            <w:r>
              <w:rPr>
                <w:rFonts w:ascii="Arial" w:cs="Arial" w:eastAsia="Arial" w:hAnsi="Arial"/>
                <w:sz w:val="16"/>
                <w:szCs w:val="16"/>
                <w:b w:val="1"/>
                <w:bCs w:val="1"/>
                <w:color w:val="0000FF"/>
                <w:w w:val="94"/>
              </w:rPr>
              <w:t xml:space="preserve">115 </w:t>
            </w:r>
            <w:r>
              <w:rPr>
                <w:rFonts w:ascii="Arial" w:cs="Arial" w:eastAsia="Arial" w:hAnsi="Arial"/>
                <w:sz w:val="16"/>
                <w:szCs w:val="16"/>
                <w:color w:val="010101"/>
                <w:w w:val="94"/>
              </w:rPr>
              <w:t>SECTION 10.01. L/C Facility</w:t>
            </w:r>
          </w:p>
        </w:tc>
        <w:tc>
          <w:tcPr>
            <w:tcW w:w="160" w:type="dxa"/>
            <w:vAlign w:val="bottom"/>
          </w:tcPr>
          <w:p>
            <w:pPr>
              <w:spacing w:after="0"/>
              <w:rPr>
                <w:sz w:val="22"/>
                <w:szCs w:val="22"/>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FF0000"/>
                <w:strike w:val="1"/>
                <w:w w:val="82"/>
              </w:rPr>
              <w:t>112</w:t>
            </w:r>
          </w:p>
        </w:tc>
        <w:tc>
          <w:tcPr>
            <w:tcW w:w="140" w:type="dxa"/>
            <w:vAlign w:val="bottom"/>
          </w:tcPr>
          <w:p>
            <w:pPr>
              <w:jc w:val="right"/>
              <w:spacing w:after="0"/>
              <w:rPr>
                <w:sz w:val="20"/>
                <w:szCs w:val="20"/>
                <w:color w:val="auto"/>
              </w:rPr>
            </w:pPr>
            <w:r>
              <w:rPr>
                <w:rFonts w:ascii="Arial" w:cs="Arial" w:eastAsia="Arial" w:hAnsi="Arial"/>
                <w:sz w:val="10"/>
                <w:szCs w:val="10"/>
                <w:b w:val="1"/>
                <w:bCs w:val="1"/>
                <w:color w:val="0000FF"/>
                <w:w w:val="71"/>
              </w:rPr>
              <w:t>115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80" w:type="dxa"/>
            <w:vAlign w:val="bottom"/>
            <w:tcBorders>
              <w:right w:val="single" w:sz="8" w:color="010101"/>
            </w:tcBorders>
            <w:gridSpan w:val="29"/>
          </w:tcPr>
          <w:p>
            <w:pPr>
              <w:spacing w:after="0" w:line="20" w:lineRule="exact"/>
              <w:rPr>
                <w:sz w:val="1"/>
                <w:szCs w:val="1"/>
                <w:color w:val="auto"/>
              </w:rPr>
            </w:pPr>
          </w:p>
        </w:tc>
        <w:tc>
          <w:tcPr>
            <w:tcW w:w="360" w:type="dxa"/>
            <w:vAlign w:val="bottom"/>
            <w:tcBorders>
              <w:left w:val="single" w:sz="8" w:color="010101"/>
            </w:tcBorders>
            <w:gridSpan w:val="4"/>
            <w:shd w:val="clear" w:color="auto" w:fill="010101"/>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Borders>
              <w:left w:val="single" w:sz="8" w:color="0000FF"/>
              <w:right w:val="single" w:sz="8" w:color="010101"/>
            </w:tcBorders>
            <w:gridSpan w:val="19"/>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10101"/>
          </w:tcPr>
          <w:p>
            <w:pPr>
              <w:spacing w:after="0" w:line="20" w:lineRule="exact"/>
              <w:rPr>
                <w:sz w:val="1"/>
                <w:szCs w:val="1"/>
                <w:color w:val="auto"/>
              </w:rPr>
            </w:pPr>
          </w:p>
        </w:tc>
        <w:tc>
          <w:tcPr>
            <w:tcW w:w="4740" w:type="dxa"/>
            <w:vAlign w:val="bottom"/>
            <w:gridSpan w:val="3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80"/>
        <w:spacing w:after="0"/>
        <w:tabs>
          <w:tab w:leader="none" w:pos="9820" w:val="left"/>
        </w:tabs>
        <w:rPr>
          <w:sz w:val="20"/>
          <w:szCs w:val="20"/>
          <w:color w:val="auto"/>
        </w:rPr>
      </w:pPr>
      <w:r>
        <w:rPr>
          <w:rFonts w:ascii="Arial" w:cs="Arial" w:eastAsia="Arial" w:hAnsi="Arial"/>
          <w:sz w:val="16"/>
          <w:szCs w:val="16"/>
          <w:color w:val="010101"/>
        </w:rPr>
        <w:t xml:space="preserve">SECTION 10.02. Procedure for Issuance and Disbursement of Letters of Credit </w:t>
      </w:r>
      <w:r>
        <w:rPr>
          <w:rFonts w:ascii="Arial" w:cs="Arial" w:eastAsia="Arial" w:hAnsi="Arial"/>
          <w:sz w:val="16"/>
          <w:szCs w:val="16"/>
          <w:color w:val="FF0000"/>
          <w:strike w:val="1"/>
        </w:rPr>
        <w:t>113</w:t>
      </w:r>
      <w:r>
        <w:rPr>
          <w:rFonts w:ascii="Arial" w:cs="Arial" w:eastAsia="Arial" w:hAnsi="Arial"/>
          <w:sz w:val="16"/>
          <w:szCs w:val="16"/>
          <w:b w:val="1"/>
          <w:bCs w:val="1"/>
          <w:color w:val="0000FF"/>
        </w:rPr>
        <w:t>117</w:t>
      </w:r>
      <w:r>
        <w:rPr>
          <w:rFonts w:ascii="Arial" w:cs="Arial" w:eastAsia="Arial" w:hAnsi="Arial"/>
          <w:sz w:val="16"/>
          <w:szCs w:val="16"/>
          <w:color w:val="010101"/>
        </w:rPr>
        <w:t xml:space="preserve"> SECTION 10.03. Commissions and Other Charges</w:t>
      </w:r>
      <w:r>
        <w:rPr>
          <w:sz w:val="20"/>
          <w:szCs w:val="20"/>
          <w:color w:val="auto"/>
        </w:rPr>
        <w:tab/>
      </w:r>
      <w:r>
        <w:rPr>
          <w:rFonts w:ascii="Arial" w:cs="Arial" w:eastAsia="Arial" w:hAnsi="Arial"/>
          <w:sz w:val="14"/>
          <w:szCs w:val="14"/>
          <w:color w:val="FF0000"/>
          <w:strike w:val="1"/>
        </w:rPr>
        <w:t>114</w:t>
      </w:r>
      <w:r>
        <w:rPr>
          <w:rFonts w:ascii="Arial" w:cs="Arial" w:eastAsia="Arial" w:hAnsi="Arial"/>
          <w:sz w:val="14"/>
          <w:szCs w:val="14"/>
          <w:b w:val="1"/>
          <w:bCs w:val="1"/>
          <w:color w:val="0000FF"/>
          <w:strike w:val="1"/>
        </w:rPr>
        <w:t>117</w:t>
      </w:r>
      <w:r>
        <w:rPr>
          <w:rFonts w:ascii="Arial" w:cs="Arial" w:eastAsia="Arial" w:hAnsi="Arial"/>
          <w:sz w:val="14"/>
          <w:szCs w:val="14"/>
          <w:color w:val="FF0000"/>
          <w:strike w:val="1"/>
        </w:rPr>
        <w:t xml:space="preserve"> </w:t>
      </w:r>
      <w:r>
        <w:rPr>
          <w:rFonts w:ascii="Arial" w:cs="Arial" w:eastAsia="Arial" w:hAnsi="Arial"/>
          <w:sz w:val="14"/>
          <w:szCs w:val="14"/>
          <w:color w:val="010101"/>
          <w:strike w:val="1"/>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0</wp:posOffset>
            </wp:positionV>
            <wp:extent cx="3048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40"/>
        </w:trPr>
        <w:tc>
          <w:tcPr>
            <w:tcW w:w="1660" w:type="dxa"/>
            <w:vAlign w:val="bottom"/>
            <w:vMerge w:val="restart"/>
          </w:tcPr>
          <w:p>
            <w:pPr>
              <w:spacing w:after="0" w:line="161" w:lineRule="exact"/>
              <w:rPr>
                <w:sz w:val="20"/>
                <w:szCs w:val="20"/>
                <w:color w:val="auto"/>
              </w:rPr>
            </w:pPr>
            <w:r>
              <w:rPr>
                <w:rFonts w:ascii="Arial" w:cs="Arial" w:eastAsia="Arial" w:hAnsi="Arial"/>
                <w:sz w:val="16"/>
                <w:szCs w:val="16"/>
                <w:color w:val="010101"/>
                <w:w w:val="94"/>
              </w:rPr>
              <w:t>10.04. L/C Participations</w:t>
            </w:r>
          </w:p>
        </w:tc>
        <w:tc>
          <w:tcPr>
            <w:tcW w:w="260" w:type="dxa"/>
            <w:vAlign w:val="bottom"/>
            <w:gridSpan w:val="2"/>
            <w:vMerge w:val="restart"/>
          </w:tcPr>
          <w:p>
            <w:pPr>
              <w:spacing w:after="0"/>
              <w:rPr>
                <w:sz w:val="3"/>
                <w:szCs w:val="3"/>
                <w:color w:val="auto"/>
              </w:rPr>
            </w:pPr>
          </w:p>
        </w:tc>
        <w:tc>
          <w:tcPr>
            <w:tcW w:w="300" w:type="dxa"/>
            <w:vAlign w:val="bottom"/>
            <w:gridSpan w:val="2"/>
            <w:vMerge w:val="restart"/>
          </w:tcPr>
          <w:p>
            <w:pPr>
              <w:jc w:val="right"/>
              <w:spacing w:after="0" w:line="161" w:lineRule="exact"/>
              <w:rPr>
                <w:sz w:val="20"/>
                <w:szCs w:val="20"/>
                <w:color w:val="auto"/>
              </w:rPr>
            </w:pPr>
            <w:r>
              <w:rPr>
                <w:rFonts w:ascii="Arial" w:cs="Arial" w:eastAsia="Arial" w:hAnsi="Arial"/>
                <w:sz w:val="16"/>
                <w:szCs w:val="16"/>
                <w:color w:val="FF0000"/>
                <w:strike w:val="1"/>
                <w:w w:val="82"/>
              </w:rPr>
              <w:t>114</w:t>
            </w:r>
          </w:p>
        </w:tc>
        <w:tc>
          <w:tcPr>
            <w:tcW w:w="2700" w:type="dxa"/>
            <w:vAlign w:val="bottom"/>
            <w:gridSpan w:val="4"/>
            <w:vMerge w:val="restart"/>
          </w:tcPr>
          <w:p>
            <w:pPr>
              <w:spacing w:after="0" w:line="161" w:lineRule="exact"/>
              <w:rPr>
                <w:sz w:val="20"/>
                <w:szCs w:val="20"/>
                <w:color w:val="auto"/>
              </w:rPr>
            </w:pPr>
            <w:r>
              <w:rPr>
                <w:rFonts w:ascii="Arial" w:cs="Arial" w:eastAsia="Arial" w:hAnsi="Arial"/>
                <w:sz w:val="16"/>
                <w:szCs w:val="16"/>
                <w:b w:val="1"/>
                <w:bCs w:val="1"/>
                <w:color w:val="0000FF"/>
                <w:w w:val="99"/>
              </w:rPr>
              <w:t xml:space="preserve">118 </w:t>
            </w:r>
            <w:r>
              <w:rPr>
                <w:rFonts w:ascii="Arial" w:cs="Arial" w:eastAsia="Arial" w:hAnsi="Arial"/>
                <w:sz w:val="16"/>
                <w:szCs w:val="16"/>
                <w:color w:val="010101"/>
                <w:w w:val="99"/>
              </w:rPr>
              <w:t>SECTION 10.05. Reimbursement</w:t>
            </w:r>
          </w:p>
        </w:tc>
        <w:tc>
          <w:tcPr>
            <w:tcW w:w="220" w:type="dxa"/>
            <w:vAlign w:val="bottom"/>
            <w:vMerge w:val="restart"/>
          </w:tcPr>
          <w:p>
            <w:pPr>
              <w:jc w:val="right"/>
              <w:spacing w:after="0" w:line="161" w:lineRule="exact"/>
              <w:rPr>
                <w:sz w:val="20"/>
                <w:szCs w:val="20"/>
                <w:color w:val="auto"/>
              </w:rPr>
            </w:pPr>
            <w:r>
              <w:rPr>
                <w:rFonts w:ascii="Arial" w:cs="Arial" w:eastAsia="Arial" w:hAnsi="Arial"/>
                <w:sz w:val="16"/>
                <w:szCs w:val="16"/>
                <w:color w:val="FF0000"/>
                <w:strike w:val="1"/>
                <w:w w:val="74"/>
              </w:rPr>
              <w:t>116</w:t>
            </w:r>
          </w:p>
        </w:tc>
        <w:tc>
          <w:tcPr>
            <w:tcW w:w="240" w:type="dxa"/>
            <w:vAlign w:val="bottom"/>
            <w:vMerge w:val="restart"/>
          </w:tcPr>
          <w:p>
            <w:pPr>
              <w:jc w:val="right"/>
              <w:spacing w:after="0" w:line="161" w:lineRule="exact"/>
              <w:rPr>
                <w:sz w:val="20"/>
                <w:szCs w:val="20"/>
                <w:color w:val="auto"/>
              </w:rPr>
            </w:pPr>
            <w:r>
              <w:rPr>
                <w:rFonts w:ascii="Arial" w:cs="Arial" w:eastAsia="Arial" w:hAnsi="Arial"/>
                <w:sz w:val="16"/>
                <w:szCs w:val="16"/>
                <w:b w:val="1"/>
                <w:bCs w:val="1"/>
                <w:color w:val="0000FF"/>
                <w:w w:val="82"/>
              </w:rPr>
              <w:t>119</w:t>
            </w:r>
          </w:p>
        </w:tc>
        <w:tc>
          <w:tcPr>
            <w:tcW w:w="120" w:type="dxa"/>
            <w:vAlign w:val="bottom"/>
            <w:vMerge w:val="restart"/>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shd w:val="clear" w:color="auto" w:fill="010101"/>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2700" w:type="dxa"/>
            <w:vAlign w:val="bottom"/>
            <w:gridSpan w:val="4"/>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760" w:type="dxa"/>
            <w:vAlign w:val="bottom"/>
            <w:gridSpan w:val="7"/>
          </w:tcPr>
          <w:p>
            <w:pPr>
              <w:spacing w:after="0" w:line="122" w:lineRule="exact"/>
              <w:rPr>
                <w:sz w:val="20"/>
                <w:szCs w:val="20"/>
                <w:color w:val="auto"/>
              </w:rPr>
            </w:pPr>
            <w:r>
              <w:rPr>
                <w:rFonts w:ascii="Arial" w:cs="Arial" w:eastAsia="Arial" w:hAnsi="Arial"/>
                <w:sz w:val="14"/>
                <w:szCs w:val="14"/>
                <w:color w:val="010101"/>
              </w:rPr>
              <w:t>SECTION 10.06. Obligations Absolute</w:t>
            </w:r>
          </w:p>
        </w:tc>
        <w:tc>
          <w:tcPr>
            <w:tcW w:w="240" w:type="dxa"/>
            <w:vAlign w:val="bottom"/>
          </w:tcPr>
          <w:p>
            <w:pPr>
              <w:jc w:val="right"/>
              <w:spacing w:after="0" w:line="122" w:lineRule="exact"/>
              <w:rPr>
                <w:sz w:val="20"/>
                <w:szCs w:val="20"/>
                <w:color w:val="auto"/>
              </w:rPr>
            </w:pPr>
            <w:r>
              <w:rPr>
                <w:rFonts w:ascii="Arial" w:cs="Arial" w:eastAsia="Arial" w:hAnsi="Arial"/>
                <w:sz w:val="14"/>
                <w:szCs w:val="14"/>
                <w:color w:val="FF0000"/>
                <w:strike w:val="1"/>
                <w:w w:val="94"/>
              </w:rPr>
              <w:t>117</w:t>
            </w:r>
          </w:p>
        </w:tc>
        <w:tc>
          <w:tcPr>
            <w:tcW w:w="2060" w:type="dxa"/>
            <w:vAlign w:val="bottom"/>
            <w:gridSpan w:val="6"/>
          </w:tcPr>
          <w:p>
            <w:pPr>
              <w:spacing w:after="0" w:line="122" w:lineRule="exact"/>
              <w:rPr>
                <w:sz w:val="20"/>
                <w:szCs w:val="20"/>
                <w:color w:val="auto"/>
              </w:rPr>
            </w:pPr>
            <w:r>
              <w:rPr>
                <w:rFonts w:ascii="Arial" w:cs="Arial" w:eastAsia="Arial" w:hAnsi="Arial"/>
                <w:sz w:val="14"/>
                <w:szCs w:val="14"/>
                <w:b w:val="1"/>
                <w:bCs w:val="1"/>
                <w:color w:val="0000FF"/>
              </w:rPr>
              <w:t xml:space="preserve">120 </w:t>
            </w:r>
            <w:r>
              <w:rPr>
                <w:rFonts w:ascii="Arial" w:cs="Arial" w:eastAsia="Arial" w:hAnsi="Arial"/>
                <w:sz w:val="14"/>
                <w:szCs w:val="14"/>
                <w:color w:val="010101"/>
              </w:rPr>
              <w:t>SECTION 10.07. Effect of</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161" w:lineRule="exact"/>
              <w:rPr>
                <w:sz w:val="20"/>
                <w:szCs w:val="20"/>
                <w:color w:val="auto"/>
              </w:rPr>
            </w:pPr>
            <w:r>
              <w:rPr>
                <w:rFonts w:ascii="Arial" w:cs="Arial" w:eastAsia="Arial" w:hAnsi="Arial"/>
                <w:sz w:val="16"/>
                <w:szCs w:val="16"/>
                <w:color w:val="010101"/>
                <w:w w:val="85"/>
              </w:rPr>
              <w:t>Letter of Credit Documents</w:t>
            </w:r>
          </w:p>
        </w:tc>
        <w:tc>
          <w:tcPr>
            <w:tcW w:w="120" w:type="dxa"/>
            <w:vAlign w:val="bottom"/>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shd w:val="clear" w:color="auto" w:fill="01010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FF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74"/>
              </w:rPr>
              <w:t>119</w:t>
            </w:r>
          </w:p>
        </w:tc>
        <w:tc>
          <w:tcPr>
            <w:tcW w:w="4580" w:type="dxa"/>
            <w:vAlign w:val="bottom"/>
            <w:gridSpan w:val="10"/>
          </w:tcPr>
          <w:p>
            <w:pPr>
              <w:spacing w:after="0" w:line="142" w:lineRule="exact"/>
              <w:rPr>
                <w:sz w:val="20"/>
                <w:szCs w:val="20"/>
                <w:color w:val="auto"/>
              </w:rPr>
            </w:pPr>
            <w:r>
              <w:rPr>
                <w:rFonts w:ascii="Arial" w:cs="Arial" w:eastAsia="Arial" w:hAnsi="Arial"/>
                <w:sz w:val="16"/>
                <w:szCs w:val="16"/>
                <w:b w:val="1"/>
                <w:bCs w:val="1"/>
                <w:color w:val="0000FF"/>
                <w:w w:val="96"/>
              </w:rPr>
              <w:t xml:space="preserve">122 </w:t>
            </w:r>
            <w:r>
              <w:rPr>
                <w:rFonts w:ascii="Arial" w:cs="Arial" w:eastAsia="Arial" w:hAnsi="Arial"/>
                <w:sz w:val="16"/>
                <w:szCs w:val="16"/>
                <w:color w:val="010101"/>
                <w:w w:val="96"/>
              </w:rPr>
              <w:t>SECTION 10.08. Removal and Resignation of Issuing Lenders</w:t>
            </w:r>
          </w:p>
        </w:tc>
        <w:tc>
          <w:tcPr>
            <w:tcW w:w="24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82"/>
              </w:rPr>
              <w:t>119</w:t>
            </w:r>
          </w:p>
        </w:tc>
        <w:tc>
          <w:tcPr>
            <w:tcW w:w="3520" w:type="dxa"/>
            <w:vAlign w:val="bottom"/>
            <w:gridSpan w:val="10"/>
          </w:tcPr>
          <w:p>
            <w:pPr>
              <w:jc w:val="right"/>
              <w:ind w:right="3280"/>
              <w:spacing w:after="0" w:line="142" w:lineRule="exact"/>
              <w:rPr>
                <w:sz w:val="20"/>
                <w:szCs w:val="20"/>
                <w:color w:val="auto"/>
              </w:rPr>
            </w:pPr>
            <w:r>
              <w:rPr>
                <w:rFonts w:ascii="Arial" w:cs="Arial" w:eastAsia="Arial" w:hAnsi="Arial"/>
                <w:sz w:val="16"/>
                <w:szCs w:val="16"/>
                <w:b w:val="1"/>
                <w:bCs w:val="1"/>
                <w:color w:val="0000FF"/>
                <w:w w:val="82"/>
              </w:rPr>
              <w:t>122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shd w:val="clear" w:color="auto" w:fill="01010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380" w:top="1067" w:right="479" w:bottom="1440" w:gutter="0" w:footer="0" w:header="0"/>
        </w:sectPr>
      </w:pPr>
    </w:p>
    <w:bookmarkStart w:id="60" w:name="page61"/>
    <w:bookmarkEnd w:id="60"/>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20" w:type="dxa"/>
            <w:vAlign w:val="bottom"/>
            <w:gridSpan w:val="13"/>
          </w:tcPr>
          <w:p>
            <w:pPr>
              <w:spacing w:after="0"/>
              <w:rPr>
                <w:sz w:val="20"/>
                <w:szCs w:val="20"/>
                <w:color w:val="auto"/>
              </w:rPr>
            </w:pPr>
            <w:r>
              <w:rPr>
                <w:rFonts w:ascii="Arial" w:cs="Arial" w:eastAsia="Arial" w:hAnsi="Arial"/>
                <w:sz w:val="16"/>
                <w:szCs w:val="16"/>
                <w:color w:val="010101"/>
              </w:rPr>
              <w:t>SECTION 10.09. Reporting of Letter of Credit Information and L/C</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ind w:left="560"/>
              <w:spacing w:after="0" w:line="172" w:lineRule="exact"/>
              <w:rPr>
                <w:sz w:val="20"/>
                <w:szCs w:val="20"/>
                <w:color w:val="auto"/>
              </w:rPr>
            </w:pPr>
            <w:r>
              <w:rPr>
                <w:rFonts w:ascii="Arial" w:cs="Arial" w:eastAsia="Arial" w:hAnsi="Arial"/>
                <w:sz w:val="16"/>
                <w:szCs w:val="16"/>
                <w:color w:val="010101"/>
                <w:w w:val="92"/>
              </w:rPr>
              <w:t>Commitment</w:t>
            </w:r>
          </w:p>
        </w:tc>
        <w:tc>
          <w:tcPr>
            <w:tcW w:w="300" w:type="dxa"/>
            <w:vAlign w:val="bottom"/>
          </w:tcPr>
          <w:p>
            <w:pPr>
              <w:spacing w:after="0"/>
              <w:rPr>
                <w:sz w:val="14"/>
                <w:szCs w:val="14"/>
                <w:color w:val="auto"/>
              </w:rPr>
            </w:pPr>
          </w:p>
        </w:tc>
        <w:tc>
          <w:tcPr>
            <w:tcW w:w="240" w:type="dxa"/>
            <w:vAlign w:val="bottom"/>
          </w:tcPr>
          <w:p>
            <w:pPr>
              <w:spacing w:after="0" w:line="172" w:lineRule="exact"/>
              <w:rPr>
                <w:sz w:val="20"/>
                <w:szCs w:val="20"/>
                <w:color w:val="auto"/>
              </w:rPr>
            </w:pPr>
            <w:r>
              <w:rPr>
                <w:rFonts w:ascii="Arial" w:cs="Arial" w:eastAsia="Arial" w:hAnsi="Arial"/>
                <w:sz w:val="16"/>
                <w:szCs w:val="16"/>
                <w:color w:val="FF0000"/>
                <w:strike w:val="1"/>
                <w:w w:val="82"/>
              </w:rPr>
              <w:t>119</w:t>
            </w:r>
          </w:p>
        </w:tc>
        <w:tc>
          <w:tcPr>
            <w:tcW w:w="4500" w:type="dxa"/>
            <w:vAlign w:val="bottom"/>
            <w:gridSpan w:val="7"/>
          </w:tcPr>
          <w:p>
            <w:pPr>
              <w:spacing w:after="0" w:line="172" w:lineRule="exact"/>
              <w:rPr>
                <w:sz w:val="20"/>
                <w:szCs w:val="20"/>
                <w:color w:val="auto"/>
              </w:rPr>
            </w:pPr>
            <w:r>
              <w:rPr>
                <w:rFonts w:ascii="Arial" w:cs="Arial" w:eastAsia="Arial" w:hAnsi="Arial"/>
                <w:sz w:val="16"/>
                <w:szCs w:val="16"/>
                <w:b w:val="1"/>
                <w:bCs w:val="1"/>
                <w:color w:val="0000FF"/>
              </w:rPr>
              <w:t xml:space="preserve">123 </w:t>
            </w:r>
            <w:r>
              <w:rPr>
                <w:rFonts w:ascii="Arial" w:cs="Arial" w:eastAsia="Arial" w:hAnsi="Arial"/>
                <w:sz w:val="16"/>
                <w:szCs w:val="16"/>
                <w:color w:val="010101"/>
              </w:rPr>
              <w:t>SECTION 10.10. Letters of Credit Issued for Subsidiaries</w:t>
            </w:r>
          </w:p>
        </w:tc>
        <w:tc>
          <w:tcPr>
            <w:tcW w:w="240" w:type="dxa"/>
            <w:vAlign w:val="bottom"/>
          </w:tcPr>
          <w:p>
            <w:pPr>
              <w:jc w:val="right"/>
              <w:spacing w:after="0" w:line="172" w:lineRule="exact"/>
              <w:rPr>
                <w:sz w:val="20"/>
                <w:szCs w:val="20"/>
                <w:color w:val="auto"/>
              </w:rPr>
            </w:pPr>
            <w:r>
              <w:rPr>
                <w:rFonts w:ascii="Arial" w:cs="Arial" w:eastAsia="Arial" w:hAnsi="Arial"/>
                <w:sz w:val="16"/>
                <w:szCs w:val="16"/>
                <w:color w:val="FF0000"/>
                <w:strike w:val="1"/>
                <w:w w:val="82"/>
              </w:rPr>
              <w:t>120</w:t>
            </w:r>
          </w:p>
        </w:tc>
        <w:tc>
          <w:tcPr>
            <w:tcW w:w="3200" w:type="dxa"/>
            <w:vAlign w:val="bottom"/>
            <w:gridSpan w:val="2"/>
          </w:tcPr>
          <w:p>
            <w:pPr>
              <w:spacing w:after="0" w:line="172" w:lineRule="exact"/>
              <w:rPr>
                <w:sz w:val="20"/>
                <w:szCs w:val="20"/>
                <w:color w:val="auto"/>
              </w:rPr>
            </w:pPr>
            <w:r>
              <w:rPr>
                <w:rFonts w:ascii="Arial" w:cs="Arial" w:eastAsia="Arial" w:hAnsi="Arial"/>
                <w:sz w:val="16"/>
                <w:szCs w:val="16"/>
                <w:b w:val="1"/>
                <w:bCs w:val="1"/>
                <w:color w:val="0000FF"/>
                <w:w w:val="96"/>
              </w:rPr>
              <w:t xml:space="preserve">123 </w:t>
            </w:r>
            <w:r>
              <w:rPr>
                <w:rFonts w:ascii="Arial" w:cs="Arial" w:eastAsia="Arial" w:hAnsi="Arial"/>
                <w:sz w:val="16"/>
                <w:szCs w:val="16"/>
                <w:color w:val="010101"/>
                <w:w w:val="96"/>
              </w:rPr>
              <w:t>SECTION 10.11. Letter of Credit Amounts</w:t>
            </w:r>
          </w:p>
        </w:tc>
      </w:tr>
      <w:tr>
        <w:trPr>
          <w:trHeight w:val="20"/>
        </w:trPr>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shd w:val="clear" w:color="auto" w:fill="01010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1010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42"/>
        </w:trPr>
        <w:tc>
          <w:tcPr>
            <w:tcW w:w="16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89"/>
              </w:rPr>
              <w:t>120</w:t>
            </w:r>
          </w:p>
        </w:tc>
        <w:tc>
          <w:tcPr>
            <w:tcW w:w="1960" w:type="dxa"/>
            <w:vAlign w:val="bottom"/>
            <w:gridSpan w:val="3"/>
          </w:tcPr>
          <w:p>
            <w:pPr>
              <w:spacing w:after="0" w:line="142" w:lineRule="exact"/>
              <w:rPr>
                <w:sz w:val="20"/>
                <w:szCs w:val="20"/>
                <w:color w:val="auto"/>
              </w:rPr>
            </w:pPr>
            <w:r>
              <w:rPr>
                <w:rFonts w:ascii="Arial" w:cs="Arial" w:eastAsia="Arial" w:hAnsi="Arial"/>
                <w:sz w:val="16"/>
                <w:szCs w:val="16"/>
                <w:b w:val="1"/>
                <w:bCs w:val="1"/>
                <w:color w:val="0000FF"/>
              </w:rPr>
              <w:t xml:space="preserve">124 </w:t>
            </w:r>
            <w:r>
              <w:rPr>
                <w:rFonts w:ascii="Arial" w:cs="Arial" w:eastAsia="Arial" w:hAnsi="Arial"/>
                <w:sz w:val="16"/>
                <w:szCs w:val="16"/>
                <w:color w:val="010101"/>
              </w:rPr>
              <w:t>SECTION 10.12. Cash</w:t>
            </w:r>
          </w:p>
        </w:tc>
        <w:tc>
          <w:tcPr>
            <w:tcW w:w="2680" w:type="dxa"/>
            <w:vAlign w:val="bottom"/>
            <w:gridSpan w:val="4"/>
          </w:tcPr>
          <w:p>
            <w:pPr>
              <w:spacing w:after="0" w:line="142" w:lineRule="exact"/>
              <w:rPr>
                <w:sz w:val="20"/>
                <w:szCs w:val="20"/>
                <w:color w:val="auto"/>
              </w:rPr>
            </w:pPr>
            <w:r>
              <w:rPr>
                <w:rFonts w:ascii="Arial" w:cs="Arial" w:eastAsia="Arial" w:hAnsi="Arial"/>
                <w:sz w:val="16"/>
                <w:szCs w:val="16"/>
                <w:color w:val="010101"/>
                <w:w w:val="94"/>
              </w:rPr>
              <w:t>Collateral for Extended Letters of Credit</w:t>
            </w:r>
          </w:p>
        </w:tc>
        <w:tc>
          <w:tcPr>
            <w:tcW w:w="240" w:type="dxa"/>
            <w:vAlign w:val="bottom"/>
          </w:tcPr>
          <w:p>
            <w:pPr>
              <w:jc w:val="right"/>
              <w:spacing w:after="0" w:line="142" w:lineRule="exact"/>
              <w:rPr>
                <w:sz w:val="20"/>
                <w:szCs w:val="20"/>
                <w:color w:val="auto"/>
              </w:rPr>
            </w:pPr>
            <w:r>
              <w:rPr>
                <w:rFonts w:ascii="Arial" w:cs="Arial" w:eastAsia="Arial" w:hAnsi="Arial"/>
                <w:sz w:val="16"/>
                <w:szCs w:val="16"/>
                <w:color w:val="FF0000"/>
                <w:strike w:val="1"/>
                <w:w w:val="82"/>
              </w:rPr>
              <w:t>120</w:t>
            </w:r>
          </w:p>
        </w:tc>
        <w:tc>
          <w:tcPr>
            <w:tcW w:w="1820" w:type="dxa"/>
            <w:vAlign w:val="bottom"/>
            <w:gridSpan w:val="3"/>
          </w:tcPr>
          <w:p>
            <w:pPr>
              <w:jc w:val="right"/>
              <w:ind w:right="1580"/>
              <w:spacing w:after="0" w:line="142" w:lineRule="exact"/>
              <w:rPr>
                <w:sz w:val="20"/>
                <w:szCs w:val="20"/>
                <w:color w:val="auto"/>
              </w:rPr>
            </w:pPr>
            <w:r>
              <w:rPr>
                <w:rFonts w:ascii="Arial" w:cs="Arial" w:eastAsia="Arial" w:hAnsi="Arial"/>
                <w:sz w:val="16"/>
                <w:szCs w:val="16"/>
                <w:b w:val="1"/>
                <w:bCs w:val="1"/>
                <w:color w:val="0000FF"/>
                <w:w w:val="82"/>
              </w:rPr>
              <w:t>124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20"/>
        </w:trPr>
        <w:tc>
          <w:tcPr>
            <w:tcW w:w="160" w:type="dxa"/>
            <w:vAlign w:val="bottom"/>
            <w:shd w:val="clear" w:color="auto" w:fill="FF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shd w:val="clear" w:color="auto" w:fill="01010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010101"/>
        </w:rPr>
        <w:t>Schedules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010101"/>
        </w:rPr>
        <w:t>Schedule I</w:t>
      </w:r>
      <w:r>
        <w:rPr>
          <w:rFonts w:ascii="Arial" w:cs="Arial" w:eastAsia="Arial" w:hAnsi="Arial"/>
          <w:sz w:val="16"/>
          <w:szCs w:val="16"/>
          <w:b w:val="1"/>
          <w:bCs w:val="1"/>
          <w:u w:val="single" w:color="auto"/>
          <w:color w:val="0000FF"/>
        </w:rPr>
        <w:t>(a</w:t>
      </w:r>
      <w:r>
        <w:rPr>
          <w:rFonts w:ascii="Arial" w:cs="Arial" w:eastAsia="Arial" w:hAnsi="Arial"/>
          <w:sz w:val="16"/>
          <w:szCs w:val="16"/>
          <w:b w:val="1"/>
          <w:bCs w:val="1"/>
          <w:color w:val="0000FF"/>
        </w:rPr>
        <w:t>) –</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m</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 Commitments</w:t>
      </w:r>
      <w:r>
        <w:rPr>
          <w:rFonts w:ascii="Arial" w:cs="Arial" w:eastAsia="Arial" w:hAnsi="Arial"/>
          <w:sz w:val="16"/>
          <w:szCs w:val="16"/>
          <w:color w:val="010101"/>
        </w:rPr>
        <w:t xml:space="preserve"> </w:t>
      </w:r>
      <w:r>
        <w:rPr>
          <w:rFonts w:ascii="Arial" w:cs="Arial" w:eastAsia="Arial" w:hAnsi="Arial"/>
          <w:sz w:val="16"/>
          <w:szCs w:val="16"/>
          <w:color w:val="FF0000"/>
          <w:strike w:val="1"/>
        </w:rPr>
        <w:t>–</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Schedul</w:t>
      </w:r>
      <w:r>
        <w:rPr>
          <w:rFonts w:ascii="Arial" w:cs="Arial" w:eastAsia="Arial" w:hAnsi="Arial"/>
          <w:sz w:val="16"/>
          <w:szCs w:val="16"/>
          <w:b w:val="1"/>
          <w:bCs w:val="1"/>
          <w:color w:val="0000FF"/>
        </w:rPr>
        <w:t>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I(b</w:t>
      </w:r>
      <w:r>
        <w:rPr>
          <w:rFonts w:ascii="Arial" w:cs="Arial" w:eastAsia="Arial" w:hAnsi="Arial"/>
          <w:sz w:val="16"/>
          <w:szCs w:val="16"/>
          <w:b w:val="1"/>
          <w:bCs w:val="1"/>
          <w:color w:val="0000FF"/>
        </w:rPr>
        <w:t>) –</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Revolvin</w:t>
      </w:r>
      <w:r>
        <w:rPr>
          <w:rFonts w:ascii="Arial" w:cs="Arial" w:eastAsia="Arial" w:hAnsi="Arial"/>
          <w:sz w:val="16"/>
          <w:szCs w:val="16"/>
          <w:b w:val="1"/>
          <w:bCs w:val="1"/>
          <w:color w:val="0000FF"/>
        </w:rPr>
        <w:t>g Loan</w:t>
      </w:r>
      <w:r>
        <w:rPr>
          <w:rFonts w:ascii="Arial" w:cs="Arial" w:eastAsia="Arial" w:hAnsi="Arial"/>
          <w:sz w:val="16"/>
          <w:szCs w:val="16"/>
          <w:color w:val="010101"/>
        </w:rPr>
        <w:t xml:space="preserve"> Commitments Schedule III – Effective</w:t>
      </w:r>
    </w:p>
    <w:p>
      <w:pPr>
        <w:spacing w:after="0" w:line="210" w:lineRule="auto"/>
        <w:rPr>
          <w:sz w:val="20"/>
          <w:szCs w:val="20"/>
          <w:color w:val="auto"/>
        </w:rPr>
      </w:pPr>
      <w:r>
        <w:rPr>
          <w:rFonts w:ascii="Arial" w:cs="Arial" w:eastAsia="Arial" w:hAnsi="Arial"/>
          <w:sz w:val="16"/>
          <w:szCs w:val="16"/>
          <w:color w:val="010101"/>
        </w:rPr>
        <w:t>Date Guarantors Schedule 1.01 – Existing Letters of Credit</w:t>
      </w:r>
    </w:p>
    <w:p>
      <w:pPr>
        <w:spacing w:after="0" w:line="211" w:lineRule="auto"/>
        <w:rPr>
          <w:sz w:val="20"/>
          <w:szCs w:val="20"/>
          <w:color w:val="auto"/>
        </w:rPr>
      </w:pPr>
      <w:r>
        <w:rPr>
          <w:rFonts w:ascii="Arial" w:cs="Arial" w:eastAsia="Arial" w:hAnsi="Arial"/>
          <w:sz w:val="16"/>
          <w:szCs w:val="16"/>
          <w:color w:val="010101"/>
        </w:rPr>
        <w:t>Schedule 2.14(f) - Scheme Reference Numbers and Jurisdictions of Tax Residence Schedule 5.02(a) – Existing Liens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10101"/>
        </w:rPr>
        <w:t>Schedule 5.02(d) – Existing Debt and Investments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gridSpan w:val="2"/>
          </w:tcPr>
          <w:p>
            <w:pPr>
              <w:spacing w:after="0"/>
              <w:rPr>
                <w:sz w:val="20"/>
                <w:szCs w:val="20"/>
                <w:color w:val="auto"/>
              </w:rPr>
            </w:pPr>
            <w:r>
              <w:rPr>
                <w:rFonts w:ascii="Arial" w:cs="Arial" w:eastAsia="Arial" w:hAnsi="Arial"/>
                <w:sz w:val="16"/>
                <w:szCs w:val="16"/>
                <w:color w:val="010101"/>
              </w:rPr>
              <w:t>Exhibits</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760" w:type="dxa"/>
            <w:vAlign w:val="bottom"/>
            <w:gridSpan w:val="2"/>
          </w:tcPr>
          <w:p>
            <w:pPr>
              <w:spacing w:after="0"/>
              <w:rPr>
                <w:sz w:val="20"/>
                <w:szCs w:val="20"/>
                <w:color w:val="auto"/>
              </w:rPr>
            </w:pPr>
            <w:r>
              <w:rPr>
                <w:rFonts w:ascii="Arial" w:cs="Arial" w:eastAsia="Arial" w:hAnsi="Arial"/>
                <w:sz w:val="16"/>
                <w:szCs w:val="16"/>
                <w:color w:val="010101"/>
                <w:w w:val="95"/>
              </w:rPr>
              <w:t>Exhibit A</w:t>
            </w:r>
            <w:r>
              <w:rPr>
                <w:rFonts w:ascii="Arial" w:cs="Arial" w:eastAsia="Arial" w:hAnsi="Arial"/>
                <w:sz w:val="16"/>
                <w:szCs w:val="16"/>
                <w:b w:val="1"/>
                <w:bCs w:val="1"/>
                <w:color w:val="0000FF"/>
                <w:w w:val="95"/>
              </w:rPr>
              <w:t>-1</w:t>
            </w:r>
          </w:p>
        </w:tc>
        <w:tc>
          <w:tcPr>
            <w:tcW w:w="2820" w:type="dxa"/>
            <w:vAlign w:val="bottom"/>
            <w:gridSpan w:val="5"/>
          </w:tcPr>
          <w:p>
            <w:pPr>
              <w:ind w:left="160"/>
              <w:spacing w:after="0"/>
              <w:rPr>
                <w:sz w:val="20"/>
                <w:szCs w:val="20"/>
                <w:color w:val="auto"/>
              </w:rPr>
            </w:pPr>
            <w:r>
              <w:rPr>
                <w:rFonts w:ascii="Arial" w:cs="Arial" w:eastAsia="Arial" w:hAnsi="Arial"/>
                <w:sz w:val="16"/>
                <w:szCs w:val="16"/>
                <w:color w:val="010101"/>
                <w:w w:val="96"/>
              </w:rPr>
              <w:t xml:space="preserve">- Form of </w:t>
            </w:r>
            <w:r>
              <w:rPr>
                <w:rFonts w:ascii="Arial" w:cs="Arial" w:eastAsia="Arial" w:hAnsi="Arial"/>
                <w:sz w:val="16"/>
                <w:szCs w:val="16"/>
                <w:b w:val="1"/>
                <w:bCs w:val="1"/>
                <w:color w:val="0000FF"/>
                <w:w w:val="96"/>
              </w:rPr>
              <w:t>Revolving Note Exhibit A-2</w:t>
            </w:r>
          </w:p>
        </w:tc>
        <w:tc>
          <w:tcPr>
            <w:tcW w:w="5080" w:type="dxa"/>
            <w:vAlign w:val="bottom"/>
            <w:gridSpan w:val="5"/>
          </w:tcPr>
          <w:p>
            <w:pPr>
              <w:ind w:left="60"/>
              <w:spacing w:after="0"/>
              <w:rPr>
                <w:sz w:val="20"/>
                <w:szCs w:val="20"/>
                <w:color w:val="auto"/>
              </w:rPr>
            </w:pPr>
            <w:r>
              <w:rPr>
                <w:rFonts w:ascii="Arial" w:cs="Arial" w:eastAsia="Arial" w:hAnsi="Arial"/>
                <w:sz w:val="16"/>
                <w:szCs w:val="16"/>
                <w:b w:val="1"/>
                <w:bCs w:val="1"/>
                <w:u w:val="single" w:color="auto"/>
                <w:color w:val="0000FF"/>
              </w:rPr>
              <w:t>-</w:t>
            </w:r>
            <w:r>
              <w:rPr>
                <w:rFonts w:ascii="Arial" w:cs="Arial" w:eastAsia="Arial" w:hAnsi="Arial"/>
                <w:sz w:val="16"/>
                <w:szCs w:val="16"/>
                <w:b w:val="1"/>
                <w:bCs w:val="1"/>
                <w:color w:val="0000FF"/>
              </w:rPr>
              <w:t xml:space="preserve"> Form of Term </w:t>
            </w:r>
            <w:r>
              <w:rPr>
                <w:rFonts w:ascii="Arial" w:cs="Arial" w:eastAsia="Arial" w:hAnsi="Arial"/>
                <w:sz w:val="16"/>
                <w:szCs w:val="16"/>
                <w:color w:val="010101"/>
              </w:rPr>
              <w:t>Note</w:t>
            </w: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line="155" w:lineRule="exact"/>
              <w:rPr>
                <w:sz w:val="20"/>
                <w:szCs w:val="20"/>
                <w:color w:val="auto"/>
              </w:rPr>
            </w:pPr>
            <w:r>
              <w:rPr>
                <w:rFonts w:ascii="Arial" w:cs="Arial" w:eastAsia="Arial" w:hAnsi="Arial"/>
                <w:sz w:val="16"/>
                <w:szCs w:val="16"/>
                <w:color w:val="010101"/>
                <w:w w:val="94"/>
              </w:rPr>
              <w:t>Exhibit B</w:t>
            </w:r>
          </w:p>
        </w:tc>
        <w:tc>
          <w:tcPr>
            <w:tcW w:w="140" w:type="dxa"/>
            <w:vAlign w:val="bottom"/>
            <w:shd w:val="clear" w:color="auto" w:fill="0000FF"/>
          </w:tcPr>
          <w:p>
            <w:pPr>
              <w:spacing w:after="0" w:line="20" w:lineRule="exact"/>
              <w:rPr>
                <w:sz w:val="1"/>
                <w:szCs w:val="1"/>
                <w:color w:val="auto"/>
              </w:rPr>
            </w:pPr>
          </w:p>
        </w:tc>
        <w:tc>
          <w:tcPr>
            <w:tcW w:w="820" w:type="dxa"/>
            <w:vAlign w:val="bottom"/>
            <w:vMerge w:val="restart"/>
          </w:tcPr>
          <w:p>
            <w:pPr>
              <w:ind w:left="160"/>
              <w:spacing w:after="0" w:line="155" w:lineRule="exact"/>
              <w:rPr>
                <w:sz w:val="20"/>
                <w:szCs w:val="20"/>
                <w:color w:val="auto"/>
              </w:rPr>
            </w:pPr>
            <w:r>
              <w:rPr>
                <w:rFonts w:ascii="Arial" w:cs="Arial" w:eastAsia="Arial" w:hAnsi="Arial"/>
                <w:sz w:val="16"/>
                <w:szCs w:val="16"/>
                <w:color w:val="010101"/>
                <w:w w:val="98"/>
              </w:rPr>
              <w:t>- Form of</w:t>
            </w:r>
          </w:p>
        </w:tc>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20" w:type="dxa"/>
            <w:vAlign w:val="bottom"/>
            <w:vMerge w:val="continue"/>
          </w:tcPr>
          <w:p>
            <w:pPr>
              <w:spacing w:after="0"/>
              <w:rPr>
                <w:sz w:val="11"/>
                <w:szCs w:val="11"/>
                <w:color w:val="auto"/>
              </w:rPr>
            </w:pPr>
          </w:p>
        </w:tc>
        <w:tc>
          <w:tcPr>
            <w:tcW w:w="140" w:type="dxa"/>
            <w:vAlign w:val="bottom"/>
          </w:tcPr>
          <w:p>
            <w:pPr>
              <w:jc w:val="right"/>
              <w:spacing w:after="0" w:line="136" w:lineRule="exact"/>
              <w:rPr>
                <w:sz w:val="20"/>
                <w:szCs w:val="20"/>
                <w:color w:val="auto"/>
              </w:rPr>
            </w:pPr>
            <w:r>
              <w:rPr>
                <w:rFonts w:ascii="Arial" w:cs="Arial" w:eastAsia="Arial" w:hAnsi="Arial"/>
                <w:sz w:val="15"/>
                <w:szCs w:val="15"/>
                <w:color w:val="010101"/>
                <w:w w:val="89"/>
              </w:rPr>
              <w:t>-1</w:t>
            </w:r>
          </w:p>
        </w:tc>
        <w:tc>
          <w:tcPr>
            <w:tcW w:w="820" w:type="dxa"/>
            <w:vAlign w:val="bottom"/>
            <w:vMerge w:val="continue"/>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5"/>
                <w:szCs w:val="15"/>
                <w:color w:val="010101"/>
              </w:rPr>
              <w:t>Notice of</w:t>
            </w:r>
          </w:p>
        </w:tc>
        <w:tc>
          <w:tcPr>
            <w:tcW w:w="940" w:type="dxa"/>
            <w:vAlign w:val="bottom"/>
            <w:gridSpan w:val="2"/>
          </w:tcPr>
          <w:p>
            <w:pPr>
              <w:ind w:left="20"/>
              <w:spacing w:after="0" w:line="136" w:lineRule="exact"/>
              <w:rPr>
                <w:sz w:val="20"/>
                <w:szCs w:val="20"/>
                <w:color w:val="auto"/>
              </w:rPr>
            </w:pPr>
            <w:r>
              <w:rPr>
                <w:rFonts w:ascii="Arial" w:cs="Arial" w:eastAsia="Arial" w:hAnsi="Arial"/>
                <w:sz w:val="15"/>
                <w:szCs w:val="15"/>
                <w:color w:val="010101"/>
              </w:rPr>
              <w:t>Borrowing</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60" w:type="dxa"/>
            <w:vAlign w:val="bottom"/>
            <w:gridSpan w:val="2"/>
          </w:tcPr>
          <w:p>
            <w:pPr>
              <w:spacing w:after="0" w:line="161" w:lineRule="exact"/>
              <w:rPr>
                <w:sz w:val="20"/>
                <w:szCs w:val="20"/>
                <w:color w:val="auto"/>
              </w:rPr>
            </w:pPr>
            <w:r>
              <w:rPr>
                <w:rFonts w:ascii="Arial" w:cs="Arial" w:eastAsia="Arial" w:hAnsi="Arial"/>
                <w:sz w:val="16"/>
                <w:szCs w:val="16"/>
                <w:color w:val="010101"/>
                <w:w w:val="95"/>
              </w:rPr>
              <w:t>Exhibit B-2</w:t>
            </w:r>
          </w:p>
        </w:tc>
        <w:tc>
          <w:tcPr>
            <w:tcW w:w="7900" w:type="dxa"/>
            <w:vAlign w:val="bottom"/>
            <w:gridSpan w:val="10"/>
          </w:tcPr>
          <w:p>
            <w:pPr>
              <w:ind w:left="160"/>
              <w:spacing w:after="0" w:line="161" w:lineRule="exact"/>
              <w:rPr>
                <w:sz w:val="20"/>
                <w:szCs w:val="20"/>
                <w:color w:val="auto"/>
              </w:rPr>
            </w:pPr>
            <w:r>
              <w:rPr>
                <w:rFonts w:ascii="Arial" w:cs="Arial" w:eastAsia="Arial" w:hAnsi="Arial"/>
                <w:sz w:val="16"/>
                <w:szCs w:val="16"/>
                <w:color w:val="010101"/>
                <w:w w:val="96"/>
              </w:rPr>
              <w:t>- Form of Notice of Continuation/Conversion Exhibit C  - Form of Assignment and Assumption Exhibit D  - Form of</w:t>
            </w:r>
          </w:p>
        </w:tc>
        <w:tc>
          <w:tcPr>
            <w:tcW w:w="0" w:type="dxa"/>
            <w:vAlign w:val="bottom"/>
          </w:tcPr>
          <w:p>
            <w:pPr>
              <w:spacing w:after="0"/>
              <w:rPr>
                <w:sz w:val="1"/>
                <w:szCs w:val="1"/>
                <w:color w:val="auto"/>
              </w:rPr>
            </w:pPr>
          </w:p>
        </w:tc>
      </w:tr>
      <w:tr>
        <w:trPr>
          <w:trHeight w:val="162"/>
        </w:trPr>
        <w:tc>
          <w:tcPr>
            <w:tcW w:w="3580" w:type="dxa"/>
            <w:vAlign w:val="bottom"/>
            <w:gridSpan w:val="7"/>
          </w:tcPr>
          <w:p>
            <w:pPr>
              <w:spacing w:after="0" w:line="161" w:lineRule="exact"/>
              <w:rPr>
                <w:sz w:val="20"/>
                <w:szCs w:val="20"/>
                <w:color w:val="auto"/>
              </w:rPr>
            </w:pPr>
            <w:r>
              <w:rPr>
                <w:rFonts w:ascii="Arial" w:cs="Arial" w:eastAsia="Arial" w:hAnsi="Arial"/>
                <w:sz w:val="16"/>
                <w:szCs w:val="16"/>
                <w:color w:val="010101"/>
              </w:rPr>
              <w:t>Assumption Agreement</w:t>
            </w:r>
          </w:p>
        </w:tc>
        <w:tc>
          <w:tcPr>
            <w:tcW w:w="5080" w:type="dxa"/>
            <w:vAlign w:val="bottom"/>
            <w:gridSpan w:val="5"/>
            <w:vMerge w:val="restart"/>
          </w:tcPr>
          <w:p>
            <w:pPr>
              <w:ind w:left="100"/>
              <w:spacing w:after="0"/>
              <w:rPr>
                <w:sz w:val="20"/>
                <w:szCs w:val="20"/>
                <w:color w:val="auto"/>
              </w:rPr>
            </w:pPr>
            <w:r>
              <w:rPr>
                <w:rFonts w:ascii="Arial" w:cs="Arial" w:eastAsia="Arial" w:hAnsi="Arial"/>
                <w:sz w:val="16"/>
                <w:szCs w:val="16"/>
                <w:color w:val="010101"/>
              </w:rPr>
              <w:t>- Notice of Prepayments</w:t>
            </w:r>
          </w:p>
        </w:tc>
        <w:tc>
          <w:tcPr>
            <w:tcW w:w="0" w:type="dxa"/>
            <w:vAlign w:val="bottom"/>
          </w:tcPr>
          <w:p>
            <w:pPr>
              <w:spacing w:after="0"/>
              <w:rPr>
                <w:sz w:val="1"/>
                <w:szCs w:val="1"/>
                <w:color w:val="auto"/>
              </w:rPr>
            </w:pPr>
          </w:p>
        </w:tc>
      </w:tr>
      <w:tr>
        <w:trPr>
          <w:trHeight w:val="162"/>
        </w:trPr>
        <w:tc>
          <w:tcPr>
            <w:tcW w:w="760" w:type="dxa"/>
            <w:vAlign w:val="bottom"/>
            <w:gridSpan w:val="2"/>
          </w:tcPr>
          <w:p>
            <w:pPr>
              <w:spacing w:after="0" w:line="161" w:lineRule="exact"/>
              <w:rPr>
                <w:sz w:val="20"/>
                <w:szCs w:val="20"/>
                <w:color w:val="auto"/>
              </w:rPr>
            </w:pPr>
            <w:r>
              <w:rPr>
                <w:rFonts w:ascii="Arial" w:cs="Arial" w:eastAsia="Arial" w:hAnsi="Arial"/>
                <w:sz w:val="16"/>
                <w:szCs w:val="16"/>
                <w:color w:val="010101"/>
              </w:rPr>
              <w:t>Exhibit E</w:t>
            </w:r>
          </w:p>
        </w:tc>
        <w:tc>
          <w:tcPr>
            <w:tcW w:w="2820" w:type="dxa"/>
            <w:vAlign w:val="bottom"/>
            <w:gridSpan w:val="5"/>
          </w:tcPr>
          <w:p>
            <w:pPr>
              <w:ind w:left="20"/>
              <w:spacing w:after="0" w:line="161" w:lineRule="exact"/>
              <w:rPr>
                <w:sz w:val="20"/>
                <w:szCs w:val="20"/>
                <w:color w:val="auto"/>
              </w:rPr>
            </w:pPr>
            <w:r>
              <w:rPr>
                <w:rFonts w:ascii="Arial" w:cs="Arial" w:eastAsia="Arial" w:hAnsi="Arial"/>
                <w:sz w:val="16"/>
                <w:szCs w:val="16"/>
                <w:color w:val="010101"/>
                <w:w w:val="95"/>
              </w:rPr>
              <w:t>- Notice of Account Designation Exhibit F</w:t>
            </w:r>
          </w:p>
        </w:tc>
        <w:tc>
          <w:tcPr>
            <w:tcW w:w="5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580" w:type="dxa"/>
            <w:vAlign w:val="bottom"/>
            <w:gridSpan w:val="7"/>
          </w:tcPr>
          <w:p>
            <w:pPr>
              <w:spacing w:after="0"/>
              <w:rPr>
                <w:sz w:val="20"/>
                <w:szCs w:val="20"/>
                <w:color w:val="auto"/>
              </w:rPr>
            </w:pPr>
            <w:r>
              <w:rPr>
                <w:rFonts w:ascii="Arial" w:cs="Arial" w:eastAsia="Arial" w:hAnsi="Arial"/>
                <w:sz w:val="16"/>
                <w:szCs w:val="16"/>
                <w:color w:val="010101"/>
              </w:rPr>
              <w:t>Exhibit G  - Form of Solvency Certificate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80" w:top="1239" w:right="479" w:bottom="1440" w:gutter="0" w:footer="0" w:header="0"/>
        </w:sectPr>
      </w:pPr>
    </w:p>
    <w:bookmarkStart w:id="61" w:name="page62"/>
    <w:bookmarkEnd w:id="61"/>
    <w:p>
      <w:pPr>
        <w:jc w:val="center"/>
        <w:ind w:right="-199"/>
        <w:spacing w:after="0"/>
        <w:rPr>
          <w:sz w:val="20"/>
          <w:szCs w:val="20"/>
          <w:color w:val="auto"/>
        </w:rPr>
      </w:pPr>
      <w:r>
        <w:rPr>
          <w:rFonts w:ascii="Arial" w:cs="Arial" w:eastAsia="Arial" w:hAnsi="Arial"/>
          <w:sz w:val="16"/>
          <w:szCs w:val="16"/>
          <w:color w:val="010101"/>
        </w:rPr>
        <w:t>SECOND AMENDED AND RESTATED FIVE YEAR CREDIT AGREEMENT</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010101"/>
        </w:rPr>
        <w:t>Dated as of May 3, 2022</w:t>
      </w:r>
    </w:p>
    <w:p>
      <w:pPr>
        <w:spacing w:after="0" w:line="160" w:lineRule="exact"/>
        <w:rPr>
          <w:sz w:val="20"/>
          <w:szCs w:val="20"/>
          <w:color w:val="auto"/>
        </w:rPr>
      </w:pPr>
    </w:p>
    <w:p>
      <w:pPr>
        <w:jc w:val="both"/>
        <w:ind w:left="60" w:firstLine="485"/>
        <w:spacing w:after="0" w:line="237" w:lineRule="auto"/>
        <w:rPr>
          <w:sz w:val="20"/>
          <w:szCs w:val="20"/>
          <w:color w:val="auto"/>
        </w:rPr>
      </w:pPr>
      <w:r>
        <w:rPr>
          <w:rFonts w:ascii="Arial" w:cs="Arial" w:eastAsia="Arial" w:hAnsi="Arial"/>
          <w:sz w:val="15"/>
          <w:szCs w:val="15"/>
          <w:color w:val="010101"/>
        </w:rPr>
        <w:t>Graham Holdings Company, a Delaware corporation (the “</w:t>
      </w:r>
      <w:r>
        <w:rPr>
          <w:rFonts w:ascii="Arial" w:cs="Arial" w:eastAsia="Arial" w:hAnsi="Arial"/>
          <w:sz w:val="15"/>
          <w:szCs w:val="15"/>
          <w:u w:val="single" w:color="auto"/>
          <w:color w:val="010101"/>
        </w:rPr>
        <w:t>Company</w:t>
      </w:r>
      <w:r>
        <w:rPr>
          <w:rFonts w:ascii="Arial" w:cs="Arial" w:eastAsia="Arial" w:hAnsi="Arial"/>
          <w:sz w:val="15"/>
          <w:szCs w:val="15"/>
          <w:color w:val="010101"/>
        </w:rPr>
        <w:t>”), Kaplan U.K. Limited, a private limited company organized under the laws of England and Wales with registered number 04678712, as a Foreign Borrower, the other Foreign Borrowers from time to time party hereto, the Guarantors listed on the signature pages hereof, the banks, financial institutions and other institutional lenders (the “</w:t>
      </w:r>
      <w:r>
        <w:rPr>
          <w:rFonts w:ascii="Arial" w:cs="Arial" w:eastAsia="Arial" w:hAnsi="Arial"/>
          <w:sz w:val="15"/>
          <w:szCs w:val="15"/>
          <w:u w:val="single" w:color="auto"/>
          <w:color w:val="010101"/>
        </w:rPr>
        <w:t>Initial Lenders</w:t>
      </w:r>
      <w:r>
        <w:rPr>
          <w:rFonts w:ascii="Arial" w:cs="Arial" w:eastAsia="Arial" w:hAnsi="Arial"/>
          <w:sz w:val="15"/>
          <w:szCs w:val="15"/>
          <w:color w:val="010101"/>
        </w:rPr>
        <w:t>”) listed on the signature pages hereof, the other Lenders (as hereinafter defined) from time to time party hereto, the Issuing Lenders (as hereinafter defined) from time to time party hereto, and Wells Fargo Bank, National Association (“</w:t>
      </w:r>
      <w:r>
        <w:rPr>
          <w:rFonts w:ascii="Arial" w:cs="Arial" w:eastAsia="Arial" w:hAnsi="Arial"/>
          <w:sz w:val="15"/>
          <w:szCs w:val="15"/>
          <w:u w:val="single" w:color="auto"/>
          <w:color w:val="010101"/>
        </w:rPr>
        <w:t>Wells</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Fargo Bank</w:t>
      </w:r>
      <w:r>
        <w:rPr>
          <w:rFonts w:ascii="Arial" w:cs="Arial" w:eastAsia="Arial" w:hAnsi="Arial"/>
          <w:sz w:val="15"/>
          <w:szCs w:val="15"/>
          <w:color w:val="010101"/>
        </w:rPr>
        <w:t>”), as administrative agent (the “</w:t>
      </w:r>
      <w:r>
        <w:rPr>
          <w:rFonts w:ascii="Arial" w:cs="Arial" w:eastAsia="Arial" w:hAnsi="Arial"/>
          <w:sz w:val="15"/>
          <w:szCs w:val="15"/>
          <w:u w:val="single" w:color="auto"/>
          <w:color w:val="010101"/>
        </w:rPr>
        <w:t>Administrative Agent</w:t>
      </w:r>
      <w:r>
        <w:rPr>
          <w:rFonts w:ascii="Arial" w:cs="Arial" w:eastAsia="Arial" w:hAnsi="Arial"/>
          <w:sz w:val="15"/>
          <w:szCs w:val="15"/>
          <w:color w:val="010101"/>
        </w:rPr>
        <w:t>”) for the Lenders and the Issuing Lenders, agree as follows:</w:t>
      </w:r>
    </w:p>
    <w:p>
      <w:pPr>
        <w:spacing w:after="0" w:line="14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ARTICLE I</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010101"/>
        </w:rPr>
        <w:t>DEFINITIONS AND ACCOUNTING TERMS</w:t>
      </w:r>
    </w:p>
    <w:p>
      <w:pPr>
        <w:spacing w:after="0" w:line="160"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6"/>
          <w:szCs w:val="16"/>
          <w:color w:val="auto"/>
        </w:rPr>
        <w:t>SECTION 1.01.</w:t>
      </w:r>
      <w:r>
        <w:rPr>
          <w:sz w:val="20"/>
          <w:szCs w:val="20"/>
          <w:color w:val="auto"/>
        </w:rPr>
        <w:tab/>
      </w:r>
      <w:r>
        <w:rPr>
          <w:rFonts w:ascii="Arial" w:cs="Arial" w:eastAsia="Arial" w:hAnsi="Arial"/>
          <w:sz w:val="14"/>
          <w:szCs w:val="14"/>
          <w:u w:val="single" w:color="auto"/>
          <w:color w:val="010101"/>
        </w:rPr>
        <w:t>Certain Defined Terms</w:t>
      </w:r>
    </w:p>
    <w:p>
      <w:pPr>
        <w:spacing w:after="0" w:line="170" w:lineRule="exact"/>
        <w:rPr>
          <w:sz w:val="20"/>
          <w:szCs w:val="20"/>
          <w:color w:val="auto"/>
        </w:rPr>
      </w:pPr>
    </w:p>
    <w:p>
      <w:pPr>
        <w:ind w:left="60" w:firstLine="487"/>
        <w:spacing w:after="0" w:line="239" w:lineRule="auto"/>
        <w:tabs>
          <w:tab w:leader="none" w:pos="638" w:val="left"/>
        </w:tabs>
        <w:numPr>
          <w:ilvl w:val="0"/>
          <w:numId w:val="18"/>
        </w:numPr>
        <w:rPr>
          <w:rFonts w:ascii="Arial" w:cs="Arial" w:eastAsia="Arial" w:hAnsi="Arial"/>
          <w:sz w:val="16"/>
          <w:szCs w:val="16"/>
          <w:color w:val="010101"/>
        </w:rPr>
      </w:pPr>
      <w:r>
        <w:rPr>
          <w:rFonts w:ascii="Arial" w:cs="Arial" w:eastAsia="Arial" w:hAnsi="Arial"/>
          <w:sz w:val="16"/>
          <w:szCs w:val="16"/>
          <w:color w:val="010101"/>
        </w:rPr>
        <w:t>As used in this agreement (this “Agreement”), the following terms shall have the following meanings (such meanings to be equally applicable to both the singular and plural forms of the terms defined):</w:t>
      </w:r>
    </w:p>
    <w:p>
      <w:pPr>
        <w:spacing w:after="0" w:line="200" w:lineRule="exact"/>
        <w:rPr>
          <w:sz w:val="20"/>
          <w:szCs w:val="20"/>
          <w:color w:val="auto"/>
        </w:rPr>
      </w:pPr>
    </w:p>
    <w:p>
      <w:pPr>
        <w:spacing w:after="0" w:line="228" w:lineRule="exact"/>
        <w:rPr>
          <w:sz w:val="20"/>
          <w:szCs w:val="20"/>
          <w:color w:val="auto"/>
        </w:rPr>
      </w:pPr>
    </w:p>
    <w:p>
      <w:pPr>
        <w:jc w:val="both"/>
        <w:ind w:left="60" w:firstLine="485"/>
        <w:spacing w:after="0" w:line="244"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Advance</w:t>
      </w:r>
      <w:r>
        <w:rPr>
          <w:rFonts w:ascii="Arial" w:cs="Arial" w:eastAsia="Arial" w:hAnsi="Arial"/>
          <w:sz w:val="16"/>
          <w:szCs w:val="16"/>
          <w:color w:val="010101"/>
        </w:rPr>
        <w:t xml:space="preserve">” means </w:t>
      </w:r>
      <w:r>
        <w:rPr>
          <w:rFonts w:ascii="Arial" w:cs="Arial" w:eastAsia="Arial" w:hAnsi="Arial"/>
          <w:sz w:val="16"/>
          <w:szCs w:val="16"/>
          <w:color w:val="FF0000"/>
          <w:strike w:val="1"/>
        </w:rPr>
        <w:t>an advance made by a Lender to a Borrower in US Dollars or any Foreign Currency as part of a Borrowing pursuant to Section 2.01(a)</w:t>
      </w:r>
      <w:r>
        <w:rPr>
          <w:rFonts w:ascii="Arial" w:cs="Arial" w:eastAsia="Arial" w:hAnsi="Arial"/>
          <w:sz w:val="16"/>
          <w:szCs w:val="16"/>
          <w:b w:val="1"/>
          <w:bCs w:val="1"/>
          <w:u w:val="single" w:color="auto"/>
          <w:color w:val="0000FF"/>
        </w:rPr>
        <w:t>(a</w:t>
      </w:r>
      <w:r>
        <w:rPr>
          <w:rFonts w:ascii="Arial" w:cs="Arial" w:eastAsia="Arial" w:hAnsi="Arial"/>
          <w:sz w:val="16"/>
          <w:szCs w:val="16"/>
          <w:b w:val="1"/>
          <w:bCs w:val="1"/>
          <w:color w:val="0000FF"/>
        </w:rPr>
        <w:t>) a</w:t>
      </w:r>
      <w:r>
        <w:rPr>
          <w:rFonts w:ascii="Arial" w:cs="Arial" w:eastAsia="Arial" w:hAnsi="Arial"/>
          <w:sz w:val="16"/>
          <w:szCs w:val="16"/>
          <w:color w:val="010101"/>
        </w:rPr>
        <w:t xml:space="preserve"> </w:t>
      </w:r>
      <w:r>
        <w:rPr>
          <w:rFonts w:ascii="Arial" w:cs="Arial" w:eastAsia="Arial" w:hAnsi="Arial"/>
          <w:sz w:val="16"/>
          <w:szCs w:val="16"/>
          <w:b w:val="1"/>
          <w:bCs w:val="1"/>
          <w:color w:val="0000FF"/>
        </w:rPr>
        <w:t>R</w:t>
      </w:r>
      <w:r>
        <w:rPr>
          <w:rFonts w:ascii="Arial" w:cs="Arial" w:eastAsia="Arial" w:hAnsi="Arial"/>
          <w:sz w:val="16"/>
          <w:szCs w:val="16"/>
          <w:b w:val="1"/>
          <w:bCs w:val="1"/>
          <w:u w:val="single" w:color="auto"/>
          <w:color w:val="0000FF"/>
        </w:rPr>
        <w:t>evolvin</w:t>
      </w:r>
      <w:r>
        <w:rPr>
          <w:rFonts w:ascii="Arial" w:cs="Arial" w:eastAsia="Arial" w:hAnsi="Arial"/>
          <w:sz w:val="16"/>
          <w:szCs w:val="16"/>
          <w:b w:val="1"/>
          <w:bCs w:val="1"/>
          <w:color w:val="0000FF"/>
        </w:rPr>
        <w:t xml:space="preserve">g Advance,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makin</w:t>
      </w:r>
      <w:r>
        <w:rPr>
          <w:rFonts w:ascii="Arial" w:cs="Arial" w:eastAsia="Arial" w:hAnsi="Arial"/>
          <w:sz w:val="16"/>
          <w:szCs w:val="16"/>
          <w:b w:val="1"/>
          <w:bCs w:val="1"/>
          <w:color w:val="0000FF"/>
        </w:rPr>
        <w:t xml:space="preserve">g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f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 xml:space="preserve">m </w:t>
      </w:r>
      <w:r>
        <w:rPr>
          <w:rFonts w:ascii="Arial" w:cs="Arial" w:eastAsia="Arial" w:hAnsi="Arial"/>
          <w:sz w:val="16"/>
          <w:szCs w:val="16"/>
          <w:b w:val="1"/>
          <w:bCs w:val="1"/>
          <w:u w:val="single" w:color="auto"/>
          <w:color w:val="0000FF"/>
        </w:rPr>
        <w:t>Loan</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 xml:space="preserve">m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 Lenders</w:t>
      </w:r>
      <w:r>
        <w:rPr>
          <w:rFonts w:ascii="Arial" w:cs="Arial" w:eastAsia="Arial" w:hAnsi="Arial"/>
          <w:sz w:val="16"/>
          <w:szCs w:val="16"/>
          <w:color w:val="010101"/>
        </w:rPr>
        <w:t>.</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Administrative Questionnaire</w:t>
      </w:r>
      <w:r>
        <w:rPr>
          <w:rFonts w:ascii="Arial" w:cs="Arial" w:eastAsia="Arial" w:hAnsi="Arial"/>
          <w:sz w:val="16"/>
          <w:szCs w:val="16"/>
          <w:color w:val="010101"/>
        </w:rPr>
        <w:t>” means an Administrative Questionnaire in a form supplied by the Administrative Agent.</w:t>
      </w:r>
    </w:p>
    <w:p>
      <w:pPr>
        <w:spacing w:after="0" w:line="166" w:lineRule="exact"/>
        <w:rPr>
          <w:sz w:val="20"/>
          <w:szCs w:val="20"/>
          <w:color w:val="auto"/>
        </w:rPr>
      </w:pPr>
    </w:p>
    <w:p>
      <w:pPr>
        <w:jc w:val="both"/>
        <w:ind w:left="60" w:firstLine="485"/>
        <w:spacing w:after="0" w:line="231"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Adjusted Eurocurrency Rate</w:t>
      </w:r>
      <w:r>
        <w:rPr>
          <w:rFonts w:ascii="Arial" w:cs="Arial" w:eastAsia="Arial" w:hAnsi="Arial"/>
          <w:sz w:val="16"/>
          <w:szCs w:val="16"/>
          <w:color w:val="010101"/>
        </w:rPr>
        <w:t xml:space="preserve">” means, as to any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 denominated in any applicable Currency not bearing interest based on an RFR (which, as of the Effective Date, is each Foreign Currency, other than Sterling and Singapore Dollars) for any Interest Period, a rate per annum (rounded upwards, if necessary, to the next 1/10,000 of 1%) determined by the Administrative Agent pursuant to the following formula:</w:t>
      </w: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460" w:type="dxa"/>
            <w:vAlign w:val="bottom"/>
            <w:vMerge w:val="restart"/>
          </w:tcPr>
          <w:p>
            <w:pPr>
              <w:spacing w:after="0"/>
              <w:rPr>
                <w:sz w:val="20"/>
                <w:szCs w:val="20"/>
                <w:color w:val="auto"/>
              </w:rPr>
            </w:pPr>
            <w:r>
              <w:rPr>
                <w:rFonts w:ascii="Arial" w:cs="Arial" w:eastAsia="Arial" w:hAnsi="Arial"/>
                <w:sz w:val="16"/>
                <w:szCs w:val="16"/>
                <w:color w:val="010101"/>
              </w:rPr>
              <w:t>Adjusted Eurocurrency Rate =</w:t>
            </w:r>
          </w:p>
        </w:tc>
        <w:tc>
          <w:tcPr>
            <w:tcW w:w="5640" w:type="dxa"/>
            <w:vAlign w:val="bottom"/>
          </w:tcPr>
          <w:p>
            <w:pPr>
              <w:jc w:val="right"/>
              <w:spacing w:after="0"/>
              <w:rPr>
                <w:sz w:val="20"/>
                <w:szCs w:val="20"/>
                <w:color w:val="auto"/>
              </w:rPr>
            </w:pPr>
            <w:r>
              <w:rPr>
                <w:rFonts w:ascii="Arial" w:cs="Arial" w:eastAsia="Arial" w:hAnsi="Arial"/>
                <w:sz w:val="16"/>
                <w:szCs w:val="16"/>
                <w:color w:val="010101"/>
              </w:rPr>
              <w:t>Eurocurrency Rate for such Currency for such Interest Period</w:t>
            </w:r>
          </w:p>
        </w:tc>
        <w:tc>
          <w:tcPr>
            <w:tcW w:w="0" w:type="dxa"/>
            <w:vAlign w:val="bottom"/>
          </w:tcPr>
          <w:p>
            <w:pPr>
              <w:spacing w:after="0"/>
              <w:rPr>
                <w:sz w:val="1"/>
                <w:szCs w:val="1"/>
                <w:color w:val="auto"/>
              </w:rPr>
            </w:pPr>
          </w:p>
        </w:tc>
      </w:tr>
      <w:tr>
        <w:trPr>
          <w:trHeight w:val="105"/>
        </w:trPr>
        <w:tc>
          <w:tcPr>
            <w:tcW w:w="3460" w:type="dxa"/>
            <w:vAlign w:val="bottom"/>
            <w:vMerge w:val="continue"/>
          </w:tcPr>
          <w:p>
            <w:pPr>
              <w:spacing w:after="0"/>
              <w:rPr>
                <w:sz w:val="9"/>
                <w:szCs w:val="9"/>
                <w:color w:val="auto"/>
              </w:rPr>
            </w:pPr>
          </w:p>
        </w:tc>
        <w:tc>
          <w:tcPr>
            <w:tcW w:w="5640" w:type="dxa"/>
            <w:vAlign w:val="bottom"/>
            <w:vMerge w:val="restart"/>
          </w:tcPr>
          <w:p>
            <w:pPr>
              <w:jc w:val="right"/>
              <w:ind w:right="1079"/>
              <w:spacing w:after="0" w:line="172" w:lineRule="exact"/>
              <w:rPr>
                <w:sz w:val="20"/>
                <w:szCs w:val="20"/>
                <w:color w:val="auto"/>
              </w:rPr>
            </w:pPr>
            <w:r>
              <w:rPr>
                <w:rFonts w:ascii="Arial" w:cs="Arial" w:eastAsia="Arial" w:hAnsi="Arial"/>
                <w:sz w:val="16"/>
                <w:szCs w:val="16"/>
                <w:color w:val="auto"/>
              </w:rPr>
              <w:t>_____________________________________</w:t>
            </w:r>
          </w:p>
        </w:tc>
        <w:tc>
          <w:tcPr>
            <w:tcW w:w="0" w:type="dxa"/>
            <w:vAlign w:val="bottom"/>
          </w:tcPr>
          <w:p>
            <w:pPr>
              <w:spacing w:after="0"/>
              <w:rPr>
                <w:sz w:val="1"/>
                <w:szCs w:val="1"/>
                <w:color w:val="auto"/>
              </w:rPr>
            </w:pPr>
          </w:p>
        </w:tc>
      </w:tr>
      <w:tr>
        <w:trPr>
          <w:trHeight w:val="67"/>
        </w:trPr>
        <w:tc>
          <w:tcPr>
            <w:tcW w:w="3460" w:type="dxa"/>
            <w:vAlign w:val="bottom"/>
          </w:tcPr>
          <w:p>
            <w:pPr>
              <w:spacing w:after="0"/>
              <w:rPr>
                <w:sz w:val="5"/>
                <w:szCs w:val="5"/>
                <w:color w:val="auto"/>
              </w:rPr>
            </w:pPr>
          </w:p>
        </w:tc>
        <w:tc>
          <w:tcPr>
            <w:tcW w:w="5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5640" w:type="dxa"/>
            <w:vAlign w:val="bottom"/>
          </w:tcPr>
          <w:p>
            <w:pPr>
              <w:jc w:val="right"/>
              <w:ind w:right="1419"/>
              <w:spacing w:after="0"/>
              <w:rPr>
                <w:sz w:val="20"/>
                <w:szCs w:val="20"/>
                <w:color w:val="auto"/>
              </w:rPr>
            </w:pPr>
            <w:r>
              <w:rPr>
                <w:rFonts w:ascii="Arial" w:cs="Arial" w:eastAsia="Arial" w:hAnsi="Arial"/>
                <w:sz w:val="16"/>
                <w:szCs w:val="16"/>
                <w:color w:val="010101"/>
              </w:rPr>
              <w:t>1.00-Eurocurrency Reserve Percentage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Affected Financial Institution</w:t>
      </w:r>
      <w:r>
        <w:rPr>
          <w:rFonts w:ascii="Arial" w:cs="Arial" w:eastAsia="Arial" w:hAnsi="Arial"/>
          <w:sz w:val="16"/>
          <w:szCs w:val="16"/>
          <w:color w:val="010101"/>
        </w:rPr>
        <w:t>” means (a) any EEA Financial Institution or (b) any UK Financial Institution.</w:t>
      </w: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20" w:top="1083" w:right="519" w:bottom="1440" w:gutter="0" w:footer="0" w:header="0"/>
        </w:sectPr>
      </w:pPr>
    </w:p>
    <w:bookmarkStart w:id="62" w:name="page63"/>
    <w:bookmarkEnd w:id="62"/>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Affiliate</w:t>
      </w:r>
      <w:r>
        <w:rPr>
          <w:rFonts w:ascii="Arial" w:cs="Arial" w:eastAsia="Arial" w:hAnsi="Arial"/>
          <w:sz w:val="16"/>
          <w:szCs w:val="16"/>
          <w:color w:val="010101"/>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Agent Parties</w:t>
      </w:r>
      <w:r>
        <w:rPr>
          <w:rFonts w:ascii="Arial" w:cs="Arial" w:eastAsia="Arial" w:hAnsi="Arial"/>
          <w:sz w:val="16"/>
          <w:szCs w:val="16"/>
          <w:color w:val="010101"/>
        </w:rPr>
        <w:t>” has the meaning specified in Section 9.02(d)(ii). “</w:t>
      </w:r>
      <w:r>
        <w:rPr>
          <w:rFonts w:ascii="Arial" w:cs="Arial" w:eastAsia="Arial" w:hAnsi="Arial"/>
          <w:sz w:val="16"/>
          <w:szCs w:val="16"/>
          <w:u w:val="single" w:color="auto"/>
          <w:color w:val="010101"/>
        </w:rPr>
        <w:t>Announcements</w:t>
      </w:r>
      <w:r>
        <w:rPr>
          <w:rFonts w:ascii="Arial" w:cs="Arial" w:eastAsia="Arial" w:hAnsi="Arial"/>
          <w:sz w:val="16"/>
          <w:szCs w:val="16"/>
          <w:color w:val="010101"/>
        </w:rPr>
        <w:t>” has the meaning specified in Section 1.06.</w:t>
      </w:r>
    </w:p>
    <w:p>
      <w:pPr>
        <w:spacing w:after="0" w:line="79"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Anti-Corruption Laws</w:t>
      </w:r>
      <w:r>
        <w:rPr>
          <w:rFonts w:ascii="Arial" w:cs="Arial" w:eastAsia="Arial" w:hAnsi="Arial"/>
          <w:sz w:val="16"/>
          <w:szCs w:val="16"/>
          <w:color w:val="010101"/>
        </w:rPr>
        <w:t>” means all laws, rules, and regulations of any jurisdiction applicable to the Company or any of its Subsidiaries from time to time concerning or relating to bribery or corruption, including the United States Foreign Corrupt Practices Act of 1977 and the rules and regulations thereunder and the U.K. Bribery Act 2010 and the rules and regulations thereunder.</w:t>
      </w:r>
    </w:p>
    <w:p>
      <w:pPr>
        <w:spacing w:after="0" w:line="138" w:lineRule="exact"/>
        <w:rPr>
          <w:sz w:val="20"/>
          <w:szCs w:val="20"/>
          <w:color w:val="auto"/>
        </w:rPr>
      </w:pPr>
    </w:p>
    <w:p>
      <w:pPr>
        <w:jc w:val="both"/>
        <w:ind w:left="20" w:right="20" w:firstLine="485"/>
        <w:spacing w:after="0" w:line="248"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Anti-Money Laundering Laws</w:t>
      </w:r>
      <w:r>
        <w:rPr>
          <w:rFonts w:ascii="Arial" w:cs="Arial" w:eastAsia="Arial" w:hAnsi="Arial"/>
          <w:sz w:val="15"/>
          <w:szCs w:val="15"/>
          <w:color w:val="010101"/>
        </w:rPr>
        <w:t>” means any and all laws, statutes, regulations or obligatory government orders, decrees, ordinances or rules applicable to the Company or any of its Subsidiaries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42" w:lineRule="exact"/>
        <w:rPr>
          <w:sz w:val="20"/>
          <w:szCs w:val="20"/>
          <w:color w:val="auto"/>
        </w:rPr>
      </w:pPr>
    </w:p>
    <w:p>
      <w:pPr>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Anti-Terrorism Order</w:t>
      </w:r>
      <w:r>
        <w:rPr>
          <w:rFonts w:ascii="Arial" w:cs="Arial" w:eastAsia="Arial" w:hAnsi="Arial"/>
          <w:sz w:val="16"/>
          <w:szCs w:val="16"/>
          <w:color w:val="010101"/>
        </w:rPr>
        <w:t>” means Executive Order No. 13,224 of September 24, 2001, Blocking Property and Prohibiting Transactions with Persons Who Commit, Threaten to Commit or Support Terrorism, 66 U.S. Fed. Reg. 49, 079 (2001), as amended.</w:t>
      </w:r>
    </w:p>
    <w:p>
      <w:pPr>
        <w:spacing w:after="0" w:line="149"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Applicable Law</w:t>
      </w:r>
      <w:r>
        <w:rPr>
          <w:rFonts w:ascii="Arial" w:cs="Arial" w:eastAsia="Arial" w:hAnsi="Arial"/>
          <w:sz w:val="16"/>
          <w:szCs w:val="16"/>
          <w:color w:val="010101"/>
        </w:rPr>
        <w:t>” means all applicable provisions of constitutions, laws, statutes, ordinances, rules, treaties, regulations, permits, licenses, approvals, interpretations and orders of Governmental Authorities and all orders and decrees of all courts and arbitrators.</w:t>
      </w:r>
    </w:p>
    <w:p>
      <w:pPr>
        <w:spacing w:after="0" w:line="139"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Applicable Lending Office</w:t>
      </w:r>
      <w:r>
        <w:rPr>
          <w:rFonts w:ascii="Arial" w:cs="Arial" w:eastAsia="Arial" w:hAnsi="Arial"/>
          <w:sz w:val="16"/>
          <w:szCs w:val="16"/>
          <w:color w:val="010101"/>
        </w:rPr>
        <w:t>” means, (x) with respect to any Lender, the office(s) of such Lender maintaining such Lender’s Advances, which office(s) may include an office of any Affiliate of such Lender or any domestic or foreign branch of such Lender or Affiliate and (y) with respect to any Issuing Lender, the office(s) of such Issuing Lender providing any Letters of Credit hereunder, which office(s) may include an office of any Affiliate of such Issuing Lender or any domestic or foreign branch of such Issuing Lender or Affiliate.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Applicable Margin</w:t>
      </w:r>
      <w:r>
        <w:rPr>
          <w:rFonts w:ascii="Arial" w:cs="Arial" w:eastAsia="Arial" w:hAnsi="Arial"/>
          <w:sz w:val="16"/>
          <w:szCs w:val="16"/>
          <w:color w:val="010101"/>
        </w:rPr>
        <w:t>” means as of any date</w:t>
      </w:r>
      <w:r>
        <w:rPr>
          <w:rFonts w:ascii="Arial" w:cs="Arial" w:eastAsia="Arial" w:hAnsi="Arial"/>
          <w:sz w:val="16"/>
          <w:szCs w:val="16"/>
          <w:b w:val="1"/>
          <w:bCs w:val="1"/>
          <w:color w:val="0000FF"/>
        </w:rPr>
        <w:t>,</w:t>
      </w:r>
    </w:p>
    <w:p>
      <w:pPr>
        <w:spacing w:after="0" w:line="170" w:lineRule="exact"/>
        <w:rPr>
          <w:sz w:val="20"/>
          <w:szCs w:val="20"/>
          <w:color w:val="auto"/>
        </w:rPr>
      </w:pPr>
    </w:p>
    <w:p>
      <w:pPr>
        <w:ind w:left="920" w:hanging="413"/>
        <w:spacing w:after="0"/>
        <w:tabs>
          <w:tab w:leader="none" w:pos="920" w:val="left"/>
        </w:tabs>
        <w:numPr>
          <w:ilvl w:val="0"/>
          <w:numId w:val="19"/>
        </w:numPr>
        <w:rPr>
          <w:rFonts w:ascii="Arial" w:cs="Arial" w:eastAsia="Arial" w:hAnsi="Arial"/>
          <w:sz w:val="14"/>
          <w:szCs w:val="14"/>
          <w:b w:val="1"/>
          <w:bCs w:val="1"/>
          <w:u w:val="single" w:color="auto"/>
          <w:color w:val="0000FF"/>
        </w:rPr>
      </w:pPr>
      <w:r>
        <w:rPr>
          <w:rFonts w:ascii="Arial" w:cs="Arial" w:eastAsia="Arial" w:hAnsi="Arial"/>
          <w:sz w:val="14"/>
          <w:szCs w:val="14"/>
          <w:b w:val="1"/>
          <w:bCs w:val="1"/>
          <w:u w:val="single" w:color="auto"/>
          <w:color w:val="0000FF"/>
        </w:rPr>
        <w:t>i</w:t>
      </w:r>
      <w:r>
        <w:rPr>
          <w:rFonts w:ascii="Arial" w:cs="Arial" w:eastAsia="Arial" w:hAnsi="Arial"/>
          <w:sz w:val="14"/>
          <w:szCs w:val="14"/>
          <w:b w:val="1"/>
          <w:bCs w:val="1"/>
          <w:color w:val="0000FF"/>
        </w:rPr>
        <w:t>n r</w:t>
      </w:r>
      <w:r>
        <w:rPr>
          <w:rFonts w:ascii="Arial" w:cs="Arial" w:eastAsia="Arial" w:hAnsi="Arial"/>
          <w:sz w:val="14"/>
          <w:szCs w:val="14"/>
          <w:b w:val="1"/>
          <w:bCs w:val="1"/>
          <w:u w:val="single" w:color="auto"/>
          <w:color w:val="0000FF"/>
        </w:rPr>
        <w:t>espec</w:t>
      </w:r>
      <w:r>
        <w:rPr>
          <w:rFonts w:ascii="Arial" w:cs="Arial" w:eastAsia="Arial" w:hAnsi="Arial"/>
          <w:sz w:val="14"/>
          <w:szCs w:val="14"/>
          <w:b w:val="1"/>
          <w:bCs w:val="1"/>
          <w:color w:val="0000FF"/>
        </w:rPr>
        <w:t>t of t</w:t>
      </w:r>
      <w:r>
        <w:rPr>
          <w:rFonts w:ascii="Arial" w:cs="Arial" w:eastAsia="Arial" w:hAnsi="Arial"/>
          <w:sz w:val="14"/>
          <w:szCs w:val="14"/>
          <w:b w:val="1"/>
          <w:bCs w:val="1"/>
          <w:u w:val="single" w:color="auto"/>
          <w:color w:val="0000FF"/>
        </w:rPr>
        <w:t>h</w:t>
      </w:r>
      <w:r>
        <w:rPr>
          <w:rFonts w:ascii="Arial" w:cs="Arial" w:eastAsia="Arial" w:hAnsi="Arial"/>
          <w:sz w:val="14"/>
          <w:szCs w:val="14"/>
          <w:b w:val="1"/>
          <w:bCs w:val="1"/>
          <w:color w:val="0000FF"/>
        </w:rPr>
        <w:t>e T</w:t>
      </w:r>
      <w:r>
        <w:rPr>
          <w:rFonts w:ascii="Arial" w:cs="Arial" w:eastAsia="Arial" w:hAnsi="Arial"/>
          <w:sz w:val="14"/>
          <w:szCs w:val="14"/>
          <w:b w:val="1"/>
          <w:bCs w:val="1"/>
          <w:u w:val="single" w:color="auto"/>
          <w:color w:val="0000FF"/>
        </w:rPr>
        <w:t>er</w:t>
      </w:r>
      <w:r>
        <w:rPr>
          <w:rFonts w:ascii="Arial" w:cs="Arial" w:eastAsia="Arial" w:hAnsi="Arial"/>
          <w:sz w:val="14"/>
          <w:szCs w:val="14"/>
          <w:b w:val="1"/>
          <w:bCs w:val="1"/>
          <w:color w:val="0000FF"/>
        </w:rPr>
        <w:t>m L</w:t>
      </w:r>
      <w:r>
        <w:rPr>
          <w:rFonts w:ascii="Arial" w:cs="Arial" w:eastAsia="Arial" w:hAnsi="Arial"/>
          <w:sz w:val="14"/>
          <w:szCs w:val="14"/>
          <w:b w:val="1"/>
          <w:bCs w:val="1"/>
          <w:u w:val="single" w:color="auto"/>
          <w:color w:val="0000FF"/>
        </w:rPr>
        <w:t>oans</w:t>
      </w:r>
      <w:r>
        <w:rPr>
          <w:rFonts w:ascii="Arial" w:cs="Arial" w:eastAsia="Arial" w:hAnsi="Arial"/>
          <w:sz w:val="14"/>
          <w:szCs w:val="14"/>
          <w:b w:val="1"/>
          <w:bCs w:val="1"/>
          <w:color w:val="0000FF"/>
        </w:rPr>
        <w:t>, a p</w:t>
      </w:r>
      <w:r>
        <w:rPr>
          <w:rFonts w:ascii="Arial" w:cs="Arial" w:eastAsia="Arial" w:hAnsi="Arial"/>
          <w:sz w:val="14"/>
          <w:szCs w:val="14"/>
          <w:b w:val="1"/>
          <w:bCs w:val="1"/>
          <w:u w:val="single" w:color="auto"/>
          <w:color w:val="0000FF"/>
        </w:rPr>
        <w:t>ercentag</w:t>
      </w:r>
      <w:r>
        <w:rPr>
          <w:rFonts w:ascii="Arial" w:cs="Arial" w:eastAsia="Arial" w:hAnsi="Arial"/>
          <w:sz w:val="14"/>
          <w:szCs w:val="14"/>
          <w:b w:val="1"/>
          <w:bCs w:val="1"/>
          <w:color w:val="0000FF"/>
        </w:rPr>
        <w:t>e p</w:t>
      </w:r>
      <w:r>
        <w:rPr>
          <w:rFonts w:ascii="Arial" w:cs="Arial" w:eastAsia="Arial" w:hAnsi="Arial"/>
          <w:sz w:val="14"/>
          <w:szCs w:val="14"/>
          <w:b w:val="1"/>
          <w:bCs w:val="1"/>
          <w:u w:val="single" w:color="auto"/>
          <w:color w:val="0000FF"/>
        </w:rPr>
        <w:t>e</w:t>
      </w:r>
      <w:r>
        <w:rPr>
          <w:rFonts w:ascii="Arial" w:cs="Arial" w:eastAsia="Arial" w:hAnsi="Arial"/>
          <w:sz w:val="14"/>
          <w:szCs w:val="14"/>
          <w:b w:val="1"/>
          <w:bCs w:val="1"/>
          <w:color w:val="0000FF"/>
        </w:rPr>
        <w:t>r a</w:t>
      </w:r>
      <w:r>
        <w:rPr>
          <w:rFonts w:ascii="Arial" w:cs="Arial" w:eastAsia="Arial" w:hAnsi="Arial"/>
          <w:sz w:val="14"/>
          <w:szCs w:val="14"/>
          <w:b w:val="1"/>
          <w:bCs w:val="1"/>
          <w:u w:val="single" w:color="auto"/>
          <w:color w:val="0000FF"/>
        </w:rPr>
        <w:t>nnu</w:t>
      </w:r>
      <w:r>
        <w:rPr>
          <w:rFonts w:ascii="Arial" w:cs="Arial" w:eastAsia="Arial" w:hAnsi="Arial"/>
          <w:sz w:val="14"/>
          <w:szCs w:val="14"/>
          <w:b w:val="1"/>
          <w:bCs w:val="1"/>
          <w:color w:val="0000FF"/>
        </w:rPr>
        <w:t>m e</w:t>
      </w:r>
      <w:r>
        <w:rPr>
          <w:rFonts w:ascii="Arial" w:cs="Arial" w:eastAsia="Arial" w:hAnsi="Arial"/>
          <w:sz w:val="14"/>
          <w:szCs w:val="14"/>
          <w:b w:val="1"/>
          <w:bCs w:val="1"/>
          <w:u w:val="single" w:color="auto"/>
          <w:color w:val="0000FF"/>
        </w:rPr>
        <w:t>qua</w:t>
      </w:r>
      <w:r>
        <w:rPr>
          <w:rFonts w:ascii="Arial" w:cs="Arial" w:eastAsia="Arial" w:hAnsi="Arial"/>
          <w:sz w:val="14"/>
          <w:szCs w:val="14"/>
          <w:b w:val="1"/>
          <w:bCs w:val="1"/>
          <w:color w:val="0000FF"/>
        </w:rPr>
        <w:t>l to (</w:t>
      </w:r>
      <w:r>
        <w:rPr>
          <w:rFonts w:ascii="Arial" w:cs="Arial" w:eastAsia="Arial" w:hAnsi="Arial"/>
          <w:sz w:val="14"/>
          <w:szCs w:val="14"/>
          <w:b w:val="1"/>
          <w:bCs w:val="1"/>
          <w:u w:val="single" w:color="auto"/>
          <w:color w:val="0000FF"/>
        </w:rPr>
        <w:t>i</w:t>
      </w:r>
      <w:r>
        <w:rPr>
          <w:rFonts w:ascii="Arial" w:cs="Arial" w:eastAsia="Arial" w:hAnsi="Arial"/>
          <w:sz w:val="14"/>
          <w:szCs w:val="14"/>
          <w:b w:val="1"/>
          <w:bCs w:val="1"/>
          <w:color w:val="0000FF"/>
        </w:rPr>
        <w:t>) f</w:t>
      </w:r>
      <w:r>
        <w:rPr>
          <w:rFonts w:ascii="Arial" w:cs="Arial" w:eastAsia="Arial" w:hAnsi="Arial"/>
          <w:sz w:val="14"/>
          <w:szCs w:val="14"/>
          <w:b w:val="1"/>
          <w:bCs w:val="1"/>
          <w:u w:val="single" w:color="auto"/>
          <w:color w:val="0000FF"/>
        </w:rPr>
        <w:t>o</w:t>
      </w:r>
      <w:r>
        <w:rPr>
          <w:rFonts w:ascii="Arial" w:cs="Arial" w:eastAsia="Arial" w:hAnsi="Arial"/>
          <w:sz w:val="14"/>
          <w:szCs w:val="14"/>
          <w:b w:val="1"/>
          <w:bCs w:val="1"/>
          <w:color w:val="0000FF"/>
        </w:rPr>
        <w:t xml:space="preserve">r Term </w:t>
      </w:r>
      <w:r>
        <w:rPr>
          <w:rFonts w:ascii="Arial" w:cs="Arial" w:eastAsia="Arial" w:hAnsi="Arial"/>
          <w:sz w:val="14"/>
          <w:szCs w:val="14"/>
          <w:b w:val="1"/>
          <w:bCs w:val="1"/>
          <w:u w:val="single" w:color="auto"/>
          <w:color w:val="0000FF"/>
        </w:rPr>
        <w:t>SOF</w:t>
      </w:r>
      <w:r>
        <w:rPr>
          <w:rFonts w:ascii="Arial" w:cs="Arial" w:eastAsia="Arial" w:hAnsi="Arial"/>
          <w:sz w:val="14"/>
          <w:szCs w:val="14"/>
          <w:b w:val="1"/>
          <w:bCs w:val="1"/>
          <w:color w:val="0000FF"/>
        </w:rPr>
        <w:t xml:space="preserve">R </w:t>
      </w:r>
      <w:r>
        <w:rPr>
          <w:rFonts w:ascii="Arial" w:cs="Arial" w:eastAsia="Arial" w:hAnsi="Arial"/>
          <w:sz w:val="14"/>
          <w:szCs w:val="14"/>
          <w:b w:val="1"/>
          <w:bCs w:val="1"/>
          <w:u w:val="single" w:color="auto"/>
          <w:color w:val="0000FF"/>
        </w:rPr>
        <w:t>Advances</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1.75%</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an</w:t>
      </w:r>
      <w:r>
        <w:rPr>
          <w:rFonts w:ascii="Arial" w:cs="Arial" w:eastAsia="Arial" w:hAnsi="Arial"/>
          <w:sz w:val="14"/>
          <w:szCs w:val="14"/>
          <w:b w:val="1"/>
          <w:bCs w:val="1"/>
          <w:color w:val="0000FF"/>
        </w:rPr>
        <w:t xml:space="preserve">d </w:t>
      </w:r>
      <w:r>
        <w:rPr>
          <w:rFonts w:ascii="Arial" w:cs="Arial" w:eastAsia="Arial" w:hAnsi="Arial"/>
          <w:sz w:val="14"/>
          <w:szCs w:val="14"/>
          <w:b w:val="1"/>
          <w:bCs w:val="1"/>
          <w:u w:val="single" w:color="auto"/>
          <w:color w:val="0000FF"/>
        </w:rPr>
        <w:t>(ii</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fo</w:t>
      </w:r>
      <w:r>
        <w:rPr>
          <w:rFonts w:ascii="Arial" w:cs="Arial" w:eastAsia="Arial" w:hAnsi="Arial"/>
          <w:sz w:val="14"/>
          <w:szCs w:val="14"/>
          <w:b w:val="1"/>
          <w:bCs w:val="1"/>
          <w:color w:val="0000FF"/>
        </w:rPr>
        <w:t xml:space="preserve">r </w:t>
      </w:r>
      <w:r>
        <w:rPr>
          <w:rFonts w:ascii="Arial" w:cs="Arial" w:eastAsia="Arial" w:hAnsi="Arial"/>
          <w:sz w:val="14"/>
          <w:szCs w:val="14"/>
          <w:b w:val="1"/>
          <w:bCs w:val="1"/>
          <w:u w:val="single" w:color="auto"/>
          <w:color w:val="0000FF"/>
        </w:rPr>
        <w:t>Bas</w:t>
      </w:r>
      <w:r>
        <w:rPr>
          <w:rFonts w:ascii="Arial" w:cs="Arial" w:eastAsia="Arial" w:hAnsi="Arial"/>
          <w:sz w:val="14"/>
          <w:szCs w:val="14"/>
          <w:b w:val="1"/>
          <w:bCs w:val="1"/>
          <w:color w:val="0000FF"/>
        </w:rPr>
        <w:t xml:space="preserve">e </w:t>
      </w:r>
      <w:r>
        <w:rPr>
          <w:rFonts w:ascii="Arial" w:cs="Arial" w:eastAsia="Arial" w:hAnsi="Arial"/>
          <w:sz w:val="14"/>
          <w:szCs w:val="14"/>
          <w:b w:val="1"/>
          <w:bCs w:val="1"/>
          <w:u w:val="single" w:color="auto"/>
          <w:color w:val="0000FF"/>
        </w:rPr>
        <w:t>Rat</w:t>
      </w:r>
      <w:r>
        <w:rPr>
          <w:rFonts w:ascii="Arial" w:cs="Arial" w:eastAsia="Arial" w:hAnsi="Arial"/>
          <w:sz w:val="14"/>
          <w:szCs w:val="14"/>
          <w:b w:val="1"/>
          <w:bCs w:val="1"/>
          <w:color w:val="0000FF"/>
        </w:rPr>
        <w:t xml:space="preserve">e </w:t>
      </w:r>
      <w:r>
        <w:rPr>
          <w:rFonts w:ascii="Arial" w:cs="Arial" w:eastAsia="Arial" w:hAnsi="Arial"/>
          <w:sz w:val="14"/>
          <w:szCs w:val="14"/>
          <w:b w:val="1"/>
          <w:bCs w:val="1"/>
          <w:u w:val="single" w:color="auto"/>
          <w:color w:val="0000FF"/>
        </w:rPr>
        <w:t>Advances</w:t>
      </w:r>
      <w:r>
        <w:rPr>
          <w:rFonts w:ascii="Arial" w:cs="Arial" w:eastAsia="Arial" w:hAnsi="Arial"/>
          <w:sz w:val="14"/>
          <w:szCs w:val="14"/>
          <w:b w:val="1"/>
          <w:bCs w:val="1"/>
          <w:color w:val="0000FF"/>
        </w:rPr>
        <w:t xml:space="preserve">, </w:t>
      </w:r>
      <w:r>
        <w:rPr>
          <w:rFonts w:ascii="Arial" w:cs="Arial" w:eastAsia="Arial" w:hAnsi="Arial"/>
          <w:sz w:val="14"/>
          <w:szCs w:val="14"/>
          <w:b w:val="1"/>
          <w:bCs w:val="1"/>
          <w:u w:val="single" w:color="auto"/>
          <w:color w:val="0000FF"/>
        </w:rPr>
        <w:t>0.75%</w:t>
      </w:r>
      <w:r>
        <w:rPr>
          <w:rFonts w:ascii="Arial" w:cs="Arial" w:eastAsia="Arial" w:hAnsi="Arial"/>
          <w:sz w:val="14"/>
          <w:szCs w:val="14"/>
          <w:b w:val="1"/>
          <w:bCs w:val="1"/>
          <w:color w:val="0000FF"/>
        </w:rPr>
        <w:t>; and</w:t>
      </w:r>
    </w:p>
    <w:p>
      <w:pPr>
        <w:spacing w:after="0" w:line="182" w:lineRule="exact"/>
        <w:rPr>
          <w:rFonts w:ascii="Arial" w:cs="Arial" w:eastAsia="Arial" w:hAnsi="Arial"/>
          <w:sz w:val="14"/>
          <w:szCs w:val="14"/>
          <w:b w:val="1"/>
          <w:bCs w:val="1"/>
          <w:u w:val="single" w:color="auto"/>
          <w:color w:val="0000FF"/>
        </w:rPr>
      </w:pPr>
    </w:p>
    <w:p>
      <w:pPr>
        <w:ind w:left="920" w:hanging="413"/>
        <w:spacing w:after="0"/>
        <w:tabs>
          <w:tab w:leader="none" w:pos="920" w:val="left"/>
        </w:tabs>
        <w:numPr>
          <w:ilvl w:val="0"/>
          <w:numId w:val="19"/>
        </w:numPr>
        <w:rPr>
          <w:rFonts w:ascii="Arial" w:cs="Arial" w:eastAsia="Arial" w:hAnsi="Arial"/>
          <w:sz w:val="14"/>
          <w:szCs w:val="14"/>
          <w:b w:val="1"/>
          <w:bCs w:val="1"/>
          <w:u w:val="single" w:color="auto"/>
          <w:color w:val="0000FF"/>
        </w:rPr>
      </w:pPr>
      <w:r>
        <w:rPr>
          <w:rFonts w:ascii="Arial" w:cs="Arial" w:eastAsia="Arial" w:hAnsi="Arial"/>
          <w:sz w:val="14"/>
          <w:szCs w:val="14"/>
          <w:b w:val="1"/>
          <w:bCs w:val="1"/>
          <w:u w:val="single" w:color="auto"/>
          <w:color w:val="0000FF"/>
        </w:rPr>
        <w:t>i</w:t>
      </w:r>
      <w:r>
        <w:rPr>
          <w:rFonts w:ascii="Arial" w:cs="Arial" w:eastAsia="Arial" w:hAnsi="Arial"/>
          <w:sz w:val="14"/>
          <w:szCs w:val="14"/>
          <w:b w:val="1"/>
          <w:bCs w:val="1"/>
          <w:color w:val="0000FF"/>
        </w:rPr>
        <w:t>n r</w:t>
      </w:r>
      <w:r>
        <w:rPr>
          <w:rFonts w:ascii="Arial" w:cs="Arial" w:eastAsia="Arial" w:hAnsi="Arial"/>
          <w:sz w:val="14"/>
          <w:szCs w:val="14"/>
          <w:b w:val="1"/>
          <w:bCs w:val="1"/>
          <w:u w:val="single" w:color="auto"/>
          <w:color w:val="0000FF"/>
        </w:rPr>
        <w:t>espec</w:t>
      </w:r>
      <w:r>
        <w:rPr>
          <w:rFonts w:ascii="Arial" w:cs="Arial" w:eastAsia="Arial" w:hAnsi="Arial"/>
          <w:sz w:val="14"/>
          <w:szCs w:val="14"/>
          <w:b w:val="1"/>
          <w:bCs w:val="1"/>
          <w:color w:val="0000FF"/>
        </w:rPr>
        <w:t>t of R</w:t>
      </w:r>
      <w:r>
        <w:rPr>
          <w:rFonts w:ascii="Arial" w:cs="Arial" w:eastAsia="Arial" w:hAnsi="Arial"/>
          <w:sz w:val="14"/>
          <w:szCs w:val="14"/>
          <w:b w:val="1"/>
          <w:bCs w:val="1"/>
          <w:u w:val="single" w:color="auto"/>
          <w:color w:val="0000FF"/>
        </w:rPr>
        <w:t>evolvin</w:t>
      </w:r>
      <w:r>
        <w:rPr>
          <w:rFonts w:ascii="Arial" w:cs="Arial" w:eastAsia="Arial" w:hAnsi="Arial"/>
          <w:sz w:val="14"/>
          <w:szCs w:val="14"/>
          <w:b w:val="1"/>
          <w:bCs w:val="1"/>
          <w:color w:val="0000FF"/>
        </w:rPr>
        <w:t>g Advances</w:t>
      </w:r>
      <w:r>
        <w:rPr>
          <w:rFonts w:ascii="Arial" w:cs="Arial" w:eastAsia="Arial" w:hAnsi="Arial"/>
          <w:sz w:val="14"/>
          <w:szCs w:val="14"/>
          <w:color w:val="010101"/>
        </w:rPr>
        <w:t>, a percentage per annum determined by reference to the Performance Level in effect on such date as set forth below:</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63" w:name="page64"/>
    <w:bookmarkEnd w:id="63"/>
    <w:p>
      <w:pPr>
        <w:jc w:val="center"/>
        <w:ind w:right="-980"/>
        <w:spacing w:after="0"/>
        <w:rPr>
          <w:sz w:val="20"/>
          <w:szCs w:val="20"/>
          <w:color w:val="auto"/>
        </w:rPr>
      </w:pPr>
      <w:r>
        <w:rPr>
          <w:rFonts w:ascii="Arial" w:cs="Arial" w:eastAsia="Arial" w:hAnsi="Arial"/>
          <w:sz w:val="16"/>
          <w:szCs w:val="16"/>
          <w:color w:val="010101"/>
        </w:rPr>
        <w:t>Applicable Margin for Eurocurrency Rate Advances</w:t>
      </w:r>
    </w:p>
    <w:p>
      <w:pPr>
        <w:jc w:val="center"/>
        <w:ind w:right="-980"/>
        <w:spacing w:after="0" w:line="210" w:lineRule="auto"/>
        <w:rPr>
          <w:sz w:val="20"/>
          <w:szCs w:val="20"/>
          <w:color w:val="auto"/>
        </w:rPr>
      </w:pPr>
      <w:r>
        <w:rPr>
          <w:rFonts w:ascii="Arial" w:cs="Arial" w:eastAsia="Arial" w:hAnsi="Arial"/>
          <w:sz w:val="16"/>
          <w:szCs w:val="16"/>
          <w:color w:val="010101"/>
        </w:rPr>
        <w:t>and RFR</w:t>
      </w:r>
    </w:p>
    <w:p>
      <w:pPr>
        <w:jc w:val="center"/>
        <w:ind w:right="-980"/>
        <w:spacing w:after="0" w:line="201" w:lineRule="auto"/>
        <w:rPr>
          <w:sz w:val="20"/>
          <w:szCs w:val="20"/>
          <w:color w:val="auto"/>
        </w:rPr>
      </w:pPr>
      <w:r>
        <w:rPr>
          <w:rFonts w:ascii="Arial" w:cs="Arial" w:eastAsia="Arial" w:hAnsi="Arial"/>
          <w:sz w:val="16"/>
          <w:szCs w:val="16"/>
          <w:color w:val="010101"/>
        </w:rPr>
        <w:t>Advances</w:t>
      </w:r>
    </w:p>
    <w:p>
      <w:pPr>
        <w:spacing w:after="0" w:line="1" w:lineRule="exact"/>
        <w:rPr>
          <w:sz w:val="20"/>
          <w:szCs w:val="20"/>
          <w:color w:val="auto"/>
        </w:rPr>
      </w:pPr>
    </w:p>
    <w:tbl>
      <w:tblPr>
        <w:tblLayout w:type="fixed"/>
        <w:tblInd w:w="4220" w:type="dxa"/>
        <w:tblCellMar>
          <w:top w:w="0" w:type="dxa"/>
          <w:left w:w="0" w:type="dxa"/>
          <w:bottom w:w="0" w:type="dxa"/>
          <w:right w:w="0" w:type="dxa"/>
        </w:tblCellMar>
      </w:tblPr>
      <w:tr>
        <w:trPr>
          <w:trHeight w:val="216"/>
        </w:trPr>
        <w:tc>
          <w:tcPr>
            <w:tcW w:w="840" w:type="dxa"/>
            <w:vAlign w:val="bottom"/>
          </w:tcPr>
          <w:p>
            <w:pPr>
              <w:jc w:val="right"/>
              <w:ind w:right="259"/>
              <w:spacing w:after="0"/>
              <w:rPr>
                <w:sz w:val="20"/>
                <w:szCs w:val="20"/>
                <w:color w:val="auto"/>
              </w:rPr>
            </w:pPr>
            <w:r>
              <w:rPr>
                <w:rFonts w:ascii="Arial" w:cs="Arial" w:eastAsia="Arial" w:hAnsi="Arial"/>
                <w:sz w:val="16"/>
                <w:szCs w:val="16"/>
                <w:color w:val="010101"/>
                <w:w w:val="88"/>
              </w:rPr>
              <w:t>1.125%</w:t>
            </w:r>
          </w:p>
        </w:tc>
        <w:tc>
          <w:tcPr>
            <w:tcW w:w="960" w:type="dxa"/>
            <w:vAlign w:val="bottom"/>
            <w:tcBorders>
              <w:top w:val="single" w:sz="8" w:color="010101"/>
            </w:tcBorders>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color w:val="010101"/>
                <w:w w:val="93"/>
              </w:rPr>
              <w:t>Applicable Margin for Base</w:t>
            </w:r>
          </w:p>
        </w:tc>
      </w:tr>
      <w:tr>
        <w:trPr>
          <w:trHeight w:val="168"/>
        </w:trPr>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40" w:type="dxa"/>
            <w:vAlign w:val="bottom"/>
            <w:gridSpan w:val="2"/>
          </w:tcPr>
          <w:p>
            <w:pPr>
              <w:spacing w:after="0" w:line="168" w:lineRule="exact"/>
              <w:rPr>
                <w:sz w:val="20"/>
                <w:szCs w:val="20"/>
                <w:color w:val="auto"/>
              </w:rPr>
            </w:pPr>
            <w:r>
              <w:rPr>
                <w:rFonts w:ascii="Arial" w:cs="Arial" w:eastAsia="Arial" w:hAnsi="Arial"/>
                <w:sz w:val="16"/>
                <w:szCs w:val="16"/>
                <w:color w:val="010101"/>
              </w:rPr>
              <w:t>Rate Advances 0.125%</w:t>
            </w:r>
          </w:p>
        </w:tc>
      </w:tr>
      <w:tr>
        <w:trPr>
          <w:trHeight w:val="20"/>
        </w:trPr>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shd w:val="clear" w:color="auto" w:fill="01010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4" w:lineRule="exact"/>
        <w:rPr>
          <w:sz w:val="20"/>
          <w:szCs w:val="20"/>
          <w:color w:val="auto"/>
        </w:rPr>
      </w:pPr>
    </w:p>
    <w:p>
      <w:pPr>
        <w:ind w:left="540"/>
        <w:spacing w:after="0"/>
        <w:tabs>
          <w:tab w:leader="none" w:pos="1960" w:val="left"/>
        </w:tabs>
        <w:rPr>
          <w:sz w:val="20"/>
          <w:szCs w:val="20"/>
          <w:color w:val="auto"/>
        </w:rPr>
      </w:pPr>
      <w:r>
        <w:rPr>
          <w:rFonts w:ascii="Arial" w:cs="Arial" w:eastAsia="Arial" w:hAnsi="Arial"/>
          <w:sz w:val="16"/>
          <w:szCs w:val="16"/>
          <w:color w:val="010101"/>
        </w:rPr>
        <w:t>Performance Level</w:t>
      </w:r>
      <w:r>
        <w:rPr>
          <w:sz w:val="20"/>
          <w:szCs w:val="20"/>
          <w:color w:val="auto"/>
        </w:rPr>
        <w:tab/>
      </w:r>
      <w:r>
        <w:rPr>
          <w:rFonts w:ascii="Arial" w:cs="Arial" w:eastAsia="Arial" w:hAnsi="Arial"/>
          <w:sz w:val="14"/>
          <w:szCs w:val="14"/>
          <w:color w:val="010101"/>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-9525</wp:posOffset>
            </wp:positionV>
            <wp:extent cx="88646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0099"/>
          </w:cols>
          <w:pgMar w:left="360" w:top="1216" w:right="1440" w:bottom="1440" w:gutter="0" w:footer="0" w:header="0"/>
        </w:sectPr>
      </w:pPr>
    </w:p>
    <w:bookmarkStart w:id="64" w:name="page65"/>
    <w:bookmarkEnd w:id="64"/>
    <w:p>
      <w:pPr>
        <w:jc w:val="both"/>
        <w:ind w:left="580" w:right="8960" w:hanging="1"/>
        <w:spacing w:after="0" w:line="230" w:lineRule="auto"/>
        <w:tabs>
          <w:tab w:leader="none" w:pos="849" w:val="left"/>
        </w:tabs>
        <w:numPr>
          <w:ilvl w:val="0"/>
          <w:numId w:val="20"/>
        </w:numPr>
        <w:rPr>
          <w:rFonts w:ascii="Arial" w:cs="Arial" w:eastAsia="Arial" w:hAnsi="Arial"/>
          <w:sz w:val="16"/>
          <w:szCs w:val="16"/>
          <w:color w:val="010101"/>
        </w:rPr>
      </w:pPr>
      <w:r>
        <w:rPr>
          <w:rFonts w:ascii="Arial" w:cs="Arial" w:eastAsia="Arial" w:hAnsi="Arial"/>
          <w:sz w:val="16"/>
          <w:szCs w:val="16"/>
          <w:color w:val="010101"/>
        </w:rPr>
        <w:t>1.375% 0.375% III 1.625% 0.625% IV 1.875% 0.875%</w:t>
      </w:r>
    </w:p>
    <w:p>
      <w:pPr>
        <w:spacing w:after="0" w:line="205" w:lineRule="exact"/>
        <w:rPr>
          <w:sz w:val="20"/>
          <w:szCs w:val="20"/>
          <w:color w:val="auto"/>
        </w:rPr>
      </w:pPr>
    </w:p>
    <w:p>
      <w:pPr>
        <w:jc w:val="both"/>
        <w:ind w:left="20"/>
        <w:spacing w:after="0" w:line="231" w:lineRule="auto"/>
        <w:rPr>
          <w:sz w:val="20"/>
          <w:szCs w:val="20"/>
          <w:color w:val="auto"/>
        </w:rPr>
      </w:pPr>
      <w:r>
        <w:rPr>
          <w:rFonts w:ascii="Arial" w:cs="Arial" w:eastAsia="Arial" w:hAnsi="Arial"/>
          <w:sz w:val="15"/>
          <w:szCs w:val="15"/>
          <w:color w:val="010101"/>
        </w:rPr>
        <w:t xml:space="preserve">The Applicable Margin </w:t>
      </w:r>
      <w:r>
        <w:rPr>
          <w:rFonts w:ascii="Arial" w:cs="Arial" w:eastAsia="Arial" w:hAnsi="Arial"/>
          <w:sz w:val="15"/>
          <w:szCs w:val="15"/>
          <w:b w:val="1"/>
          <w:bCs w:val="1"/>
          <w:u w:val="single" w:color="auto"/>
          <w:color w:val="0000FF"/>
        </w:rPr>
        <w:t>fo</w:t>
      </w:r>
      <w:r>
        <w:rPr>
          <w:rFonts w:ascii="Arial" w:cs="Arial" w:eastAsia="Arial" w:hAnsi="Arial"/>
          <w:sz w:val="15"/>
          <w:szCs w:val="15"/>
          <w:b w:val="1"/>
          <w:bCs w:val="1"/>
          <w:color w:val="0000FF"/>
        </w:rPr>
        <w:t>r R</w:t>
      </w:r>
      <w:r>
        <w:rPr>
          <w:rFonts w:ascii="Arial" w:cs="Arial" w:eastAsia="Arial" w:hAnsi="Arial"/>
          <w:sz w:val="15"/>
          <w:szCs w:val="15"/>
          <w:b w:val="1"/>
          <w:bCs w:val="1"/>
          <w:u w:val="single" w:color="auto"/>
          <w:color w:val="0000FF"/>
        </w:rPr>
        <w:t>evolvin</w:t>
      </w:r>
      <w:r>
        <w:rPr>
          <w:rFonts w:ascii="Arial" w:cs="Arial" w:eastAsia="Arial" w:hAnsi="Arial"/>
          <w:sz w:val="15"/>
          <w:szCs w:val="15"/>
          <w:b w:val="1"/>
          <w:bCs w:val="1"/>
          <w:color w:val="0000FF"/>
        </w:rPr>
        <w:t>g Advances</w:t>
      </w:r>
      <w:r>
        <w:rPr>
          <w:rFonts w:ascii="Arial" w:cs="Arial" w:eastAsia="Arial" w:hAnsi="Arial"/>
          <w:sz w:val="15"/>
          <w:szCs w:val="15"/>
          <w:color w:val="010101"/>
        </w:rPr>
        <w:t xml:space="preserve"> shall be determined and adjusted quarterly on the date that is five Business Days after the day on which the Company provides a compliance certificate pursuant to Section 5.01(i) for the most recently ended fiscal quarter of the Company (each such date, a “</w:t>
      </w:r>
      <w:r>
        <w:rPr>
          <w:rFonts w:ascii="Arial" w:cs="Arial" w:eastAsia="Arial" w:hAnsi="Arial"/>
          <w:sz w:val="15"/>
          <w:szCs w:val="15"/>
          <w:u w:val="single" w:color="auto"/>
          <w:color w:val="010101"/>
        </w:rPr>
        <w:t>Calculation Date</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(a) </w:t>
      </w:r>
      <w:r>
        <w:rPr>
          <w:rFonts w:ascii="Arial" w:cs="Arial" w:eastAsia="Arial" w:hAnsi="Arial"/>
          <w:sz w:val="15"/>
          <w:szCs w:val="15"/>
          <w:color w:val="FF0000"/>
          <w:strike w:val="1"/>
        </w:rPr>
        <w:t>the</w:t>
      </w:r>
      <w:r>
        <w:rPr>
          <w:rFonts w:ascii="Arial" w:cs="Arial" w:eastAsia="Arial" w:hAnsi="Arial"/>
          <w:sz w:val="15"/>
          <w:szCs w:val="15"/>
          <w:b w:val="1"/>
          <w:bCs w:val="1"/>
          <w:u w:val="single" w:color="auto"/>
          <w:color w:val="0000FF"/>
        </w:rPr>
        <w:t>such</w:t>
      </w:r>
      <w:r>
        <w:rPr>
          <w:rFonts w:ascii="Arial" w:cs="Arial" w:eastAsia="Arial" w:hAnsi="Arial"/>
          <w:sz w:val="15"/>
          <w:szCs w:val="15"/>
          <w:color w:val="010101"/>
        </w:rPr>
        <w:t xml:space="preserve"> Applicable Margin shall be based on Performance Level II until the first Calculation Date occurring after the Effective Date and, thereafter the Performance Level shall be determined by reference to the Total Net Leverage Ratio as of the last day of the most recently ended fiscal quarter of the Company preceding the applicable Calculation Date, and (b) if the Company fails to provide a compliance certificate when due as required by Section 5.01(i) for the most recently ended fiscal quarter of the Company preceding the applicable Calculation Date, </w:t>
      </w:r>
      <w:r>
        <w:rPr>
          <w:rFonts w:ascii="Arial" w:cs="Arial" w:eastAsia="Arial" w:hAnsi="Arial"/>
          <w:sz w:val="15"/>
          <w:szCs w:val="15"/>
          <w:color w:val="FF0000"/>
          <w:strike w:val="1"/>
        </w:rPr>
        <w:t>the</w:t>
      </w:r>
      <w:r>
        <w:rPr>
          <w:rFonts w:ascii="Arial" w:cs="Arial" w:eastAsia="Arial" w:hAnsi="Arial"/>
          <w:sz w:val="15"/>
          <w:szCs w:val="15"/>
          <w:b w:val="1"/>
          <w:bCs w:val="1"/>
          <w:u w:val="single" w:color="auto"/>
          <w:color w:val="0000FF"/>
        </w:rPr>
        <w:t>such</w:t>
      </w:r>
      <w:r>
        <w:rPr>
          <w:rFonts w:ascii="Arial" w:cs="Arial" w:eastAsia="Arial" w:hAnsi="Arial"/>
          <w:sz w:val="15"/>
          <w:szCs w:val="15"/>
          <w:color w:val="010101"/>
        </w:rPr>
        <w:t xml:space="preserve"> Applicable Margin from the date on which such compliance certificate was required to have been delivered shall be based on Performance Level IV until such time as such compliance certificate is delivered, at which time the Performance Level shall be determined by reference to the Total Net Leverage Ratio as of the last day of the most recently ended fiscal quarter of the Company preceding such Calculation Date. The applicable Performance Level shall be effective from one Calculation Date until the next Calculation Date. Any adjustment in the Performance Level shall be applicable to all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Advances then existing or subsequently made or issued.</w:t>
      </w:r>
    </w:p>
    <w:p>
      <w:pPr>
        <w:spacing w:after="0" w:line="142" w:lineRule="exact"/>
        <w:rPr>
          <w:sz w:val="20"/>
          <w:szCs w:val="20"/>
          <w:color w:val="auto"/>
        </w:rPr>
      </w:pPr>
    </w:p>
    <w:p>
      <w:pPr>
        <w:jc w:val="both"/>
        <w:ind w:left="20"/>
        <w:spacing w:after="0" w:line="214" w:lineRule="auto"/>
        <w:rPr>
          <w:sz w:val="20"/>
          <w:szCs w:val="20"/>
          <w:color w:val="auto"/>
        </w:rPr>
      </w:pPr>
      <w:r>
        <w:rPr>
          <w:rFonts w:ascii="Arial" w:cs="Arial" w:eastAsia="Arial" w:hAnsi="Arial"/>
          <w:sz w:val="16"/>
          <w:szCs w:val="16"/>
          <w:color w:val="010101"/>
        </w:rPr>
        <w:t xml:space="preserve">Notwithstanding the foregoing, in the event that any financial statement or compliance certificate delivered pursuant to Section 5.01(i) is shown to be inaccurate (regardless of whether (i) this Agreement is in effect, (ii) any Commitments are in effect, or (iii) any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 is outstanding when such inaccuracy is discovered or such financial statement or compliance certificate was delivered), and such inaccuracy, if corrected, would have led to the application of a higher Applicable Margin </w:t>
      </w:r>
      <w:r>
        <w:rPr>
          <w:rFonts w:ascii="Arial" w:cs="Arial" w:eastAsia="Arial" w:hAnsi="Arial"/>
          <w:sz w:val="16"/>
          <w:szCs w:val="16"/>
          <w:b w:val="1"/>
          <w:bCs w:val="1"/>
          <w:u w:val="single" w:color="auto"/>
          <w:color w:val="0000FF"/>
        </w:rPr>
        <w:t>fo</w:t>
      </w:r>
      <w:r>
        <w:rPr>
          <w:rFonts w:ascii="Arial" w:cs="Arial" w:eastAsia="Arial" w:hAnsi="Arial"/>
          <w:sz w:val="16"/>
          <w:szCs w:val="16"/>
          <w:b w:val="1"/>
          <w:bCs w:val="1"/>
          <w:color w:val="0000FF"/>
        </w:rPr>
        <w:t>r R</w:t>
      </w:r>
      <w:r>
        <w:rPr>
          <w:rFonts w:ascii="Arial" w:cs="Arial" w:eastAsia="Arial" w:hAnsi="Arial"/>
          <w:sz w:val="16"/>
          <w:szCs w:val="16"/>
          <w:b w:val="1"/>
          <w:bCs w:val="1"/>
          <w:u w:val="single" w:color="auto"/>
          <w:color w:val="0000FF"/>
        </w:rPr>
        <w:t>evolvin</w:t>
      </w:r>
      <w:r>
        <w:rPr>
          <w:rFonts w:ascii="Arial" w:cs="Arial" w:eastAsia="Arial" w:hAnsi="Arial"/>
          <w:sz w:val="16"/>
          <w:szCs w:val="16"/>
          <w:b w:val="1"/>
          <w:bCs w:val="1"/>
          <w:color w:val="0000FF"/>
        </w:rPr>
        <w:t>g Advances</w:t>
      </w:r>
      <w:r>
        <w:rPr>
          <w:rFonts w:ascii="Arial" w:cs="Arial" w:eastAsia="Arial" w:hAnsi="Arial"/>
          <w:sz w:val="16"/>
          <w:szCs w:val="16"/>
          <w:color w:val="010101"/>
        </w:rPr>
        <w:t xml:space="preserve"> for any period (an “</w:t>
      </w:r>
      <w:r>
        <w:rPr>
          <w:rFonts w:ascii="Arial" w:cs="Arial" w:eastAsia="Arial" w:hAnsi="Arial"/>
          <w:sz w:val="16"/>
          <w:szCs w:val="16"/>
          <w:u w:val="single" w:color="auto"/>
          <w:color w:val="010101"/>
        </w:rPr>
        <w:t>Applicable Period</w:t>
      </w:r>
      <w:r>
        <w:rPr>
          <w:rFonts w:ascii="Arial" w:cs="Arial" w:eastAsia="Arial" w:hAnsi="Arial"/>
          <w:sz w:val="16"/>
          <w:szCs w:val="16"/>
          <w:color w:val="010101"/>
        </w:rPr>
        <w:t xml:space="preserve">”) than the Applicable Margin </w:t>
      </w:r>
      <w:r>
        <w:rPr>
          <w:rFonts w:ascii="Arial" w:cs="Arial" w:eastAsia="Arial" w:hAnsi="Arial"/>
          <w:sz w:val="16"/>
          <w:szCs w:val="16"/>
          <w:b w:val="1"/>
          <w:bCs w:val="1"/>
          <w:u w:val="single" w:color="auto"/>
          <w:color w:val="0000FF"/>
        </w:rPr>
        <w:t>fo</w:t>
      </w:r>
      <w:r>
        <w:rPr>
          <w:rFonts w:ascii="Arial" w:cs="Arial" w:eastAsia="Arial" w:hAnsi="Arial"/>
          <w:sz w:val="16"/>
          <w:szCs w:val="16"/>
          <w:b w:val="1"/>
          <w:bCs w:val="1"/>
          <w:color w:val="0000FF"/>
        </w:rPr>
        <w:t>r R</w:t>
      </w:r>
      <w:r>
        <w:rPr>
          <w:rFonts w:ascii="Arial" w:cs="Arial" w:eastAsia="Arial" w:hAnsi="Arial"/>
          <w:sz w:val="16"/>
          <w:szCs w:val="16"/>
          <w:b w:val="1"/>
          <w:bCs w:val="1"/>
          <w:u w:val="single" w:color="auto"/>
          <w:color w:val="0000FF"/>
        </w:rPr>
        <w:t>evolvin</w:t>
      </w:r>
      <w:r>
        <w:rPr>
          <w:rFonts w:ascii="Arial" w:cs="Arial" w:eastAsia="Arial" w:hAnsi="Arial"/>
          <w:sz w:val="16"/>
          <w:szCs w:val="16"/>
          <w:b w:val="1"/>
          <w:bCs w:val="1"/>
          <w:color w:val="0000FF"/>
        </w:rPr>
        <w:t>g Advances</w:t>
      </w:r>
      <w:r>
        <w:rPr>
          <w:rFonts w:ascii="Arial" w:cs="Arial" w:eastAsia="Arial" w:hAnsi="Arial"/>
          <w:sz w:val="16"/>
          <w:szCs w:val="16"/>
          <w:color w:val="010101"/>
        </w:rPr>
        <w:t xml:space="preserve"> applied for such Applicable Period, then</w:t>
      </w:r>
    </w:p>
    <w:p>
      <w:pPr>
        <w:spacing w:after="0" w:line="2" w:lineRule="exact"/>
        <w:rPr>
          <w:sz w:val="20"/>
          <w:szCs w:val="20"/>
          <w:color w:val="auto"/>
        </w:rPr>
      </w:pPr>
    </w:p>
    <w:p>
      <w:pPr>
        <w:jc w:val="both"/>
        <w:ind w:left="20" w:right="20" w:firstLine="2"/>
        <w:spacing w:after="0" w:line="216" w:lineRule="auto"/>
        <w:tabs>
          <w:tab w:leader="none" w:pos="425" w:val="left"/>
        </w:tabs>
        <w:numPr>
          <w:ilvl w:val="0"/>
          <w:numId w:val="21"/>
        </w:numPr>
        <w:rPr>
          <w:rFonts w:ascii="Arial" w:cs="Arial" w:eastAsia="Arial" w:hAnsi="Arial"/>
          <w:sz w:val="16"/>
          <w:szCs w:val="16"/>
          <w:color w:val="010101"/>
        </w:rPr>
      </w:pPr>
      <w:r>
        <w:rPr>
          <w:rFonts w:ascii="Arial" w:cs="Arial" w:eastAsia="Arial" w:hAnsi="Arial"/>
          <w:sz w:val="16"/>
          <w:szCs w:val="16"/>
          <w:color w:val="010101"/>
        </w:rPr>
        <w:t xml:space="preserve">the Company shall promptly deliver to the Administrative Agent a corrected compliance certificate for such Applicable Period, (B) </w:t>
      </w:r>
      <w:r>
        <w:rPr>
          <w:rFonts w:ascii="Arial" w:cs="Arial" w:eastAsia="Arial" w:hAnsi="Arial"/>
          <w:sz w:val="16"/>
          <w:szCs w:val="16"/>
          <w:color w:val="FF0000"/>
          <w:strike w:val="1"/>
        </w:rPr>
        <w:t>the</w:t>
      </w:r>
      <w:r>
        <w:rPr>
          <w:rFonts w:ascii="Arial" w:cs="Arial" w:eastAsia="Arial" w:hAnsi="Arial"/>
          <w:sz w:val="16"/>
          <w:szCs w:val="16"/>
          <w:b w:val="1"/>
          <w:bCs w:val="1"/>
          <w:u w:val="single" w:color="auto"/>
          <w:color w:val="0000FF"/>
        </w:rPr>
        <w:t>such</w:t>
      </w:r>
      <w:r>
        <w:rPr>
          <w:rFonts w:ascii="Arial" w:cs="Arial" w:eastAsia="Arial" w:hAnsi="Arial"/>
          <w:sz w:val="16"/>
          <w:szCs w:val="16"/>
          <w:color w:val="010101"/>
        </w:rPr>
        <w:t xml:space="preserve"> Applicable Margin for such Applicable Period shall be determined as if the Total Net Leverage Ratio in the corrected compliance certificate were applicable for such Applicable Period, and (C) the applicable Borrower shall promptly and retroactively be obligated to pay to the Administrative Agent the accrued additional interest owing as a result of such increased Applicable Margin for such Applicable Period, which payment shall be promptly applied by the Administrative Agent in accordance with 2.13. Nothing in this paragraph shall limit the rights of the Administrative Agent and Lenders with respect to Sections 2.07 and 6.01 nor any of their other rights under this Agreement or any other Loan Document. The Borrowers’ obligations under this paragraph shall survive the termination of the Commitments and the repayment of all other Borrower Obligations for one year after the date of such termination and repayment.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780" w:right="499" w:bottom="1440" w:gutter="0" w:footer="0" w:header="0"/>
        </w:sectPr>
      </w:pPr>
    </w:p>
    <w:bookmarkStart w:id="65" w:name="page66"/>
    <w:bookmarkEnd w:id="65"/>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Applicable Percentage</w:t>
      </w:r>
      <w:r>
        <w:rPr>
          <w:rFonts w:ascii="Arial" w:cs="Arial" w:eastAsia="Arial" w:hAnsi="Arial"/>
          <w:sz w:val="15"/>
          <w:szCs w:val="15"/>
          <w:color w:val="010101"/>
        </w:rPr>
        <w:t>” means, as of any date, a percentage per annum determined by reference to the Performance Level in effect on such date as set forth</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010101"/>
        </w:rPr>
        <w:t>below:</w:t>
      </w:r>
    </w:p>
    <w:p>
      <w:pPr>
        <w:spacing w:after="0" w:line="196"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2160" w:type="dxa"/>
            <w:vAlign w:val="bottom"/>
            <w:tcBorders>
              <w:bottom w:val="single" w:sz="8" w:color="010101"/>
            </w:tcBorders>
          </w:tcPr>
          <w:p>
            <w:pPr>
              <w:ind w:left="60"/>
              <w:spacing w:after="0"/>
              <w:rPr>
                <w:sz w:val="20"/>
                <w:szCs w:val="20"/>
                <w:color w:val="auto"/>
              </w:rPr>
            </w:pPr>
            <w:r>
              <w:rPr>
                <w:rFonts w:ascii="Arial" w:cs="Arial" w:eastAsia="Arial" w:hAnsi="Arial"/>
                <w:sz w:val="16"/>
                <w:szCs w:val="16"/>
                <w:color w:val="010101"/>
              </w:rPr>
              <w:t>Performance Level</w:t>
            </w:r>
          </w:p>
        </w:tc>
        <w:tc>
          <w:tcPr>
            <w:tcW w:w="2440" w:type="dxa"/>
            <w:vAlign w:val="bottom"/>
          </w:tcPr>
          <w:p>
            <w:pPr>
              <w:spacing w:after="0"/>
              <w:rPr>
                <w:sz w:val="18"/>
                <w:szCs w:val="18"/>
                <w:color w:val="auto"/>
              </w:rPr>
            </w:pPr>
          </w:p>
        </w:tc>
        <w:tc>
          <w:tcPr>
            <w:tcW w:w="2340" w:type="dxa"/>
            <w:vAlign w:val="bottom"/>
            <w:tcBorders>
              <w:bottom w:val="single" w:sz="8" w:color="010101"/>
            </w:tcBorders>
          </w:tcPr>
          <w:p>
            <w:pPr>
              <w:jc w:val="right"/>
              <w:ind w:right="739"/>
              <w:spacing w:after="0"/>
              <w:rPr>
                <w:sz w:val="20"/>
                <w:szCs w:val="20"/>
                <w:color w:val="auto"/>
              </w:rPr>
            </w:pPr>
            <w:r>
              <w:rPr>
                <w:rFonts w:ascii="Arial" w:cs="Arial" w:eastAsia="Arial" w:hAnsi="Arial"/>
                <w:sz w:val="16"/>
                <w:szCs w:val="16"/>
                <w:color w:val="010101"/>
                <w:w w:val="93"/>
              </w:rPr>
              <w:t>Applicable Percentage</w:t>
            </w:r>
          </w:p>
        </w:tc>
      </w:tr>
      <w:tr>
        <w:trPr>
          <w:trHeight w:val="187"/>
        </w:trPr>
        <w:tc>
          <w:tcPr>
            <w:tcW w:w="2160" w:type="dxa"/>
            <w:vAlign w:val="bottom"/>
          </w:tcPr>
          <w:p>
            <w:pPr>
              <w:ind w:left="60"/>
              <w:spacing w:after="0"/>
              <w:rPr>
                <w:sz w:val="20"/>
                <w:szCs w:val="20"/>
                <w:color w:val="auto"/>
              </w:rPr>
            </w:pPr>
            <w:r>
              <w:rPr>
                <w:rFonts w:ascii="Arial" w:cs="Arial" w:eastAsia="Arial" w:hAnsi="Arial"/>
                <w:sz w:val="16"/>
                <w:szCs w:val="16"/>
                <w:color w:val="010101"/>
              </w:rPr>
              <w:t>I</w:t>
            </w:r>
          </w:p>
        </w:tc>
        <w:tc>
          <w:tcPr>
            <w:tcW w:w="2440" w:type="dxa"/>
            <w:vAlign w:val="bottom"/>
          </w:tcPr>
          <w:p>
            <w:pPr>
              <w:spacing w:after="0"/>
              <w:rPr>
                <w:sz w:val="16"/>
                <w:szCs w:val="16"/>
                <w:color w:val="auto"/>
              </w:rPr>
            </w:pPr>
          </w:p>
        </w:tc>
        <w:tc>
          <w:tcPr>
            <w:tcW w:w="2340" w:type="dxa"/>
            <w:vAlign w:val="bottom"/>
          </w:tcPr>
          <w:p>
            <w:pPr>
              <w:jc w:val="right"/>
              <w:ind w:right="1119"/>
              <w:spacing w:after="0"/>
              <w:rPr>
                <w:sz w:val="20"/>
                <w:szCs w:val="20"/>
                <w:color w:val="auto"/>
              </w:rPr>
            </w:pPr>
            <w:r>
              <w:rPr>
                <w:rFonts w:ascii="Arial" w:cs="Arial" w:eastAsia="Arial" w:hAnsi="Arial"/>
                <w:sz w:val="16"/>
                <w:szCs w:val="16"/>
                <w:color w:val="010101"/>
              </w:rPr>
              <w:t>0.150%</w:t>
            </w:r>
          </w:p>
        </w:tc>
      </w:tr>
      <w:tr>
        <w:trPr>
          <w:trHeight w:val="202"/>
        </w:trPr>
        <w:tc>
          <w:tcPr>
            <w:tcW w:w="2160" w:type="dxa"/>
            <w:vAlign w:val="bottom"/>
          </w:tcPr>
          <w:p>
            <w:pPr>
              <w:ind w:left="60"/>
              <w:spacing w:after="0"/>
              <w:rPr>
                <w:sz w:val="20"/>
                <w:szCs w:val="20"/>
                <w:color w:val="auto"/>
              </w:rPr>
            </w:pPr>
            <w:r>
              <w:rPr>
                <w:rFonts w:ascii="Arial" w:cs="Arial" w:eastAsia="Arial" w:hAnsi="Arial"/>
                <w:sz w:val="16"/>
                <w:szCs w:val="16"/>
                <w:color w:val="010101"/>
              </w:rPr>
              <w:t>II</w:t>
            </w:r>
          </w:p>
        </w:tc>
        <w:tc>
          <w:tcPr>
            <w:tcW w:w="4780" w:type="dxa"/>
            <w:vAlign w:val="bottom"/>
            <w:gridSpan w:val="2"/>
          </w:tcPr>
          <w:p>
            <w:pPr>
              <w:jc w:val="right"/>
              <w:ind w:right="1119"/>
              <w:spacing w:after="0"/>
              <w:rPr>
                <w:sz w:val="20"/>
                <w:szCs w:val="20"/>
                <w:color w:val="auto"/>
              </w:rPr>
            </w:pPr>
            <w:r>
              <w:rPr>
                <w:rFonts w:ascii="Arial" w:cs="Arial" w:eastAsia="Arial" w:hAnsi="Arial"/>
                <w:sz w:val="16"/>
                <w:szCs w:val="16"/>
                <w:color w:val="010101"/>
              </w:rPr>
              <w:t>0.200%</w:t>
            </w:r>
          </w:p>
        </w:tc>
      </w:tr>
      <w:tr>
        <w:trPr>
          <w:trHeight w:val="202"/>
        </w:trPr>
        <w:tc>
          <w:tcPr>
            <w:tcW w:w="2160" w:type="dxa"/>
            <w:vAlign w:val="bottom"/>
          </w:tcPr>
          <w:p>
            <w:pPr>
              <w:ind w:left="60"/>
              <w:spacing w:after="0"/>
              <w:rPr>
                <w:sz w:val="20"/>
                <w:szCs w:val="20"/>
                <w:color w:val="auto"/>
              </w:rPr>
            </w:pPr>
            <w:r>
              <w:rPr>
                <w:rFonts w:ascii="Arial" w:cs="Arial" w:eastAsia="Arial" w:hAnsi="Arial"/>
                <w:sz w:val="16"/>
                <w:szCs w:val="16"/>
                <w:color w:val="010101"/>
              </w:rPr>
              <w:t>III</w:t>
            </w:r>
          </w:p>
        </w:tc>
        <w:tc>
          <w:tcPr>
            <w:tcW w:w="4780" w:type="dxa"/>
            <w:vAlign w:val="bottom"/>
            <w:gridSpan w:val="2"/>
          </w:tcPr>
          <w:p>
            <w:pPr>
              <w:jc w:val="right"/>
              <w:ind w:right="1119"/>
              <w:spacing w:after="0"/>
              <w:rPr>
                <w:sz w:val="20"/>
                <w:szCs w:val="20"/>
                <w:color w:val="auto"/>
              </w:rPr>
            </w:pPr>
            <w:r>
              <w:rPr>
                <w:rFonts w:ascii="Arial" w:cs="Arial" w:eastAsia="Arial" w:hAnsi="Arial"/>
                <w:sz w:val="16"/>
                <w:szCs w:val="16"/>
                <w:color w:val="010101"/>
              </w:rPr>
              <w:t>0.250%</w:t>
            </w:r>
          </w:p>
        </w:tc>
      </w:tr>
      <w:tr>
        <w:trPr>
          <w:trHeight w:val="206"/>
        </w:trPr>
        <w:tc>
          <w:tcPr>
            <w:tcW w:w="2160" w:type="dxa"/>
            <w:vAlign w:val="bottom"/>
          </w:tcPr>
          <w:p>
            <w:pPr>
              <w:ind w:left="60"/>
              <w:spacing w:after="0"/>
              <w:rPr>
                <w:sz w:val="20"/>
                <w:szCs w:val="20"/>
                <w:color w:val="auto"/>
              </w:rPr>
            </w:pPr>
            <w:r>
              <w:rPr>
                <w:rFonts w:ascii="Arial" w:cs="Arial" w:eastAsia="Arial" w:hAnsi="Arial"/>
                <w:sz w:val="16"/>
                <w:szCs w:val="16"/>
                <w:color w:val="010101"/>
              </w:rPr>
              <w:t>IV</w:t>
            </w:r>
          </w:p>
        </w:tc>
        <w:tc>
          <w:tcPr>
            <w:tcW w:w="4780" w:type="dxa"/>
            <w:vAlign w:val="bottom"/>
            <w:gridSpan w:val="2"/>
          </w:tcPr>
          <w:p>
            <w:pPr>
              <w:jc w:val="right"/>
              <w:ind w:right="1119"/>
              <w:spacing w:after="0"/>
              <w:rPr>
                <w:sz w:val="20"/>
                <w:szCs w:val="20"/>
                <w:color w:val="auto"/>
              </w:rPr>
            </w:pPr>
            <w:r>
              <w:rPr>
                <w:rFonts w:ascii="Arial" w:cs="Arial" w:eastAsia="Arial" w:hAnsi="Arial"/>
                <w:sz w:val="16"/>
                <w:szCs w:val="16"/>
                <w:color w:val="010101"/>
              </w:rPr>
              <w:t>0.300%</w:t>
            </w:r>
          </w:p>
        </w:tc>
      </w:tr>
    </w:tbl>
    <w:p>
      <w:pPr>
        <w:spacing w:after="0" w:line="218" w:lineRule="exact"/>
        <w:rPr>
          <w:sz w:val="20"/>
          <w:szCs w:val="20"/>
          <w:color w:val="auto"/>
        </w:rPr>
      </w:pPr>
    </w:p>
    <w:p>
      <w:pPr>
        <w:jc w:val="both"/>
        <w:ind w:left="20" w:firstLine="485"/>
        <w:spacing w:after="0" w:line="248"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Applicable Time</w:t>
      </w:r>
      <w:r>
        <w:rPr>
          <w:rFonts w:ascii="Arial" w:cs="Arial" w:eastAsia="Arial" w:hAnsi="Arial"/>
          <w:sz w:val="15"/>
          <w:szCs w:val="15"/>
          <w:color w:val="010101"/>
        </w:rPr>
        <w:t>” means, with respect to any Advance, any Letter of Credit and payments in any Foreign Currency, the local time in the place of settlement for such Foreign Currency as may be determined by the Administrative Agent or the applicable Issuing Lender (with notice to the Administrative Agent), as the case may be, to be necessary for timely settlement on the relevant date in accordance with normal banking procedures in the place of payment.</w:t>
      </w:r>
    </w:p>
    <w:p>
      <w:pPr>
        <w:spacing w:after="0" w:line="142"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Approved Fund</w:t>
      </w:r>
      <w:r>
        <w:rPr>
          <w:rFonts w:ascii="Arial" w:cs="Arial" w:eastAsia="Arial" w:hAnsi="Arial"/>
          <w:sz w:val="16"/>
          <w:szCs w:val="16"/>
          <w:color w:val="010101"/>
        </w:rPr>
        <w:t>” means any Fund that is administered or managed by (a) a Lender, (b) an Affiliate of a Lender or (c) an entity or an Affiliate of an entity that administers or manages a Lender.</w:t>
      </w:r>
    </w:p>
    <w:p>
      <w:pPr>
        <w:spacing w:after="0" w:line="149" w:lineRule="exact"/>
        <w:rPr>
          <w:sz w:val="20"/>
          <w:szCs w:val="20"/>
          <w:color w:val="auto"/>
        </w:rPr>
      </w:pPr>
    </w:p>
    <w:p>
      <w:pPr>
        <w:jc w:val="both"/>
        <w:ind w:lef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Assignment and Assumption</w:t>
      </w:r>
      <w:r>
        <w:rPr>
          <w:rFonts w:ascii="Arial" w:cs="Arial" w:eastAsia="Arial" w:hAnsi="Arial"/>
          <w:sz w:val="16"/>
          <w:szCs w:val="16"/>
          <w:color w:val="010101"/>
        </w:rPr>
        <w:t>” means an assignment and assumption entered into by a Lender and an Eligible Assignee (with the consent of any party whose consent is required by Section 8.07 (b)(iii)), and accepted by the Administrative Agent, in substantially the form of Exhibit C or any other form approved by the Administrative Agent.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Assuming Lender</w:t>
      </w:r>
      <w:r>
        <w:rPr>
          <w:rFonts w:ascii="Arial" w:cs="Arial" w:eastAsia="Arial" w:hAnsi="Arial"/>
          <w:sz w:val="15"/>
          <w:szCs w:val="15"/>
          <w:color w:val="010101"/>
        </w:rPr>
        <w:t>” means an Eligible Assignee not previously a Lender that becomes a Lender hereunder pursuant to either Section 2.05(b) or Section 2.17.</w:t>
      </w:r>
    </w:p>
    <w:p>
      <w:pPr>
        <w:spacing w:after="0" w:line="181"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Assumption Agreement</w:t>
      </w:r>
      <w:r>
        <w:rPr>
          <w:rFonts w:ascii="Arial" w:cs="Arial" w:eastAsia="Arial" w:hAnsi="Arial"/>
          <w:sz w:val="16"/>
          <w:szCs w:val="16"/>
          <w:color w:val="010101"/>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Australian Dollar</w:t>
      </w:r>
      <w:r>
        <w:rPr>
          <w:rFonts w:ascii="Arial" w:cs="Arial" w:eastAsia="Arial" w:hAnsi="Arial"/>
          <w:sz w:val="15"/>
          <w:szCs w:val="15"/>
          <w:color w:val="010101"/>
        </w:rPr>
        <w:t>” means Australian dollar, the lawful currency of Australia. “</w:t>
      </w:r>
      <w:r>
        <w:rPr>
          <w:rFonts w:ascii="Arial" w:cs="Arial" w:eastAsia="Arial" w:hAnsi="Arial"/>
          <w:sz w:val="15"/>
          <w:szCs w:val="15"/>
          <w:u w:val="single" w:color="auto"/>
          <w:color w:val="010101"/>
        </w:rPr>
        <w:t>Available Tenor</w:t>
      </w:r>
      <w:r>
        <w:rPr>
          <w:rFonts w:ascii="Arial" w:cs="Arial" w:eastAsia="Arial" w:hAnsi="Arial"/>
          <w:sz w:val="15"/>
          <w:szCs w:val="15"/>
          <w:color w:val="010101"/>
        </w:rPr>
        <w:t>” means, as of any date of determination and with respect to any</w:t>
      </w:r>
    </w:p>
    <w:p>
      <w:pPr>
        <w:spacing w:after="0" w:line="110" w:lineRule="exact"/>
        <w:rPr>
          <w:sz w:val="20"/>
          <w:szCs w:val="20"/>
          <w:color w:val="auto"/>
        </w:rPr>
      </w:pPr>
    </w:p>
    <w:p>
      <w:pPr>
        <w:jc w:val="both"/>
        <w:ind w:left="20"/>
        <w:spacing w:after="0" w:line="222" w:lineRule="auto"/>
        <w:rPr>
          <w:sz w:val="20"/>
          <w:szCs w:val="20"/>
          <w:color w:val="auto"/>
        </w:rPr>
      </w:pPr>
      <w:r>
        <w:rPr>
          <w:rFonts w:ascii="Arial" w:cs="Arial" w:eastAsia="Arial" w:hAnsi="Arial"/>
          <w:sz w:val="16"/>
          <w:szCs w:val="16"/>
          <w:color w:val="010101"/>
        </w:rPr>
        <w:t xml:space="preserve">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16"/>
          <w:szCs w:val="16"/>
          <w:u w:val="single" w:color="auto"/>
          <w:color w:val="010101"/>
        </w:rPr>
        <w:t>Section 2.20(c)(iv)</w:t>
      </w:r>
      <w:r>
        <w:rPr>
          <w:rFonts w:ascii="Arial" w:cs="Arial" w:eastAsia="Arial" w:hAnsi="Arial"/>
          <w:sz w:val="16"/>
          <w:szCs w:val="16"/>
          <w:color w:val="010101"/>
        </w:rPr>
        <w:t>.</w:t>
      </w:r>
    </w:p>
    <w:p>
      <w:pPr>
        <w:spacing w:after="0" w:line="149"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Bail-In Action</w:t>
      </w:r>
      <w:r>
        <w:rPr>
          <w:rFonts w:ascii="Arial" w:cs="Arial" w:eastAsia="Arial" w:hAnsi="Arial"/>
          <w:sz w:val="16"/>
          <w:szCs w:val="16"/>
          <w:color w:val="010101"/>
        </w:rPr>
        <w:t>” means the exercise of any Write-Down and Conversion Powers by the applicable Resolution Authority in respect of any liability of an Affected Financial Institution.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083" w:right="519" w:bottom="1440" w:gutter="0" w:footer="0" w:header="0"/>
        </w:sectPr>
      </w:pPr>
    </w:p>
    <w:bookmarkStart w:id="66" w:name="page67"/>
    <w:bookmarkEnd w:id="66"/>
    <w:p>
      <w:pPr>
        <w:jc w:val="both"/>
        <w:ind w:left="20" w:firstLine="485"/>
        <w:spacing w:after="0" w:line="222"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Bail-In Legislation</w:t>
      </w:r>
      <w:r>
        <w:rPr>
          <w:rFonts w:ascii="Arial" w:cs="Arial" w:eastAsia="Arial" w:hAnsi="Arial"/>
          <w:sz w:val="16"/>
          <w:szCs w:val="16"/>
          <w:color w:val="010101"/>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jc w:val="both"/>
        <w:ind w:lef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Base Rate</w:t>
      </w:r>
      <w:r>
        <w:rPr>
          <w:rFonts w:ascii="Arial" w:cs="Arial" w:eastAsia="Arial" w:hAnsi="Arial"/>
          <w:sz w:val="16"/>
          <w:szCs w:val="16"/>
          <w:color w:val="010101"/>
        </w:rPr>
        <w:t xml:space="preserve">” means, at any time, the highest of (a) the Prime Rate, (b) the Federal Funds Rate </w:t>
      </w:r>
      <w:r>
        <w:rPr>
          <w:rFonts w:ascii="Arial" w:cs="Arial" w:eastAsia="Arial" w:hAnsi="Arial"/>
          <w:sz w:val="16"/>
          <w:szCs w:val="16"/>
          <w:u w:val="single" w:color="auto"/>
          <w:color w:val="010101"/>
        </w:rPr>
        <w:t>plus</w:t>
      </w:r>
      <w:r>
        <w:rPr>
          <w:rFonts w:ascii="Arial" w:cs="Arial" w:eastAsia="Arial" w:hAnsi="Arial"/>
          <w:sz w:val="16"/>
          <w:szCs w:val="16"/>
          <w:color w:val="010101"/>
        </w:rPr>
        <w:t xml:space="preserve"> 0.50% and (c) Term SOFR for a one-month tenor in effect on such day </w:t>
      </w:r>
      <w:r>
        <w:rPr>
          <w:rFonts w:ascii="Arial" w:cs="Arial" w:eastAsia="Arial" w:hAnsi="Arial"/>
          <w:sz w:val="16"/>
          <w:szCs w:val="16"/>
          <w:u w:val="single" w:color="auto"/>
          <w:color w:val="010101"/>
        </w:rPr>
        <w:t>plus</w:t>
      </w:r>
      <w:r>
        <w:rPr>
          <w:rFonts w:ascii="Arial" w:cs="Arial" w:eastAsia="Arial" w:hAnsi="Arial"/>
          <w:sz w:val="16"/>
          <w:szCs w:val="16"/>
          <w:color w:val="010101"/>
        </w:rPr>
        <w:t xml:space="preserve"> 1.00%; each change in the Base Rate shall take effect simultaneously with the corresponding change or changes in the Prime Rate, the Federal Funds Rate or Term SOFR, as applicable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w:t>
      </w:r>
      <w:r>
        <w:rPr>
          <w:rFonts w:ascii="Arial" w:cs="Arial" w:eastAsia="Arial" w:hAnsi="Arial"/>
          <w:sz w:val="16"/>
          <w:szCs w:val="16"/>
          <w:u w:val="single" w:color="auto"/>
          <w:color w:val="010101"/>
        </w:rPr>
        <w:t>clause (c)</w:t>
      </w:r>
      <w:r>
        <w:rPr>
          <w:rFonts w:ascii="Arial" w:cs="Arial" w:eastAsia="Arial" w:hAnsi="Arial"/>
          <w:sz w:val="16"/>
          <w:szCs w:val="16"/>
          <w:color w:val="010101"/>
        </w:rPr>
        <w:t xml:space="preserve"> shall not be applicable during any period in which Term SOFR is unavailable or unascertainable). Notwithstanding the foregoing, in no event shall the Base Rate be less than 0%.</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Base Rate Advance</w:t>
      </w:r>
      <w:r>
        <w:rPr>
          <w:rFonts w:ascii="Arial" w:cs="Arial" w:eastAsia="Arial" w:hAnsi="Arial"/>
          <w:sz w:val="15"/>
          <w:szCs w:val="15"/>
          <w:color w:val="010101"/>
        </w:rPr>
        <w:t>” means an Advance that bears interest as provided in Section 2.07(a)(i). All Base Rate Advances shall be denominated in US Dollars.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Bankruptcy Code</w:t>
      </w:r>
      <w:r>
        <w:rPr>
          <w:rFonts w:ascii="Arial" w:cs="Arial" w:eastAsia="Arial" w:hAnsi="Arial"/>
          <w:sz w:val="15"/>
          <w:szCs w:val="15"/>
          <w:color w:val="010101"/>
        </w:rPr>
        <w:t>” means the Bankruptcy Code in Title 11 of the United States Code, as amended, modified, succeeded or replaced from time to time.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BBSY</w:t>
      </w:r>
      <w:r>
        <w:rPr>
          <w:rFonts w:ascii="Arial" w:cs="Arial" w:eastAsia="Arial" w:hAnsi="Arial"/>
          <w:sz w:val="15"/>
          <w:szCs w:val="15"/>
          <w:color w:val="010101"/>
        </w:rPr>
        <w:t>” has the meaning assigned thereto in the definition of “Eurocurrency Rate”. “</w:t>
      </w:r>
      <w:r>
        <w:rPr>
          <w:rFonts w:ascii="Arial" w:cs="Arial" w:eastAsia="Arial" w:hAnsi="Arial"/>
          <w:sz w:val="15"/>
          <w:szCs w:val="15"/>
          <w:u w:val="single" w:color="auto"/>
          <w:color w:val="010101"/>
        </w:rPr>
        <w:t>Benchmark</w:t>
      </w:r>
      <w:r>
        <w:rPr>
          <w:rFonts w:ascii="Arial" w:cs="Arial" w:eastAsia="Arial" w:hAnsi="Arial"/>
          <w:sz w:val="15"/>
          <w:szCs w:val="15"/>
          <w:color w:val="010101"/>
        </w:rPr>
        <w:t>” means, initially, with respect to any (a) Obligations, interest,</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fees,</w:t>
      </w:r>
    </w:p>
    <w:p>
      <w:pPr>
        <w:spacing w:after="0" w:line="89" w:lineRule="exact"/>
        <w:rPr>
          <w:sz w:val="20"/>
          <w:szCs w:val="20"/>
          <w:color w:val="auto"/>
        </w:rPr>
      </w:pPr>
    </w:p>
    <w:p>
      <w:pPr>
        <w:jc w:val="both"/>
        <w:ind w:left="20"/>
        <w:spacing w:after="0" w:line="247" w:lineRule="auto"/>
        <w:rPr>
          <w:sz w:val="20"/>
          <w:szCs w:val="20"/>
          <w:color w:val="auto"/>
        </w:rPr>
      </w:pPr>
      <w:r>
        <w:rPr>
          <w:rFonts w:ascii="Arial" w:cs="Arial" w:eastAsia="Arial" w:hAnsi="Arial"/>
          <w:sz w:val="14"/>
          <w:szCs w:val="14"/>
          <w:color w:val="010101"/>
        </w:rPr>
        <w:t xml:space="preserve">commissions or other amounts denominated in, or calculated with respect to, US Dollars, the Term SOFR Reference Rate;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if a Benchmark Transition Event has occurred with respect to the Term SOFR Reference Rate or then-current Benchmark for US Dollars, then “Benchmark” means, with respect to such Obligations, interest, fees, commissions or other amounts, the applicable Benchmark Replacement to the extent that such Benchmark Replacement has replaced such prior benchmark rate pursuant to Section 2.20(c)(i), (b) Obligations, interest, fees, commissions or other amounts denominated in, or calculated with respect to, Sterling or Singapore Dollars, the Daily Simple RFR applicable for such Currency;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if a Benchmark Transition Event has occurred with respect to such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2.20(c)(i) and (c) Obligations, interest, fees, commissions or other amounts denominated in, or calculated with respect to, Euros, Australian Dollars or Canadian Dollars, EURIBOR, BBSY or CDOR, respectively;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if a Benchmark Transition Event has occurred with respect to EURIBOR, BBSY or CDOR,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2.20(c)(i)</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67" w:name="page68"/>
    <w:bookmarkEnd w:id="67"/>
    <w:p>
      <w:pPr>
        <w:jc w:val="both"/>
        <w:ind w:left="20" w:firstLine="485"/>
        <w:spacing w:after="0" w:line="235" w:lineRule="auto"/>
        <w:rPr>
          <w:sz w:val="20"/>
          <w:szCs w:val="20"/>
          <w:color w:val="auto"/>
        </w:rPr>
      </w:pPr>
      <w:r>
        <w:rPr>
          <w:rFonts w:ascii="Arial" w:cs="Arial" w:eastAsia="Arial" w:hAnsi="Arial"/>
          <w:sz w:val="15"/>
          <w:szCs w:val="15"/>
          <w:color w:val="010101"/>
        </w:rPr>
        <w:t xml:space="preserve">“ </w:t>
      </w:r>
      <w:r>
        <w:rPr>
          <w:rFonts w:ascii="Arial" w:cs="Arial" w:eastAsia="Arial" w:hAnsi="Arial"/>
          <w:sz w:val="15"/>
          <w:szCs w:val="15"/>
          <w:u w:val="single" w:color="auto"/>
          <w:color w:val="010101"/>
        </w:rPr>
        <w:t>Benchmark Replacement</w:t>
      </w:r>
      <w:r>
        <w:rPr>
          <w:rFonts w:ascii="Arial" w:cs="Arial" w:eastAsia="Arial" w:hAnsi="Arial"/>
          <w:sz w:val="15"/>
          <w:szCs w:val="15"/>
          <w:color w:val="010101"/>
        </w:rPr>
        <w:t xml:space="preserve">” means, with respect to any Benchmark Transition Event for any then-current Benchmark, the sum of: (a) the alternate benchmark rate that has been selected by the Administrative Agent and the Company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if such Benchmark Replacement as so determined would be less than the Floor, such Benchmark Replacement will be deemed to be the Floor for the purposes of this Agreement and the other Loan Documents.</w:t>
      </w:r>
    </w:p>
    <w:p>
      <w:pPr>
        <w:spacing w:after="0" w:line="149" w:lineRule="exact"/>
        <w:rPr>
          <w:sz w:val="20"/>
          <w:szCs w:val="20"/>
          <w:color w:val="auto"/>
        </w:rPr>
      </w:pPr>
    </w:p>
    <w:p>
      <w:pPr>
        <w:jc w:val="both"/>
        <w:ind w:left="20" w:right="20" w:firstLine="485"/>
        <w:spacing w:after="0" w:line="21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Benchmark Replacement Adjustment</w:t>
      </w:r>
      <w:r>
        <w:rPr>
          <w:rFonts w:ascii="Arial" w:cs="Arial" w:eastAsia="Arial" w:hAnsi="Arial"/>
          <w:sz w:val="16"/>
          <w:szCs w:val="16"/>
          <w:color w:val="010101"/>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Benchmark Replacement Date</w:t>
      </w:r>
      <w:r>
        <w:rPr>
          <w:rFonts w:ascii="Arial" w:cs="Arial" w:eastAsia="Arial" w:hAnsi="Arial"/>
          <w:sz w:val="16"/>
          <w:szCs w:val="16"/>
          <w:color w:val="010101"/>
        </w:rPr>
        <w:t>” means the earliest to occur of the following events with respect to the then-current Benchmark for any Currency:</w:t>
      </w:r>
    </w:p>
    <w:p>
      <w:pPr>
        <w:spacing w:after="0" w:line="160" w:lineRule="exact"/>
        <w:rPr>
          <w:sz w:val="20"/>
          <w:szCs w:val="20"/>
          <w:color w:val="auto"/>
        </w:rPr>
      </w:pPr>
    </w:p>
    <w:p>
      <w:pPr>
        <w:jc w:val="both"/>
        <w:ind w:left="20" w:right="20" w:firstLine="487"/>
        <w:spacing w:after="0" w:line="230" w:lineRule="auto"/>
        <w:tabs>
          <w:tab w:leader="none" w:pos="910" w:val="left"/>
        </w:tabs>
        <w:numPr>
          <w:ilvl w:val="0"/>
          <w:numId w:val="22"/>
        </w:numPr>
        <w:rPr>
          <w:rFonts w:ascii="Arial" w:cs="Arial" w:eastAsia="Arial" w:hAnsi="Arial"/>
          <w:sz w:val="16"/>
          <w:szCs w:val="16"/>
          <w:color w:val="010101"/>
        </w:rPr>
      </w:pPr>
      <w:r>
        <w:rPr>
          <w:rFonts w:ascii="Arial" w:cs="Arial" w:eastAsia="Arial" w:hAnsi="Arial"/>
          <w:sz w:val="16"/>
          <w:szCs w:val="16"/>
          <w:color w:val="010101"/>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36" w:lineRule="exact"/>
        <w:rPr>
          <w:rFonts w:ascii="Arial" w:cs="Arial" w:eastAsia="Arial" w:hAnsi="Arial"/>
          <w:sz w:val="16"/>
          <w:szCs w:val="16"/>
          <w:color w:val="010101"/>
        </w:rPr>
      </w:pPr>
    </w:p>
    <w:p>
      <w:pPr>
        <w:jc w:val="both"/>
        <w:ind w:left="20" w:right="20" w:firstLine="487"/>
        <w:spacing w:after="0"/>
        <w:tabs>
          <w:tab w:leader="none" w:pos="909" w:val="left"/>
        </w:tabs>
        <w:numPr>
          <w:ilvl w:val="0"/>
          <w:numId w:val="22"/>
        </w:numPr>
        <w:rPr>
          <w:rFonts w:ascii="Arial" w:cs="Arial" w:eastAsia="Arial" w:hAnsi="Arial"/>
          <w:sz w:val="15"/>
          <w:szCs w:val="15"/>
          <w:color w:val="010101"/>
        </w:rPr>
      </w:pPr>
      <w:r>
        <w:rPr>
          <w:rFonts w:ascii="Arial" w:cs="Arial" w:eastAsia="Arial" w:hAnsi="Arial"/>
          <w:sz w:val="15"/>
          <w:szCs w:val="15"/>
          <w:color w:val="010101"/>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38"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48"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Benchmark Transition Event</w:t>
      </w:r>
      <w:r>
        <w:rPr>
          <w:rFonts w:ascii="Arial" w:cs="Arial" w:eastAsia="Arial" w:hAnsi="Arial"/>
          <w:sz w:val="16"/>
          <w:szCs w:val="16"/>
          <w:color w:val="010101"/>
        </w:rPr>
        <w:t>” means, with respect to the then-current Benchmark for any Currency, the occurrence of one or more of the following events with respect to such Benchmark:</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68" w:name="page69"/>
    <w:bookmarkEnd w:id="68"/>
    <w:p>
      <w:pPr>
        <w:jc w:val="both"/>
        <w:ind w:left="20" w:right="20" w:firstLine="487"/>
        <w:spacing w:after="0" w:line="225" w:lineRule="auto"/>
        <w:tabs>
          <w:tab w:leader="none" w:pos="910" w:val="left"/>
        </w:tabs>
        <w:numPr>
          <w:ilvl w:val="0"/>
          <w:numId w:val="23"/>
        </w:numPr>
        <w:rPr>
          <w:rFonts w:ascii="Arial" w:cs="Arial" w:eastAsia="Arial" w:hAnsi="Arial"/>
          <w:sz w:val="16"/>
          <w:szCs w:val="16"/>
          <w:color w:val="010101"/>
        </w:rPr>
      </w:pPr>
      <w:r>
        <w:rPr>
          <w:rFonts w:ascii="Arial" w:cs="Arial" w:eastAsia="Arial" w:hAnsi="Arial"/>
          <w:sz w:val="16"/>
          <w:szCs w:val="16"/>
          <w:color w:val="010101"/>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at the time of such statement or publication, there is no successor administrator that will continue to provide any Available Tenor of such Benchmark (or such component thereof);</w:t>
      </w:r>
    </w:p>
    <w:p>
      <w:pPr>
        <w:spacing w:after="0" w:line="37" w:lineRule="exact"/>
        <w:rPr>
          <w:rFonts w:ascii="Arial" w:cs="Arial" w:eastAsia="Arial" w:hAnsi="Arial"/>
          <w:sz w:val="16"/>
          <w:szCs w:val="16"/>
          <w:color w:val="010101"/>
        </w:rPr>
      </w:pPr>
    </w:p>
    <w:p>
      <w:pPr>
        <w:jc w:val="both"/>
        <w:ind w:left="20" w:right="20" w:firstLine="487"/>
        <w:spacing w:after="0" w:line="219" w:lineRule="auto"/>
        <w:tabs>
          <w:tab w:leader="none" w:pos="909" w:val="left"/>
        </w:tabs>
        <w:numPr>
          <w:ilvl w:val="0"/>
          <w:numId w:val="23"/>
        </w:numPr>
        <w:rPr>
          <w:rFonts w:ascii="Arial" w:cs="Arial" w:eastAsia="Arial" w:hAnsi="Arial"/>
          <w:sz w:val="16"/>
          <w:szCs w:val="16"/>
          <w:color w:val="010101"/>
        </w:rPr>
      </w:pPr>
      <w:r>
        <w:rPr>
          <w:rFonts w:ascii="Arial" w:cs="Arial" w:eastAsia="Arial" w:hAnsi="Arial"/>
          <w:sz w:val="16"/>
          <w:szCs w:val="16"/>
          <w:color w:val="010101"/>
        </w:rPr>
        <w:t xml:space="preserve">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at the time of such statement or publication, there is no successor administrator that will continue to provide any Available Tenor of such Benchmark (or such component thereof); or</w:t>
      </w:r>
    </w:p>
    <w:p>
      <w:pPr>
        <w:spacing w:after="0" w:line="37" w:lineRule="exact"/>
        <w:rPr>
          <w:rFonts w:ascii="Arial" w:cs="Arial" w:eastAsia="Arial" w:hAnsi="Arial"/>
          <w:sz w:val="16"/>
          <w:szCs w:val="16"/>
          <w:color w:val="010101"/>
        </w:rPr>
      </w:pPr>
    </w:p>
    <w:p>
      <w:pPr>
        <w:jc w:val="both"/>
        <w:ind w:left="20" w:right="20" w:firstLine="487"/>
        <w:spacing w:after="0" w:line="230" w:lineRule="auto"/>
        <w:tabs>
          <w:tab w:leader="none" w:pos="910" w:val="left"/>
        </w:tabs>
        <w:numPr>
          <w:ilvl w:val="0"/>
          <w:numId w:val="23"/>
        </w:numPr>
        <w:rPr>
          <w:rFonts w:ascii="Arial" w:cs="Arial" w:eastAsia="Arial" w:hAnsi="Arial"/>
          <w:sz w:val="16"/>
          <w:szCs w:val="16"/>
          <w:color w:val="010101"/>
        </w:rPr>
      </w:pPr>
      <w:r>
        <w:rPr>
          <w:rFonts w:ascii="Arial" w:cs="Arial" w:eastAsia="Arial" w:hAnsi="Arial"/>
          <w:sz w:val="16"/>
          <w:szCs w:val="16"/>
          <w:color w:val="010101"/>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37" w:lineRule="exact"/>
        <w:rPr>
          <w:sz w:val="20"/>
          <w:szCs w:val="20"/>
          <w:color w:val="auto"/>
        </w:rPr>
      </w:pPr>
    </w:p>
    <w:p>
      <w:pPr>
        <w:jc w:val="both"/>
        <w:ind w:left="20"/>
        <w:spacing w:after="0" w:line="230" w:lineRule="auto"/>
        <w:rPr>
          <w:sz w:val="20"/>
          <w:szCs w:val="20"/>
          <w:color w:val="auto"/>
        </w:rPr>
      </w:pPr>
      <w:r>
        <w:rPr>
          <w:rFonts w:ascii="Arial" w:cs="Arial" w:eastAsia="Arial" w:hAnsi="Arial"/>
          <w:sz w:val="16"/>
          <w:szCs w:val="16"/>
          <w:color w:val="010101"/>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8"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Benchmark Transition Start Date</w:t>
      </w:r>
      <w:r>
        <w:rPr>
          <w:rFonts w:ascii="Arial" w:cs="Arial" w:eastAsia="Arial" w:hAnsi="Arial"/>
          <w:sz w:val="16"/>
          <w:szCs w:val="16"/>
          <w:color w:val="010101"/>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49" w:lineRule="exact"/>
        <w:rPr>
          <w:sz w:val="20"/>
          <w:szCs w:val="20"/>
          <w:color w:val="auto"/>
        </w:rPr>
      </w:pPr>
    </w:p>
    <w:p>
      <w:pPr>
        <w:jc w:val="both"/>
        <w:ind w:left="20" w:right="20" w:firstLine="485"/>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Benchmark Unavailability Period</w:t>
      </w:r>
      <w:r>
        <w:rPr>
          <w:rFonts w:ascii="Arial" w:cs="Arial" w:eastAsia="Arial" w:hAnsi="Arial"/>
          <w:sz w:val="15"/>
          <w:szCs w:val="15"/>
          <w:color w:val="010101"/>
        </w:rPr>
        <w:t>”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2.20(c)(i) and (y) ending at the time that a Benchmark Replacement has replaced such Benchmark for all purposes hereunder and under any Loan Document in accordance with Section 2.20(c)(i).</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Beneficial Ownership Certification</w:t>
      </w:r>
      <w:r>
        <w:rPr>
          <w:rFonts w:ascii="Arial" w:cs="Arial" w:eastAsia="Arial" w:hAnsi="Arial"/>
          <w:sz w:val="16"/>
          <w:szCs w:val="16"/>
          <w:color w:val="010101"/>
        </w:rPr>
        <w:t>” means a certification regarding beneficial ownership as required by the Beneficial Ownership Regulation.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Beneficial Ownership Regulation</w:t>
      </w:r>
      <w:r>
        <w:rPr>
          <w:rFonts w:ascii="Arial" w:cs="Arial" w:eastAsia="Arial" w:hAnsi="Arial"/>
          <w:sz w:val="16"/>
          <w:szCs w:val="16"/>
          <w:color w:val="010101"/>
        </w:rPr>
        <w:t>” means 31 C.F.R. § 1010.230.</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69" w:name="page70"/>
    <w:bookmarkEnd w:id="69"/>
    <w:p>
      <w:pPr>
        <w:ind w:left="20" w:right="20" w:firstLine="485"/>
        <w:spacing w:after="0" w:line="22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Benefit Plan</w:t>
      </w:r>
      <w:r>
        <w:rPr>
          <w:rFonts w:ascii="Arial" w:cs="Arial" w:eastAsia="Arial" w:hAnsi="Arial"/>
          <w:sz w:val="16"/>
          <w:szCs w:val="16"/>
          <w:color w:val="010101"/>
        </w:rPr>
        <w:t>” means any of (a) an “employee benefit plan” (as defined in ERISA) that is subject to Title I of ERISA, (b) a “plan” as defined in and subject to Section 4975 of the Code or</w:t>
      </w:r>
    </w:p>
    <w:p>
      <w:pPr>
        <w:ind w:left="20" w:right="20" w:firstLine="2"/>
        <w:spacing w:after="0" w:line="230" w:lineRule="auto"/>
        <w:tabs>
          <w:tab w:leader="none" w:pos="246" w:val="left"/>
        </w:tabs>
        <w:numPr>
          <w:ilvl w:val="0"/>
          <w:numId w:val="24"/>
        </w:numPr>
        <w:rPr>
          <w:rFonts w:ascii="Arial" w:cs="Arial" w:eastAsia="Arial" w:hAnsi="Arial"/>
          <w:sz w:val="16"/>
          <w:szCs w:val="16"/>
          <w:color w:val="010101"/>
        </w:rPr>
      </w:pPr>
      <w:r>
        <w:rPr>
          <w:rFonts w:ascii="Arial" w:cs="Arial" w:eastAsia="Arial" w:hAnsi="Arial"/>
          <w:sz w:val="16"/>
          <w:szCs w:val="16"/>
          <w:color w:val="010101"/>
        </w:rPr>
        <w:t>any Person whose assets include (for purposes of ERISA Section 3(42) or otherwise for purposes of Title I of ERISA or Section 4975 of the Code) the assets of any such “employee benefit plan” or “plan”.</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BHC Act Affiliate</w:t>
      </w:r>
      <w:r>
        <w:rPr>
          <w:rFonts w:ascii="Arial" w:cs="Arial" w:eastAsia="Arial" w:hAnsi="Arial"/>
          <w:sz w:val="16"/>
          <w:szCs w:val="16"/>
          <w:color w:val="010101"/>
        </w:rPr>
        <w:t>” has the meaning specified in Section 9.20(b).</w:t>
      </w:r>
    </w:p>
    <w:p>
      <w:pPr>
        <w:spacing w:after="0" w:line="170"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Borrower DTTP Filing</w:t>
      </w:r>
      <w:r>
        <w:rPr>
          <w:rFonts w:ascii="Arial" w:cs="Arial" w:eastAsia="Arial" w:hAnsi="Arial"/>
          <w:sz w:val="16"/>
          <w:szCs w:val="16"/>
          <w:color w:val="010101"/>
        </w:rPr>
        <w:t>” means an HM Revenue &amp; Customs’ Form DTTP2, duly completed and filed by the relevant UK Borrower within the applicable time limit, which contains the scheme reference number and jurisdiction of tax residence provided by the Lender to such UK Borrower and the Administrative Agent. Such scheme reference numbers and jurisdictions of tax residence as of the Effective Date are listed on Schedule 2.14(f) hereto.</w:t>
      </w:r>
    </w:p>
    <w:p>
      <w:pPr>
        <w:spacing w:after="0" w:line="138" w:lineRule="exact"/>
        <w:rPr>
          <w:sz w:val="20"/>
          <w:szCs w:val="20"/>
          <w:color w:val="auto"/>
        </w:rPr>
      </w:pPr>
    </w:p>
    <w:p>
      <w:pPr>
        <w:jc w:val="both"/>
        <w:ind w:left="20" w:firstLine="485"/>
        <w:spacing w:after="0" w:line="233"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Borrower Obligations</w:t>
      </w:r>
      <w:r>
        <w:rPr>
          <w:rFonts w:ascii="Arial" w:cs="Arial" w:eastAsia="Arial" w:hAnsi="Arial"/>
          <w:sz w:val="15"/>
          <w:szCs w:val="15"/>
          <w:color w:val="010101"/>
        </w:rPr>
        <w:t>” and “</w:t>
      </w:r>
      <w:r>
        <w:rPr>
          <w:rFonts w:ascii="Arial" w:cs="Arial" w:eastAsia="Arial" w:hAnsi="Arial"/>
          <w:sz w:val="15"/>
          <w:szCs w:val="15"/>
          <w:u w:val="single" w:color="auto"/>
          <w:color w:val="010101"/>
        </w:rPr>
        <w:t>Obligations</w:t>
      </w:r>
      <w:r>
        <w:rPr>
          <w:rFonts w:ascii="Arial" w:cs="Arial" w:eastAsia="Arial" w:hAnsi="Arial"/>
          <w:sz w:val="15"/>
          <w:szCs w:val="15"/>
          <w:color w:val="010101"/>
        </w:rPr>
        <w:t>” means, in each case, whether now in existence or hereafter arising: (a) the principal of and interest on (including interest accruing after the filing of any bankruptcy or similar petition) the Advances, (b) the L/C Obligations and (c) all other fees and commissions (including attorneys’ fees), charges, indebtedness, loans, liabilities, financial accommodations and monetary obligations owing by the Credit Parties to the Lenders, the Issuing Lenders or the Administrative Agent, in each case under any Loan Document, with respect to any Advance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of any proceeding under any Debtor Relief Laws, naming such Person as the debtor in such proceeding, regardless of whether such interest and fees are allowed claims in such proceeding.</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Borrowers</w:t>
      </w:r>
      <w:r>
        <w:rPr>
          <w:rFonts w:ascii="Arial" w:cs="Arial" w:eastAsia="Arial" w:hAnsi="Arial"/>
          <w:sz w:val="16"/>
          <w:szCs w:val="16"/>
          <w:color w:val="010101"/>
        </w:rPr>
        <w:t>” means, collectively, the Foreign Borrowers and the Company.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Borrowing</w:t>
      </w:r>
      <w:r>
        <w:rPr>
          <w:rFonts w:ascii="Arial" w:cs="Arial" w:eastAsia="Arial" w:hAnsi="Arial"/>
          <w:sz w:val="15"/>
          <w:szCs w:val="15"/>
          <w:color w:val="010101"/>
        </w:rPr>
        <w:t xml:space="preserve">” means a borrowing consisting of simultaneous Advances of the same Type made by each of the </w:t>
      </w:r>
      <w:r>
        <w:rPr>
          <w:rFonts w:ascii="Arial" w:cs="Arial" w:eastAsia="Arial" w:hAnsi="Arial"/>
          <w:sz w:val="15"/>
          <w:szCs w:val="15"/>
          <w:b w:val="1"/>
          <w:bCs w:val="1"/>
          <w:u w:val="single" w:color="auto"/>
          <w:color w:val="0000FF"/>
        </w:rPr>
        <w:t>applicable</w:t>
      </w:r>
      <w:r>
        <w:rPr>
          <w:rFonts w:ascii="Arial" w:cs="Arial" w:eastAsia="Arial" w:hAnsi="Arial"/>
          <w:sz w:val="15"/>
          <w:szCs w:val="15"/>
          <w:color w:val="010101"/>
        </w:rPr>
        <w:t xml:space="preserve"> Lenders pursuant to Section 2.01.</w:t>
      </w:r>
    </w:p>
    <w:p>
      <w:pPr>
        <w:spacing w:after="0" w:line="175"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Business Day</w:t>
      </w:r>
      <w:r>
        <w:rPr>
          <w:rFonts w:ascii="Arial" w:cs="Arial" w:eastAsia="Arial" w:hAnsi="Arial"/>
          <w:sz w:val="16"/>
          <w:szCs w:val="16"/>
          <w:color w:val="010101"/>
        </w:rPr>
        <w:t>” means any day that (a) is not a Saturday, Sunday or other day on which the Federal Reserve Bank of New York is closed and (b) is not a day on which commercial banks in New York City are closed.</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Canadian Dollars</w:t>
      </w:r>
      <w:r>
        <w:rPr>
          <w:rFonts w:ascii="Arial" w:cs="Arial" w:eastAsia="Arial" w:hAnsi="Arial"/>
          <w:sz w:val="16"/>
          <w:szCs w:val="16"/>
          <w:color w:val="010101"/>
        </w:rPr>
        <w:t>” means Canadian Dollars, the lawful currency of Canada.</w:t>
      </w:r>
    </w:p>
    <w:p>
      <w:pPr>
        <w:spacing w:after="0" w:line="170" w:lineRule="exact"/>
        <w:rPr>
          <w:sz w:val="20"/>
          <w:szCs w:val="20"/>
          <w:color w:val="auto"/>
        </w:rPr>
      </w:pPr>
    </w:p>
    <w:p>
      <w:pPr>
        <w:jc w:val="both"/>
        <w:ind w:left="20" w:firstLine="485"/>
        <w:spacing w:after="0" w:line="22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Cash Collateralize</w:t>
      </w:r>
      <w:r>
        <w:rPr>
          <w:rFonts w:ascii="Arial" w:cs="Arial" w:eastAsia="Arial" w:hAnsi="Arial"/>
          <w:sz w:val="16"/>
          <w:szCs w:val="16"/>
          <w:color w:val="010101"/>
        </w:rPr>
        <w:t xml:space="preserve">” means, to pledge and deposit with, or deliver to the Administrative Agent, or directly to the applicable Issuing Lender (with notice thereof to the Administrative Agent), for the benefit of one or more of the Issuing Lenders or the Lenders, as collateral for L/C Obligations or obligations of the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Lenders to fund participations in respect of L/C Obligations, cash or deposit account balances in the applicable Currency or, if the Administrative Agent and the applicable Issuing Lender shall agree, in their sole discretion, other credit support, in each case pursuant to documentation in form and substance reasonably satisfactory to the Administrative Agent, such Issuing Lender. “</w:t>
      </w:r>
      <w:r>
        <w:rPr>
          <w:rFonts w:ascii="Arial" w:cs="Arial" w:eastAsia="Arial" w:hAnsi="Arial"/>
          <w:sz w:val="16"/>
          <w:szCs w:val="16"/>
          <w:u w:val="single" w:color="auto"/>
          <w:color w:val="010101"/>
        </w:rPr>
        <w:t>Cash Collateral</w:t>
      </w:r>
      <w:r>
        <w:rPr>
          <w:rFonts w:ascii="Arial" w:cs="Arial" w:eastAsia="Arial" w:hAnsi="Arial"/>
          <w:sz w:val="16"/>
          <w:szCs w:val="16"/>
          <w:color w:val="010101"/>
        </w:rPr>
        <w:t>” shall have a meaning correlative to the foregoing and shall include the proceeds of such cash collateral and other credit support.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70" w:name="page71"/>
    <w:bookmarkEnd w:id="70"/>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Cash Collateralized Letter of Credit</w:t>
      </w:r>
      <w:r>
        <w:rPr>
          <w:rFonts w:ascii="Arial" w:cs="Arial" w:eastAsia="Arial" w:hAnsi="Arial"/>
          <w:sz w:val="16"/>
          <w:szCs w:val="16"/>
          <w:color w:val="010101"/>
        </w:rPr>
        <w:t xml:space="preserve">” has the meaning assigned thereto in </w:t>
      </w:r>
      <w:r>
        <w:rPr>
          <w:rFonts w:ascii="Arial" w:cs="Arial" w:eastAsia="Arial" w:hAnsi="Arial"/>
          <w:sz w:val="16"/>
          <w:szCs w:val="16"/>
          <w:u w:val="single" w:color="auto"/>
          <w:color w:val="010101"/>
        </w:rPr>
        <w:t>Section</w:t>
      </w:r>
      <w:r>
        <w:rPr>
          <w:rFonts w:ascii="Arial" w:cs="Arial" w:eastAsia="Arial" w:hAnsi="Arial"/>
          <w:sz w:val="16"/>
          <w:szCs w:val="16"/>
          <w:color w:val="010101"/>
        </w:rPr>
        <w:t xml:space="preserve"> 10.12(d).</w:t>
      </w:r>
    </w:p>
    <w:p>
      <w:pPr>
        <w:spacing w:after="0" w:line="170" w:lineRule="exact"/>
        <w:rPr>
          <w:sz w:val="20"/>
          <w:szCs w:val="20"/>
          <w:color w:val="auto"/>
        </w:rPr>
      </w:pPr>
    </w:p>
    <w:p>
      <w:pPr>
        <w:ind w:left="20" w:right="20" w:firstLine="485"/>
        <w:spacing w:after="0" w:line="239" w:lineRule="auto"/>
        <w:rPr>
          <w:sz w:val="20"/>
          <w:szCs w:val="20"/>
          <w:color w:val="auto"/>
        </w:rPr>
      </w:pPr>
      <w:r>
        <w:rPr>
          <w:rFonts w:ascii="Arial" w:cs="Arial" w:eastAsia="Arial" w:hAnsi="Arial"/>
          <w:sz w:val="16"/>
          <w:szCs w:val="16"/>
          <w:color w:val="010101"/>
        </w:rPr>
        <w:t>“Cash Management Agreement”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CDOR</w:t>
      </w:r>
      <w:r>
        <w:rPr>
          <w:rFonts w:ascii="Arial" w:cs="Arial" w:eastAsia="Arial" w:hAnsi="Arial"/>
          <w:sz w:val="15"/>
          <w:szCs w:val="15"/>
          <w:color w:val="010101"/>
        </w:rPr>
        <w:t>” has the meaning assigned thereto in the definition of “Eurocurrency Rate”. “</w:t>
      </w:r>
      <w:r>
        <w:rPr>
          <w:rFonts w:ascii="Arial" w:cs="Arial" w:eastAsia="Arial" w:hAnsi="Arial"/>
          <w:sz w:val="15"/>
          <w:szCs w:val="15"/>
          <w:u w:val="single" w:color="auto"/>
          <w:color w:val="010101"/>
        </w:rPr>
        <w:t>CFC</w:t>
      </w:r>
      <w:r>
        <w:rPr>
          <w:rFonts w:ascii="Arial" w:cs="Arial" w:eastAsia="Arial" w:hAnsi="Arial"/>
          <w:sz w:val="15"/>
          <w:szCs w:val="15"/>
          <w:color w:val="010101"/>
        </w:rPr>
        <w:t>” means a Person that is a “controlled foreign corporation” as defined</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in Section</w:t>
      </w:r>
    </w:p>
    <w:p>
      <w:pPr>
        <w:spacing w:after="0" w:line="95" w:lineRule="exact"/>
        <w:rPr>
          <w:sz w:val="20"/>
          <w:szCs w:val="20"/>
          <w:color w:val="auto"/>
        </w:rPr>
      </w:pPr>
    </w:p>
    <w:p>
      <w:pPr>
        <w:jc w:val="both"/>
        <w:ind w:left="20"/>
        <w:spacing w:after="0" w:line="231" w:lineRule="auto"/>
        <w:rPr>
          <w:sz w:val="20"/>
          <w:szCs w:val="20"/>
          <w:color w:val="auto"/>
        </w:rPr>
      </w:pPr>
      <w:r>
        <w:rPr>
          <w:rFonts w:ascii="Arial" w:cs="Arial" w:eastAsia="Arial" w:hAnsi="Arial"/>
          <w:sz w:val="16"/>
          <w:szCs w:val="16"/>
          <w:color w:val="010101"/>
        </w:rPr>
        <w:t>957 of the Internal Revenue Code, but only if a “United States person” (within the meaning of Section 7701(a)(</w:t>
      </w:r>
      <w:r>
        <w:rPr>
          <w:rFonts w:ascii="Arial" w:cs="Arial" w:eastAsia="Arial" w:hAnsi="Arial"/>
          <w:sz w:val="16"/>
          <w:szCs w:val="16"/>
          <w:color w:val="FF0000"/>
          <w:strike w:val="1"/>
        </w:rPr>
        <w:t>3</w:t>
      </w:r>
      <w:r>
        <w:rPr>
          <w:rFonts w:ascii="Arial" w:cs="Arial" w:eastAsia="Arial" w:hAnsi="Arial"/>
          <w:sz w:val="16"/>
          <w:szCs w:val="16"/>
          <w:b w:val="1"/>
          <w:bCs w:val="1"/>
          <w:u w:val="single" w:color="auto"/>
          <w:color w:val="0000FF"/>
        </w:rPr>
        <w:t>30</w:t>
      </w:r>
      <w:r>
        <w:rPr>
          <w:rFonts w:ascii="Arial" w:cs="Arial" w:eastAsia="Arial" w:hAnsi="Arial"/>
          <w:sz w:val="16"/>
          <w:szCs w:val="16"/>
          <w:color w:val="010101"/>
        </w:rPr>
        <w:t>) of the Internal Revenue Code) that is a Credit Party or an Affiliate of a Credit Party is, with respect to such Person, a “United States shareholder” (within the meaning of Section 951(b) of the Internal Revenue Code) as described in Section 951(a)(1) of the Internal Revenue Code.</w:t>
      </w:r>
    </w:p>
    <w:p>
      <w:pPr>
        <w:spacing w:after="0" w:line="140" w:lineRule="exact"/>
        <w:rPr>
          <w:sz w:val="20"/>
          <w:szCs w:val="20"/>
          <w:color w:val="auto"/>
        </w:rPr>
      </w:pPr>
    </w:p>
    <w:p>
      <w:pPr>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CFC Holdco</w:t>
      </w:r>
      <w:r>
        <w:rPr>
          <w:rFonts w:ascii="Arial" w:cs="Arial" w:eastAsia="Arial" w:hAnsi="Arial"/>
          <w:sz w:val="16"/>
          <w:szCs w:val="16"/>
          <w:color w:val="010101"/>
        </w:rPr>
        <w:t>” means any Subsidiary all or substantially all of the assets of which consist of the Equity Interest or indebtedness of one or more CFCs (either directly or indirectly through other such Subsidiaries).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Change in Law</w:t>
      </w:r>
      <w:r>
        <w:rPr>
          <w:rFonts w:ascii="Arial" w:cs="Arial" w:eastAsia="Arial" w:hAnsi="Arial"/>
          <w:sz w:val="16"/>
          <w:szCs w:val="16"/>
          <w:color w:val="010101"/>
        </w:rPr>
        <w:t>” means the occurrence, after the Effective Date, of any of the following:</w:t>
      </w:r>
    </w:p>
    <w:p>
      <w:pPr>
        <w:jc w:val="both"/>
        <w:ind w:left="20" w:firstLine="2"/>
        <w:spacing w:after="0" w:line="216" w:lineRule="auto"/>
        <w:tabs>
          <w:tab w:leader="none" w:pos="265" w:val="left"/>
        </w:tabs>
        <w:numPr>
          <w:ilvl w:val="0"/>
          <w:numId w:val="25"/>
        </w:numPr>
        <w:rPr>
          <w:rFonts w:ascii="Arial" w:cs="Arial" w:eastAsia="Arial" w:hAnsi="Arial"/>
          <w:sz w:val="16"/>
          <w:szCs w:val="16"/>
          <w:color w:val="010101"/>
        </w:rPr>
      </w:pPr>
      <w:r>
        <w:rPr>
          <w:rFonts w:ascii="Arial" w:cs="Arial" w:eastAsia="Arial" w:hAnsi="Arial"/>
          <w:sz w:val="16"/>
          <w:szCs w:val="16"/>
          <w:color w:val="010101"/>
        </w:rPr>
        <w:t>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47" w:lineRule="exact"/>
        <w:rPr>
          <w:sz w:val="20"/>
          <w:szCs w:val="20"/>
          <w:color w:val="auto"/>
        </w:rPr>
      </w:pPr>
    </w:p>
    <w:p>
      <w:pPr>
        <w:jc w:val="both"/>
        <w:ind w:left="20" w:right="20" w:firstLine="485"/>
        <w:spacing w:after="0" w:line="223"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Commitment</w:t>
      </w:r>
      <w:r>
        <w:rPr>
          <w:rFonts w:ascii="Arial" w:cs="Arial" w:eastAsia="Arial" w:hAnsi="Arial"/>
          <w:sz w:val="16"/>
          <w:szCs w:val="16"/>
          <w:color w:val="FF0000"/>
          <w:strike w:val="1"/>
        </w:rPr>
        <w:t>”</w:t>
      </w:r>
      <w:r>
        <w:rPr>
          <w:rFonts w:ascii="Arial" w:cs="Arial" w:eastAsia="Arial" w:hAnsi="Arial"/>
          <w:sz w:val="16"/>
          <w:szCs w:val="16"/>
          <w:color w:val="010101"/>
        </w:rPr>
        <w:t xml:space="preserve"> ” means, with respect to each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Lender at any time, (a) the US Dollar amount set forth opposite such Lender’s name on Schedule I </w:t>
      </w:r>
      <w:r>
        <w:rPr>
          <w:rFonts w:ascii="Arial" w:cs="Arial" w:eastAsia="Arial" w:hAnsi="Arial"/>
          <w:sz w:val="16"/>
          <w:szCs w:val="16"/>
          <w:b w:val="1"/>
          <w:bCs w:val="1"/>
          <w:u w:val="single" w:color="auto"/>
          <w:color w:val="0000FF"/>
        </w:rPr>
        <w:t>(b)</w:t>
      </w:r>
      <w:r>
        <w:rPr>
          <w:rFonts w:ascii="Arial" w:cs="Arial" w:eastAsia="Arial" w:hAnsi="Arial"/>
          <w:sz w:val="16"/>
          <w:szCs w:val="16"/>
          <w:color w:val="010101"/>
        </w:rPr>
        <w:t xml:space="preserve"> attached hereto and identified as such, (b) if such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Lender has become a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Lender hereunder pursuant to an Assumption Agreement, the amount set forth as its Commitment in such Assumption Agreement or (c) if such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Lender has entered into one or more Assignment and Assumptions, the amount set forth for such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Lender in the Register maintained by the Administrative Agent pursuant to Section 9.07(c), as such amount may be increased, terminated or reduced, as the case may be, at or prior to such time pursuant to Section</w:t>
      </w:r>
    </w:p>
    <w:p>
      <w:pPr>
        <w:spacing w:after="0" w:line="49"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6"/>
          <w:szCs w:val="16"/>
          <w:color w:val="010101"/>
        </w:rPr>
        <w:t>2.05.</w:t>
      </w:r>
      <w:r>
        <w:rPr>
          <w:sz w:val="20"/>
          <w:szCs w:val="20"/>
          <w:color w:val="auto"/>
        </w:rPr>
        <w:tab/>
      </w:r>
      <w:r>
        <w:rPr>
          <w:rFonts w:ascii="Arial" w:cs="Arial" w:eastAsia="Arial" w:hAnsi="Arial"/>
          <w:sz w:val="14"/>
          <w:szCs w:val="14"/>
          <w:color w:val="010101"/>
        </w:rPr>
        <w:t>The aggregate amount of the Commitments on the Effective Date is $300,000,000. “</w:t>
      </w:r>
      <w:r>
        <w:rPr>
          <w:rFonts w:ascii="Arial" w:cs="Arial" w:eastAsia="Arial" w:hAnsi="Arial"/>
          <w:sz w:val="14"/>
          <w:szCs w:val="14"/>
          <w:u w:val="single" w:color="auto"/>
          <w:color w:val="010101"/>
        </w:rPr>
        <w:t>Commitment Date</w:t>
      </w:r>
      <w:r>
        <w:rPr>
          <w:rFonts w:ascii="Arial" w:cs="Arial" w:eastAsia="Arial" w:hAnsi="Arial"/>
          <w:sz w:val="14"/>
          <w:szCs w:val="14"/>
          <w:color w:val="010101"/>
        </w:rPr>
        <w:t>” has the meaning specified in Section 2.05(b)(i).</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Commitment Fee</w:t>
      </w:r>
      <w:r>
        <w:rPr>
          <w:rFonts w:ascii="Arial" w:cs="Arial" w:eastAsia="Arial" w:hAnsi="Arial"/>
          <w:sz w:val="16"/>
          <w:szCs w:val="16"/>
          <w:color w:val="010101"/>
        </w:rPr>
        <w:t>” has the meaning specified in Section 2.04(a).</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71" w:name="page72"/>
    <w:bookmarkEnd w:id="71"/>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Commitment Increase</w:t>
      </w:r>
      <w:r>
        <w:rPr>
          <w:rFonts w:ascii="Arial" w:cs="Arial" w:eastAsia="Arial" w:hAnsi="Arial"/>
          <w:sz w:val="16"/>
          <w:szCs w:val="16"/>
          <w:color w:val="010101"/>
        </w:rPr>
        <w:t>” has the meaning specified in Section 2.05(b)(i).</w:t>
      </w:r>
    </w:p>
    <w:p>
      <w:pPr>
        <w:spacing w:after="0" w:line="170"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Commitment Percentage</w:t>
      </w:r>
      <w:r>
        <w:rPr>
          <w:rFonts w:ascii="Arial" w:cs="Arial" w:eastAsia="Arial" w:hAnsi="Arial"/>
          <w:sz w:val="16"/>
          <w:szCs w:val="16"/>
          <w:color w:val="010101"/>
        </w:rPr>
        <w:t xml:space="preserve">” means, with respect to any </w:t>
      </w:r>
      <w:r>
        <w:rPr>
          <w:rFonts w:ascii="Arial" w:cs="Arial" w:eastAsia="Arial" w:hAnsi="Arial"/>
          <w:sz w:val="14"/>
          <w:szCs w:val="14"/>
          <w:b w:val="1"/>
          <w:bCs w:val="1"/>
          <w:u w:val="single" w:color="auto"/>
          <w:color w:val="0000FF"/>
        </w:rPr>
        <w:t>Revolving</w:t>
      </w:r>
      <w:r>
        <w:rPr>
          <w:rFonts w:ascii="Arial" w:cs="Arial" w:eastAsia="Arial" w:hAnsi="Arial"/>
          <w:sz w:val="16"/>
          <w:szCs w:val="16"/>
          <w:color w:val="010101"/>
        </w:rPr>
        <w:t xml:space="preserve"> Lender at any time, the percentage of the total Commitments of all the </w:t>
      </w:r>
      <w:r>
        <w:rPr>
          <w:rFonts w:ascii="Arial" w:cs="Arial" w:eastAsia="Arial" w:hAnsi="Arial"/>
          <w:sz w:val="14"/>
          <w:szCs w:val="14"/>
          <w:b w:val="1"/>
          <w:bCs w:val="1"/>
          <w:u w:val="single" w:color="auto"/>
          <w:color w:val="0000FF"/>
        </w:rPr>
        <w:t>Revolving</w:t>
      </w:r>
      <w:r>
        <w:rPr>
          <w:rFonts w:ascii="Arial" w:cs="Arial" w:eastAsia="Arial" w:hAnsi="Arial"/>
          <w:sz w:val="16"/>
          <w:szCs w:val="16"/>
          <w:color w:val="010101"/>
        </w:rPr>
        <w:t xml:space="preserve"> Lenders represented by such </w:t>
      </w:r>
      <w:r>
        <w:rPr>
          <w:rFonts w:ascii="Arial" w:cs="Arial" w:eastAsia="Arial" w:hAnsi="Arial"/>
          <w:sz w:val="14"/>
          <w:szCs w:val="14"/>
          <w:b w:val="1"/>
          <w:bCs w:val="1"/>
          <w:u w:val="single" w:color="auto"/>
          <w:color w:val="0000FF"/>
        </w:rPr>
        <w:t>Revolving</w:t>
      </w:r>
      <w:r>
        <w:rPr>
          <w:rFonts w:ascii="Arial" w:cs="Arial" w:eastAsia="Arial" w:hAnsi="Arial"/>
          <w:sz w:val="16"/>
          <w:szCs w:val="16"/>
          <w:color w:val="010101"/>
        </w:rPr>
        <w:t xml:space="preserve"> Lender’s Commitment. If the Commitments have terminated or expired, the Commitment Percentages shall be determined based upon the Commitments most recently in effect, giving effect to any assignments. The Commitment Percentage of each Lender on the Effective Date is set forth opposite the name of such </w:t>
      </w:r>
      <w:r>
        <w:rPr>
          <w:rFonts w:ascii="Arial" w:cs="Arial" w:eastAsia="Arial" w:hAnsi="Arial"/>
          <w:sz w:val="14"/>
          <w:szCs w:val="14"/>
          <w:b w:val="1"/>
          <w:bCs w:val="1"/>
          <w:u w:val="single" w:color="auto"/>
          <w:color w:val="0000FF"/>
        </w:rPr>
        <w:t>Revolving</w:t>
      </w:r>
      <w:r>
        <w:rPr>
          <w:rFonts w:ascii="Arial" w:cs="Arial" w:eastAsia="Arial" w:hAnsi="Arial"/>
          <w:sz w:val="16"/>
          <w:szCs w:val="16"/>
          <w:color w:val="010101"/>
        </w:rPr>
        <w:t xml:space="preserve"> Lender on Schedule I</w:t>
      </w:r>
      <w:r>
        <w:rPr>
          <w:rFonts w:ascii="Arial" w:cs="Arial" w:eastAsia="Arial" w:hAnsi="Arial"/>
          <w:sz w:val="16"/>
          <w:szCs w:val="16"/>
          <w:b w:val="1"/>
          <w:bCs w:val="1"/>
          <w:u w:val="single" w:color="auto"/>
          <w:color w:val="0000FF"/>
        </w:rPr>
        <w:t>(b)</w:t>
      </w:r>
      <w:r>
        <w:rPr>
          <w:rFonts w:ascii="Arial" w:cs="Arial" w:eastAsia="Arial" w:hAnsi="Arial"/>
          <w:sz w:val="16"/>
          <w:szCs w:val="16"/>
          <w:color w:val="010101"/>
        </w:rPr>
        <w:t>.</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Communications</w:t>
      </w:r>
      <w:r>
        <w:rPr>
          <w:rFonts w:ascii="Arial" w:cs="Arial" w:eastAsia="Arial" w:hAnsi="Arial"/>
          <w:sz w:val="16"/>
          <w:szCs w:val="16"/>
          <w:color w:val="010101"/>
        </w:rPr>
        <w:t>” has the meaning specified in Section 9.02(d)(ii).</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Commodity Exchange Act</w:t>
      </w:r>
      <w:r>
        <w:rPr>
          <w:rFonts w:ascii="Arial" w:cs="Arial" w:eastAsia="Arial" w:hAnsi="Arial"/>
          <w:sz w:val="16"/>
          <w:szCs w:val="16"/>
          <w:color w:val="010101"/>
        </w:rPr>
        <w:t>” means the Commodity Exchange Act (7 U.S.C. § 1 et seq.).</w:t>
      </w:r>
    </w:p>
    <w:p>
      <w:pPr>
        <w:spacing w:after="0" w:line="170"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Confidential Information</w:t>
      </w:r>
      <w:r>
        <w:rPr>
          <w:rFonts w:ascii="Arial" w:cs="Arial" w:eastAsia="Arial" w:hAnsi="Arial"/>
          <w:sz w:val="16"/>
          <w:szCs w:val="16"/>
          <w:color w:val="010101"/>
        </w:rPr>
        <w:t>” means information that is furnished by or on behalf of the Company to the Administrative Agent or any Lender in a writing designated as confidential, but does not include any such information that is or becomes generally available to the public or that is or becomes available to the Administrative Agent or such Lender from a source other than the Company that is not, to the best of the Administrative Agent’s or such Lender’s knowledge, acting in violation of a confidentiality agreement with or for the benefit of the Company.</w:t>
      </w:r>
    </w:p>
    <w:p>
      <w:pPr>
        <w:spacing w:after="0" w:line="149" w:lineRule="exact"/>
        <w:rPr>
          <w:sz w:val="20"/>
          <w:szCs w:val="20"/>
          <w:color w:val="auto"/>
        </w:rPr>
      </w:pPr>
    </w:p>
    <w:p>
      <w:pPr>
        <w:jc w:val="both"/>
        <w:ind w:left="20" w:right="20" w:firstLine="485"/>
        <w:spacing w:after="0" w:line="216"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Conforming Changes</w:t>
      </w:r>
      <w:r>
        <w:rPr>
          <w:rFonts w:ascii="Arial" w:cs="Arial" w:eastAsia="Arial" w:hAnsi="Arial"/>
          <w:sz w:val="16"/>
          <w:szCs w:val="16"/>
          <w:color w:val="010101"/>
        </w:rPr>
        <w:t xml:space="preserve"> ”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6"/>
          <w:szCs w:val="16"/>
          <w:u w:val="single" w:color="auto"/>
          <w:color w:val="010101"/>
        </w:rPr>
        <w:t>Section 2.20</w:t>
      </w:r>
      <w:r>
        <w:rPr>
          <w:rFonts w:ascii="Arial" w:cs="Arial" w:eastAsia="Arial" w:hAnsi="Arial"/>
          <w:sz w:val="16"/>
          <w:szCs w:val="16"/>
          <w:color w:val="010101"/>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43"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Connection Income Taxes</w:t>
      </w:r>
      <w:r>
        <w:rPr>
          <w:rFonts w:ascii="Arial" w:cs="Arial" w:eastAsia="Arial" w:hAnsi="Arial"/>
          <w:sz w:val="16"/>
          <w:szCs w:val="16"/>
          <w:color w:val="010101"/>
        </w:rPr>
        <w:t>” means Other Connection Taxes that are imposed on or measured by net income (however denominated) or that are franchise Taxes or branch profits Taxes.</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Consenting Lender</w:t>
      </w:r>
      <w:r>
        <w:rPr>
          <w:rFonts w:ascii="Arial" w:cs="Arial" w:eastAsia="Arial" w:hAnsi="Arial"/>
          <w:sz w:val="16"/>
          <w:szCs w:val="16"/>
          <w:color w:val="010101"/>
        </w:rPr>
        <w:t>” has the meaning specified in Section 2.17(b). “</w:t>
      </w:r>
      <w:r>
        <w:rPr>
          <w:rFonts w:ascii="Arial" w:cs="Arial" w:eastAsia="Arial" w:hAnsi="Arial"/>
          <w:sz w:val="16"/>
          <w:szCs w:val="16"/>
          <w:u w:val="single" w:color="auto"/>
          <w:color w:val="010101"/>
        </w:rPr>
        <w:t>Consolidated</w:t>
      </w:r>
      <w:r>
        <w:rPr>
          <w:rFonts w:ascii="Arial" w:cs="Arial" w:eastAsia="Arial" w:hAnsi="Arial"/>
          <w:sz w:val="16"/>
          <w:szCs w:val="16"/>
          <w:color w:val="010101"/>
        </w:rPr>
        <w:t>” refers to the consolidation of accounts in accordance with GAAP.</w:t>
      </w:r>
    </w:p>
    <w:p>
      <w:pPr>
        <w:spacing w:after="0" w:line="79" w:lineRule="exact"/>
        <w:rPr>
          <w:sz w:val="20"/>
          <w:szCs w:val="20"/>
          <w:color w:val="auto"/>
        </w:rPr>
      </w:pPr>
    </w:p>
    <w:p>
      <w:pPr>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Consolidated Assets</w:t>
      </w:r>
      <w:r>
        <w:rPr>
          <w:rFonts w:ascii="Arial" w:cs="Arial" w:eastAsia="Arial" w:hAnsi="Arial"/>
          <w:sz w:val="16"/>
          <w:szCs w:val="16"/>
          <w:color w:val="010101"/>
        </w:rPr>
        <w:t xml:space="preserve"> ” means, as of any date of determination, the total consolidated assets of the Company and its Subsidiaries at such date, as determined in accordance with GAAP on a Consolidated basis.</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72" w:name="page73"/>
    <w:bookmarkEnd w:id="72"/>
    <w:p>
      <w:pPr>
        <w:jc w:val="both"/>
        <w:ind w:left="20" w:firstLine="485"/>
        <w:spacing w:after="0" w:line="21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Consolidated Debt</w:t>
      </w:r>
      <w:r>
        <w:rPr>
          <w:rFonts w:ascii="Arial" w:cs="Arial" w:eastAsia="Arial" w:hAnsi="Arial"/>
          <w:sz w:val="16"/>
          <w:szCs w:val="16"/>
          <w:color w:val="010101"/>
        </w:rPr>
        <w:t>” means, as of any date of determination, the aggregate principal amount of Debt of the Company and its Subsidiaries outstanding as of such date, in the amount that would be required to be reflected on a balance sheet prepared as of such date on a Consolidated basis in accordance with GAAP. Notwithstanding anything to the contrary herein, Consolidated Debt will exclude (a) any Debt (“</w:t>
      </w:r>
      <w:r>
        <w:rPr>
          <w:rFonts w:ascii="Arial" w:cs="Arial" w:eastAsia="Arial" w:hAnsi="Arial"/>
          <w:sz w:val="16"/>
          <w:szCs w:val="16"/>
          <w:u w:val="single" w:color="auto"/>
          <w:color w:val="010101"/>
        </w:rPr>
        <w:t>Refinanced Debt</w:t>
      </w:r>
      <w:r>
        <w:rPr>
          <w:rFonts w:ascii="Arial" w:cs="Arial" w:eastAsia="Arial" w:hAnsi="Arial"/>
          <w:sz w:val="16"/>
          <w:szCs w:val="16"/>
          <w:color w:val="010101"/>
        </w:rPr>
        <w:t>”) outstanding on any determination date which is to be refinanced pursuant to a refinancing permitted under this Agreement with the proceeds (the “</w:t>
      </w:r>
      <w:r>
        <w:rPr>
          <w:rFonts w:ascii="Arial" w:cs="Arial" w:eastAsia="Arial" w:hAnsi="Arial"/>
          <w:sz w:val="16"/>
          <w:szCs w:val="16"/>
          <w:u w:val="single" w:color="auto"/>
          <w:color w:val="010101"/>
        </w:rPr>
        <w:t>Refinancing Proceeds</w:t>
      </w:r>
      <w:r>
        <w:rPr>
          <w:rFonts w:ascii="Arial" w:cs="Arial" w:eastAsia="Arial" w:hAnsi="Arial"/>
          <w:sz w:val="16"/>
          <w:szCs w:val="16"/>
          <w:color w:val="010101"/>
        </w:rPr>
        <w:t xml:space="preserve">”) of previously incurred refinancing Debt that is included in Consolidated Debt on such date (and such Refinancing Proceeds shall not be included as unrestricted cash for purposes of this Agreement);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 notice of redemption of, or an offer to purchase, such Refinanced Debt has been given or made (and, in the case of an offer to purchase, not withdrawn) on or prior to such date, and (b) any Debt consisting of a Floorplan Financing.</w:t>
      </w:r>
    </w:p>
    <w:p>
      <w:pPr>
        <w:spacing w:after="0" w:line="148" w:lineRule="exact"/>
        <w:rPr>
          <w:sz w:val="20"/>
          <w:szCs w:val="20"/>
          <w:color w:val="auto"/>
        </w:rPr>
      </w:pPr>
    </w:p>
    <w:p>
      <w:pPr>
        <w:jc w:val="both"/>
        <w:ind w:left="20" w:right="40" w:firstLine="485"/>
        <w:spacing w:after="0" w:line="213"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Consolidated EBITDA</w:t>
      </w:r>
      <w:r>
        <w:rPr>
          <w:rFonts w:ascii="Arial" w:cs="Arial" w:eastAsia="Arial" w:hAnsi="Arial"/>
          <w:sz w:val="16"/>
          <w:szCs w:val="16"/>
          <w:color w:val="010101"/>
        </w:rPr>
        <w:t>” means, as of any date of determination, calculated on a Pro Forma Basis for the most recent four consecutive fiscal quarter period ending on or prior to such date, without duplication, (</w:t>
      </w:r>
      <w:r>
        <w:rPr>
          <w:rFonts w:ascii="Arial" w:cs="Arial" w:eastAsia="Arial" w:hAnsi="Arial"/>
          <w:sz w:val="16"/>
          <w:szCs w:val="16"/>
          <w:color w:val="FF0000"/>
          <w:strike w:val="1"/>
        </w:rPr>
        <w:t>a</w:t>
      </w:r>
      <w:r>
        <w:rPr>
          <w:rFonts w:ascii="Arial" w:cs="Arial" w:eastAsia="Arial" w:hAnsi="Arial"/>
          <w:sz w:val="16"/>
          <w:szCs w:val="16"/>
          <w:b w:val="1"/>
          <w:bCs w:val="1"/>
          <w:u w:val="single" w:color="auto"/>
          <w:color w:val="0000FF"/>
        </w:rPr>
        <w:t>a</w:t>
      </w:r>
      <w:r>
        <w:rPr>
          <w:rFonts w:ascii="Arial" w:cs="Arial" w:eastAsia="Arial" w:hAnsi="Arial"/>
          <w:sz w:val="16"/>
          <w:szCs w:val="16"/>
          <w:color w:val="010101"/>
        </w:rPr>
        <w:t xml:space="preserve">) Consolidated Net Income for such period </w:t>
      </w:r>
      <w:r>
        <w:rPr>
          <w:rFonts w:ascii="Arial" w:cs="Arial" w:eastAsia="Arial" w:hAnsi="Arial"/>
          <w:sz w:val="16"/>
          <w:szCs w:val="16"/>
          <w:u w:val="single" w:color="auto"/>
          <w:color w:val="010101"/>
        </w:rPr>
        <w:t>plus</w:t>
      </w:r>
      <w:r>
        <w:rPr>
          <w:rFonts w:ascii="Arial" w:cs="Arial" w:eastAsia="Arial" w:hAnsi="Arial"/>
          <w:sz w:val="16"/>
          <w:szCs w:val="16"/>
          <w:color w:val="010101"/>
        </w:rPr>
        <w:t xml:space="preserve"> (</w:t>
      </w:r>
      <w:r>
        <w:rPr>
          <w:rFonts w:ascii="Arial" w:cs="Arial" w:eastAsia="Arial" w:hAnsi="Arial"/>
          <w:sz w:val="16"/>
          <w:szCs w:val="16"/>
          <w:color w:val="FF0000"/>
          <w:strike w:val="1"/>
        </w:rPr>
        <w:t>b</w:t>
      </w:r>
      <w:r>
        <w:rPr>
          <w:rFonts w:ascii="Arial" w:cs="Arial" w:eastAsia="Arial" w:hAnsi="Arial"/>
          <w:sz w:val="16"/>
          <w:szCs w:val="16"/>
          <w:b w:val="1"/>
          <w:bCs w:val="1"/>
          <w:u w:val="single" w:color="auto"/>
          <w:color w:val="0000FF"/>
        </w:rPr>
        <w:t>b</w:t>
      </w:r>
      <w:r>
        <w:rPr>
          <w:rFonts w:ascii="Arial" w:cs="Arial" w:eastAsia="Arial" w:hAnsi="Arial"/>
          <w:sz w:val="16"/>
          <w:szCs w:val="16"/>
          <w:color w:val="010101"/>
        </w:rPr>
        <w:t>) the sum of the following to the extent deducted in calculating Consolidated Net Income for such period: (</w:t>
      </w:r>
      <w:r>
        <w:rPr>
          <w:rFonts w:ascii="Arial" w:cs="Arial" w:eastAsia="Arial" w:hAnsi="Arial"/>
          <w:sz w:val="16"/>
          <w:szCs w:val="16"/>
          <w:color w:val="FF0000"/>
        </w:rPr>
        <w:t>i</w:t>
      </w:r>
      <w:r>
        <w:rPr>
          <w:rFonts w:ascii="Arial" w:cs="Arial" w:eastAsia="Arial" w:hAnsi="Arial"/>
          <w:sz w:val="16"/>
          <w:szCs w:val="16"/>
          <w:b w:val="1"/>
          <w:bCs w:val="1"/>
          <w:color w:val="0000FF"/>
        </w:rPr>
        <w:t>i</w:t>
      </w:r>
      <w:r>
        <w:rPr>
          <w:rFonts w:ascii="Arial" w:cs="Arial" w:eastAsia="Arial" w:hAnsi="Arial"/>
          <w:sz w:val="16"/>
          <w:szCs w:val="16"/>
          <w:color w:val="010101"/>
        </w:rPr>
        <w:t>) Consolidated Interest Expense of the Company and its Subsidiaries for such period, (</w:t>
      </w:r>
      <w:r>
        <w:rPr>
          <w:rFonts w:ascii="Arial" w:cs="Arial" w:eastAsia="Arial" w:hAnsi="Arial"/>
          <w:sz w:val="16"/>
          <w:szCs w:val="16"/>
          <w:color w:val="FF0000"/>
          <w:strike w:val="1"/>
        </w:rPr>
        <w:t>ii</w:t>
      </w:r>
      <w:r>
        <w:rPr>
          <w:rFonts w:ascii="Arial" w:cs="Arial" w:eastAsia="Arial" w:hAnsi="Arial"/>
          <w:sz w:val="16"/>
          <w:szCs w:val="16"/>
          <w:b w:val="1"/>
          <w:bCs w:val="1"/>
          <w:u w:val="single" w:color="auto"/>
          <w:color w:val="0000FF"/>
        </w:rPr>
        <w:t>ii</w:t>
      </w:r>
      <w:r>
        <w:rPr>
          <w:rFonts w:ascii="Arial" w:cs="Arial" w:eastAsia="Arial" w:hAnsi="Arial"/>
          <w:sz w:val="16"/>
          <w:szCs w:val="16"/>
          <w:color w:val="010101"/>
        </w:rPr>
        <w:t>) consolidated tax expense (including, without limitation, any federal, state, local and foreign income and similar taxes) of the Company and its Subsidiaries for such period, (</w:t>
      </w:r>
      <w:r>
        <w:rPr>
          <w:rFonts w:ascii="Arial" w:cs="Arial" w:eastAsia="Arial" w:hAnsi="Arial"/>
          <w:sz w:val="16"/>
          <w:szCs w:val="16"/>
          <w:color w:val="FF0000"/>
          <w:strike w:val="1"/>
        </w:rPr>
        <w:t>iii</w:t>
      </w:r>
      <w:r>
        <w:rPr>
          <w:rFonts w:ascii="Arial" w:cs="Arial" w:eastAsia="Arial" w:hAnsi="Arial"/>
          <w:sz w:val="16"/>
          <w:szCs w:val="16"/>
          <w:b w:val="1"/>
          <w:bCs w:val="1"/>
          <w:u w:val="single" w:color="auto"/>
          <w:color w:val="0000FF"/>
        </w:rPr>
        <w:t>iii</w:t>
      </w:r>
      <w:r>
        <w:rPr>
          <w:rFonts w:ascii="Arial" w:cs="Arial" w:eastAsia="Arial" w:hAnsi="Arial"/>
          <w:sz w:val="16"/>
          <w:szCs w:val="16"/>
          <w:color w:val="010101"/>
        </w:rPr>
        <w:t>) depreciation and amortization expense of the Company and its Subsidiaries for such period, (</w:t>
      </w:r>
      <w:r>
        <w:rPr>
          <w:rFonts w:ascii="Arial" w:cs="Arial" w:eastAsia="Arial" w:hAnsi="Arial"/>
          <w:sz w:val="16"/>
          <w:szCs w:val="16"/>
          <w:color w:val="FF0000"/>
          <w:strike w:val="1"/>
        </w:rPr>
        <w:t>iv</w:t>
      </w:r>
      <w:r>
        <w:rPr>
          <w:rFonts w:ascii="Arial" w:cs="Arial" w:eastAsia="Arial" w:hAnsi="Arial"/>
          <w:sz w:val="16"/>
          <w:szCs w:val="16"/>
          <w:b w:val="1"/>
          <w:bCs w:val="1"/>
          <w:u w:val="single" w:color="auto"/>
          <w:color w:val="0000FF"/>
        </w:rPr>
        <w:t>iv</w:t>
      </w:r>
      <w:r>
        <w:rPr>
          <w:rFonts w:ascii="Arial" w:cs="Arial" w:eastAsia="Arial" w:hAnsi="Arial"/>
          <w:sz w:val="16"/>
          <w:szCs w:val="16"/>
          <w:color w:val="010101"/>
        </w:rPr>
        <w:t>) any extraordinary losses or charges of the Company and its Subsidiaries for such period,</w:t>
      </w:r>
    </w:p>
    <w:p>
      <w:pPr>
        <w:spacing w:after="0" w:line="4" w:lineRule="exact"/>
        <w:rPr>
          <w:sz w:val="20"/>
          <w:szCs w:val="20"/>
          <w:color w:val="auto"/>
        </w:rPr>
      </w:pPr>
    </w:p>
    <w:p>
      <w:pPr>
        <w:jc w:val="both"/>
        <w:ind w:left="20" w:firstLine="2"/>
        <w:spacing w:after="0" w:line="241" w:lineRule="auto"/>
        <w:tabs>
          <w:tab w:leader="none" w:pos="251" w:val="left"/>
        </w:tabs>
        <w:numPr>
          <w:ilvl w:val="0"/>
          <w:numId w:val="26"/>
        </w:numPr>
        <w:rPr>
          <w:rFonts w:ascii="Arial" w:cs="Arial" w:eastAsia="Arial" w:hAnsi="Arial"/>
          <w:sz w:val="14"/>
          <w:szCs w:val="14"/>
          <w:color w:val="010101"/>
        </w:rPr>
      </w:pPr>
      <w:r>
        <w:rPr>
          <w:rFonts w:ascii="Arial" w:cs="Arial" w:eastAsia="Arial" w:hAnsi="Arial"/>
          <w:sz w:val="14"/>
          <w:szCs w:val="14"/>
          <w:color w:val="010101"/>
        </w:rPr>
        <w:t xml:space="preserve">non-cash charges of the Company and its Subsidiaries for such period (excluding pension plan credits and any pension charges), (vi) non-recurring losses, expenses or charges of the Company and its Subsidiaries for such period, (vii) losses attributable to the early extinguishment of Debt of the Company and its Subsidiaries for such period, (viii) any unrealized losses of the Company and its Subsidiaries for such period attributable to the application of “mark to market” accounting in respect of marketable equity securities and hedging agreements, (ix) losses of the Company and its Subsidiaries from the sale or exchange of assets and (x) the cumulative effect for such period of a change in accounting principles, </w:t>
      </w:r>
      <w:r>
        <w:rPr>
          <w:rFonts w:ascii="Arial" w:cs="Arial" w:eastAsia="Arial" w:hAnsi="Arial"/>
          <w:sz w:val="14"/>
          <w:szCs w:val="14"/>
          <w:u w:val="single" w:color="auto"/>
          <w:color w:val="010101"/>
        </w:rPr>
        <w:t>minus</w:t>
      </w:r>
      <w:r>
        <w:rPr>
          <w:rFonts w:ascii="Arial" w:cs="Arial" w:eastAsia="Arial" w:hAnsi="Arial"/>
          <w:sz w:val="14"/>
          <w:szCs w:val="14"/>
          <w:color w:val="010101"/>
        </w:rPr>
        <w:t xml:space="preserve"> (</w:t>
      </w:r>
      <w:r>
        <w:rPr>
          <w:rFonts w:ascii="Arial" w:cs="Arial" w:eastAsia="Arial" w:hAnsi="Arial"/>
          <w:sz w:val="14"/>
          <w:szCs w:val="14"/>
          <w:color w:val="FF0000"/>
          <w:strike w:val="1"/>
        </w:rPr>
        <w:t>c</w:t>
      </w:r>
      <w:r>
        <w:rPr>
          <w:rFonts w:ascii="Arial" w:cs="Arial" w:eastAsia="Arial" w:hAnsi="Arial"/>
          <w:sz w:val="14"/>
          <w:szCs w:val="14"/>
          <w:b w:val="1"/>
          <w:bCs w:val="1"/>
          <w:u w:val="single" w:color="auto"/>
          <w:color w:val="0000FF"/>
        </w:rPr>
        <w:t>c</w:t>
      </w:r>
      <w:r>
        <w:rPr>
          <w:rFonts w:ascii="Arial" w:cs="Arial" w:eastAsia="Arial" w:hAnsi="Arial"/>
          <w:sz w:val="14"/>
          <w:szCs w:val="14"/>
          <w:color w:val="010101"/>
        </w:rPr>
        <w:t>) the sum of the following to the extent included in calculating Consolidated Net Income for such period: (i) non-cash charges of the Company and its Subsidiaries for such period previously added back in determining Consolidated EBITDA to the extent such non-cash charges have become cash charges during such period, (ii) any extraordinary gains of the Company and its Subsidiaries for such period, (iii) any non-recurring gains of the Company and its Subsidiaries for such period (including, without limitation, (A) gains from the sale or exchange of assets, (B) gains from early extinguishment of Debt of the Company and its Subsidiaries and (C) income received from joint venture investments to the extent not received in cash of the Company and its Subsidiaries for such period, but excluding pension plan credits and any pension charges), (iv) interest income of the Company and its Subsidiaries for such period,</w:t>
      </w:r>
    </w:p>
    <w:p>
      <w:pPr>
        <w:ind w:left="20" w:right="40" w:firstLine="2"/>
        <w:spacing w:after="0" w:line="230" w:lineRule="auto"/>
        <w:tabs>
          <w:tab w:leader="none" w:pos="424" w:val="left"/>
        </w:tabs>
        <w:numPr>
          <w:ilvl w:val="0"/>
          <w:numId w:val="27"/>
        </w:numPr>
        <w:rPr>
          <w:rFonts w:ascii="Arial" w:cs="Arial" w:eastAsia="Arial" w:hAnsi="Arial"/>
          <w:sz w:val="16"/>
          <w:szCs w:val="16"/>
          <w:color w:val="010101"/>
        </w:rPr>
      </w:pPr>
      <w:r>
        <w:rPr>
          <w:rFonts w:ascii="Arial" w:cs="Arial" w:eastAsia="Arial" w:hAnsi="Arial"/>
          <w:sz w:val="16"/>
          <w:szCs w:val="16"/>
          <w:color w:val="010101"/>
        </w:rPr>
        <w:t>any unrealized gains of the Company and its Subsidiaries for such period attributable to the application of “mark to market” accounting in respect of marketable equity securities and hedging agreements and (vi) the cumulative effect for such period of a change in accounting principles.</w:t>
      </w:r>
    </w:p>
    <w:p>
      <w:pPr>
        <w:spacing w:after="0" w:line="145" w:lineRule="exact"/>
        <w:rPr>
          <w:sz w:val="20"/>
          <w:szCs w:val="20"/>
          <w:color w:val="auto"/>
        </w:rPr>
      </w:pPr>
    </w:p>
    <w:p>
      <w:pPr>
        <w:ind w:left="20" w:right="40" w:firstLine="485"/>
        <w:spacing w:after="0" w:line="244"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Consolidated Interest Coverage Ratio</w:t>
      </w:r>
      <w:r>
        <w:rPr>
          <w:rFonts w:ascii="Arial" w:cs="Arial" w:eastAsia="Arial" w:hAnsi="Arial"/>
          <w:sz w:val="16"/>
          <w:szCs w:val="16"/>
          <w:color w:val="010101"/>
        </w:rPr>
        <w:t>” means, as of any date of determination, for the Company and its Subsidiaries on a Consolidated basis, the ratio of (</w:t>
      </w:r>
      <w:r>
        <w:rPr>
          <w:rFonts w:ascii="Arial" w:cs="Arial" w:eastAsia="Arial" w:hAnsi="Arial"/>
          <w:sz w:val="16"/>
          <w:szCs w:val="16"/>
          <w:color w:val="FF0000"/>
          <w:strike w:val="1"/>
        </w:rPr>
        <w:t>a</w:t>
      </w:r>
      <w:r>
        <w:rPr>
          <w:rFonts w:ascii="Arial" w:cs="Arial" w:eastAsia="Arial" w:hAnsi="Arial"/>
          <w:sz w:val="16"/>
          <w:szCs w:val="16"/>
          <w:b w:val="1"/>
          <w:bCs w:val="1"/>
          <w:u w:val="single" w:color="auto"/>
          <w:color w:val="0000FF"/>
        </w:rPr>
        <w:t>a</w:t>
      </w:r>
      <w:r>
        <w:rPr>
          <w:rFonts w:ascii="Arial" w:cs="Arial" w:eastAsia="Arial" w:hAnsi="Arial"/>
          <w:sz w:val="16"/>
          <w:szCs w:val="16"/>
          <w:color w:val="010101"/>
        </w:rPr>
        <w:t>) Consolidated EBITDA</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083" w:right="479" w:bottom="1440" w:gutter="0" w:footer="0" w:header="0"/>
        </w:sectPr>
      </w:pPr>
    </w:p>
    <w:bookmarkStart w:id="73" w:name="page74"/>
    <w:bookmarkEnd w:id="73"/>
    <w:p>
      <w:pPr>
        <w:jc w:val="both"/>
        <w:ind w:left="20"/>
        <w:spacing w:after="0" w:line="244" w:lineRule="auto"/>
        <w:rPr>
          <w:sz w:val="20"/>
          <w:szCs w:val="20"/>
          <w:color w:val="auto"/>
        </w:rPr>
      </w:pPr>
      <w:r>
        <w:rPr>
          <w:rFonts w:ascii="Arial" w:cs="Arial" w:eastAsia="Arial" w:hAnsi="Arial"/>
          <w:sz w:val="16"/>
          <w:szCs w:val="16"/>
          <w:color w:val="010101"/>
        </w:rPr>
        <w:t>for the most recent four consecutive fiscal quarter period ending on or prior to such date, to (</w:t>
      </w:r>
      <w:r>
        <w:rPr>
          <w:rFonts w:ascii="Arial" w:cs="Arial" w:eastAsia="Arial" w:hAnsi="Arial"/>
          <w:sz w:val="16"/>
          <w:szCs w:val="16"/>
          <w:color w:val="FF0000"/>
          <w:strike w:val="1"/>
        </w:rPr>
        <w:t>b</w:t>
      </w:r>
      <w:r>
        <w:rPr>
          <w:rFonts w:ascii="Arial" w:cs="Arial" w:eastAsia="Arial" w:hAnsi="Arial"/>
          <w:sz w:val="16"/>
          <w:szCs w:val="16"/>
          <w:b w:val="1"/>
          <w:bCs w:val="1"/>
          <w:u w:val="single" w:color="auto"/>
          <w:color w:val="0000FF"/>
        </w:rPr>
        <w:t>b</w:t>
      </w:r>
      <w:r>
        <w:rPr>
          <w:rFonts w:ascii="Arial" w:cs="Arial" w:eastAsia="Arial" w:hAnsi="Arial"/>
          <w:sz w:val="16"/>
          <w:szCs w:val="16"/>
          <w:color w:val="010101"/>
        </w:rPr>
        <w:t>) Consolidated Interest Expense for the most recent four consecutive fiscal quarter period ending on or prior to such date.</w:t>
      </w:r>
    </w:p>
    <w:p>
      <w:pPr>
        <w:spacing w:after="0" w:line="145" w:lineRule="exact"/>
        <w:rPr>
          <w:sz w:val="20"/>
          <w:szCs w:val="20"/>
          <w:color w:val="auto"/>
        </w:rPr>
      </w:pPr>
    </w:p>
    <w:p>
      <w:pPr>
        <w:jc w:val="both"/>
        <w:ind w:lef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Consolidated Interest Expense</w:t>
      </w:r>
      <w:r>
        <w:rPr>
          <w:rFonts w:ascii="Arial" w:cs="Arial" w:eastAsia="Arial" w:hAnsi="Arial"/>
          <w:sz w:val="16"/>
          <w:szCs w:val="16"/>
          <w:color w:val="010101"/>
        </w:rPr>
        <w:t>” means, as of any date of determination, for the Company and its Subsidiaries on a Consolidated basis and for the most recent four consecutive fiscal quarter period ending on or prior to such date, all interest expense paid or payable in cash (excluding interest expense related to changes in the valuation of any noncontrolling interests, amortization of debt discount and premium and financing fees and expenses, but including the cash interest component under capital leases and synthetic leases).</w:t>
      </w:r>
    </w:p>
    <w:p>
      <w:pPr>
        <w:spacing w:after="0" w:line="149"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Consolidated Net Income</w:t>
      </w:r>
      <w:r>
        <w:rPr>
          <w:rFonts w:ascii="Arial" w:cs="Arial" w:eastAsia="Arial" w:hAnsi="Arial"/>
          <w:sz w:val="16"/>
          <w:szCs w:val="16"/>
          <w:color w:val="010101"/>
        </w:rPr>
        <w:t>” means, as of any date of determination for the most recent four consecutive fiscal quarter period ending on or prior to such date, the net income of the Company and its Subsidiaries on a Consolidated basis for such period, all as determined in accordance with GAAP.</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Convert</w:t>
      </w:r>
      <w:r>
        <w:rPr>
          <w:rFonts w:ascii="Arial" w:cs="Arial" w:eastAsia="Arial" w:hAnsi="Arial"/>
          <w:sz w:val="16"/>
          <w:szCs w:val="16"/>
          <w:color w:val="010101"/>
        </w:rPr>
        <w:t>”, “</w:t>
      </w:r>
      <w:r>
        <w:rPr>
          <w:rFonts w:ascii="Arial" w:cs="Arial" w:eastAsia="Arial" w:hAnsi="Arial"/>
          <w:sz w:val="16"/>
          <w:szCs w:val="16"/>
          <w:u w:val="single" w:color="auto"/>
          <w:color w:val="010101"/>
        </w:rPr>
        <w:t>Conversion</w:t>
      </w:r>
      <w:r>
        <w:rPr>
          <w:rFonts w:ascii="Arial" w:cs="Arial" w:eastAsia="Arial" w:hAnsi="Arial"/>
          <w:sz w:val="16"/>
          <w:szCs w:val="16"/>
          <w:color w:val="010101"/>
        </w:rPr>
        <w:t>” and “</w:t>
      </w:r>
      <w:r>
        <w:rPr>
          <w:rFonts w:ascii="Arial" w:cs="Arial" w:eastAsia="Arial" w:hAnsi="Arial"/>
          <w:sz w:val="16"/>
          <w:szCs w:val="16"/>
          <w:u w:val="single" w:color="auto"/>
          <w:color w:val="010101"/>
        </w:rPr>
        <w:t>Converted</w:t>
      </w:r>
      <w:r>
        <w:rPr>
          <w:rFonts w:ascii="Arial" w:cs="Arial" w:eastAsia="Arial" w:hAnsi="Arial"/>
          <w:sz w:val="16"/>
          <w:szCs w:val="16"/>
          <w:color w:val="010101"/>
        </w:rPr>
        <w:t>” each refers to a conversion of Advances of one Type into Advances of the other Type pursuant to Section 2.09.</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Covered Entity</w:t>
      </w:r>
      <w:r>
        <w:rPr>
          <w:rFonts w:ascii="Arial" w:cs="Arial" w:eastAsia="Arial" w:hAnsi="Arial"/>
          <w:sz w:val="16"/>
          <w:szCs w:val="16"/>
          <w:color w:val="010101"/>
        </w:rPr>
        <w:t>” has the meaning specified in Section 9.20(b). “</w:t>
      </w:r>
      <w:r>
        <w:rPr>
          <w:rFonts w:ascii="Arial" w:cs="Arial" w:eastAsia="Arial" w:hAnsi="Arial"/>
          <w:sz w:val="16"/>
          <w:szCs w:val="16"/>
          <w:u w:val="single" w:color="auto"/>
          <w:color w:val="010101"/>
        </w:rPr>
        <w:t>Covered Party</w:t>
      </w:r>
      <w:r>
        <w:rPr>
          <w:rFonts w:ascii="Arial" w:cs="Arial" w:eastAsia="Arial" w:hAnsi="Arial"/>
          <w:sz w:val="16"/>
          <w:szCs w:val="16"/>
          <w:color w:val="010101"/>
        </w:rPr>
        <w:t>” has the meaning specified in Section 9.20(b).</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Credit Parties</w:t>
      </w:r>
      <w:r>
        <w:rPr>
          <w:rFonts w:ascii="Arial" w:cs="Arial" w:eastAsia="Arial" w:hAnsi="Arial"/>
          <w:sz w:val="16"/>
          <w:szCs w:val="16"/>
          <w:color w:val="010101"/>
        </w:rPr>
        <w:t>” means, collectively, the Borrowers and the Guarantors.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Currencies</w:t>
      </w:r>
      <w:r>
        <w:rPr>
          <w:rFonts w:ascii="Arial" w:cs="Arial" w:eastAsia="Arial" w:hAnsi="Arial"/>
          <w:sz w:val="16"/>
          <w:szCs w:val="16"/>
          <w:color w:val="010101"/>
        </w:rPr>
        <w:t>” means US Dollars and each Foreign Currency, and “</w:t>
      </w:r>
      <w:r>
        <w:rPr>
          <w:rFonts w:ascii="Arial" w:cs="Arial" w:eastAsia="Arial" w:hAnsi="Arial"/>
          <w:sz w:val="16"/>
          <w:szCs w:val="16"/>
          <w:u w:val="single" w:color="auto"/>
          <w:color w:val="010101"/>
        </w:rPr>
        <w:t>Currency</w:t>
      </w:r>
      <w:r>
        <w:rPr>
          <w:rFonts w:ascii="Arial" w:cs="Arial" w:eastAsia="Arial" w:hAnsi="Arial"/>
          <w:sz w:val="16"/>
          <w:szCs w:val="16"/>
          <w:color w:val="010101"/>
        </w:rPr>
        <w:t>” means any of such Currencies.</w:t>
      </w:r>
    </w:p>
    <w:p>
      <w:pPr>
        <w:spacing w:after="0" w:line="160" w:lineRule="exact"/>
        <w:rPr>
          <w:sz w:val="20"/>
          <w:szCs w:val="20"/>
          <w:color w:val="auto"/>
        </w:rPr>
      </w:pPr>
    </w:p>
    <w:p>
      <w:pPr>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Daily Simple RFR</w:t>
      </w:r>
      <w:r>
        <w:rPr>
          <w:rFonts w:ascii="Arial" w:cs="Arial" w:eastAsia="Arial" w:hAnsi="Arial"/>
          <w:sz w:val="16"/>
          <w:szCs w:val="16"/>
          <w:color w:val="010101"/>
        </w:rPr>
        <w:t>” means, for any RFR Rate Day, a rate per annum equal to, for any Borrower Obligations, interest, fees, commissions or other amounts denominated in, or calculated with respect to:</w:t>
      </w:r>
    </w:p>
    <w:p>
      <w:pPr>
        <w:spacing w:after="0" w:line="149" w:lineRule="exact"/>
        <w:rPr>
          <w:sz w:val="20"/>
          <w:szCs w:val="20"/>
          <w:color w:val="auto"/>
        </w:rPr>
      </w:pPr>
    </w:p>
    <w:p>
      <w:pPr>
        <w:ind w:left="920" w:hanging="413"/>
        <w:spacing w:after="0"/>
        <w:tabs>
          <w:tab w:leader="none" w:pos="920" w:val="left"/>
        </w:tabs>
        <w:numPr>
          <w:ilvl w:val="1"/>
          <w:numId w:val="28"/>
        </w:numPr>
        <w:rPr>
          <w:rFonts w:ascii="Arial" w:cs="Arial" w:eastAsia="Arial" w:hAnsi="Arial"/>
          <w:sz w:val="15"/>
          <w:szCs w:val="15"/>
          <w:color w:val="auto"/>
        </w:rPr>
      </w:pPr>
      <w:r>
        <w:rPr>
          <w:rFonts w:ascii="Arial" w:cs="Arial" w:eastAsia="Arial" w:hAnsi="Arial"/>
          <w:sz w:val="15"/>
          <w:szCs w:val="15"/>
          <w:color w:val="010101"/>
        </w:rPr>
        <w:t>Singapore Dollars, the greater of (i) SORA for the day (such day, a “</w:t>
      </w:r>
      <w:r>
        <w:rPr>
          <w:rFonts w:ascii="Arial" w:cs="Arial" w:eastAsia="Arial" w:hAnsi="Arial"/>
          <w:sz w:val="15"/>
          <w:szCs w:val="15"/>
          <w:u w:val="single" w:color="auto"/>
          <w:color w:val="010101"/>
        </w:rPr>
        <w:t>Singapore Dollar RFR Determination Day</w:t>
      </w:r>
      <w:r>
        <w:rPr>
          <w:rFonts w:ascii="Arial" w:cs="Arial" w:eastAsia="Arial" w:hAnsi="Arial"/>
          <w:sz w:val="15"/>
          <w:szCs w:val="15"/>
          <w:color w:val="010101"/>
        </w:rPr>
        <w:t>”) that is five RFR Business Days prior to</w:t>
      </w:r>
    </w:p>
    <w:p>
      <w:pPr>
        <w:spacing w:after="0" w:line="3" w:lineRule="exact"/>
        <w:rPr>
          <w:rFonts w:ascii="Arial" w:cs="Arial" w:eastAsia="Arial" w:hAnsi="Arial"/>
          <w:sz w:val="15"/>
          <w:szCs w:val="15"/>
          <w:color w:val="auto"/>
        </w:rPr>
      </w:pPr>
    </w:p>
    <w:p>
      <w:pPr>
        <w:jc w:val="both"/>
        <w:ind w:left="20" w:firstLine="2"/>
        <w:spacing w:after="0" w:line="230" w:lineRule="auto"/>
        <w:tabs>
          <w:tab w:leader="none" w:pos="291" w:val="left"/>
        </w:tabs>
        <w:numPr>
          <w:ilvl w:val="0"/>
          <w:numId w:val="29"/>
        </w:numPr>
        <w:rPr>
          <w:rFonts w:ascii="Arial" w:cs="Arial" w:eastAsia="Arial" w:hAnsi="Arial"/>
          <w:sz w:val="15"/>
          <w:szCs w:val="15"/>
          <w:color w:val="010101"/>
        </w:rPr>
      </w:pPr>
      <w:r>
        <w:rPr>
          <w:rFonts w:ascii="Arial" w:cs="Arial" w:eastAsia="Arial" w:hAnsi="Arial"/>
          <w:sz w:val="15"/>
          <w:szCs w:val="15"/>
          <w:color w:val="010101"/>
        </w:rPr>
        <w:t xml:space="preserve">if such RFR Rate Day is an RFR Business Day, such RFR Rate Day or (B) if such RFR Rate Day is not an RFR Business Day, the RFR Business Day immediately preceding such RFR Rate Day, in each case, as such SORA is published by the SORA Administrator on the SORA Administrator’s Website;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if by 5:00 p.m. (Singapore time) on the second RFR Business Day immediately following any Singapore Dollar RFR Determination Day, SORA in respect of such Singapore Dollar RFR Determination Day has not been published on the SORA Administrator’s Website and a Benchmark Replacement Date with respect to the Daily Simple RFR for Singapore Dollars has not occurred, then SORA for such Singapore Dollar RFR Determination Day will be SORA as published in respect of the first preceding RFR Business Day for which such SORA was published on the SORA Administrator’s Website; </w:t>
      </w:r>
      <w:r>
        <w:rPr>
          <w:rFonts w:ascii="Arial" w:cs="Arial" w:eastAsia="Arial" w:hAnsi="Arial"/>
          <w:sz w:val="15"/>
          <w:szCs w:val="15"/>
          <w:u w:val="single" w:color="auto"/>
          <w:color w:val="010101"/>
        </w:rPr>
        <w:t>provided further</w:t>
      </w:r>
      <w:r>
        <w:rPr>
          <w:rFonts w:ascii="Arial" w:cs="Arial" w:eastAsia="Arial" w:hAnsi="Arial"/>
          <w:sz w:val="15"/>
          <w:szCs w:val="15"/>
          <w:color w:val="010101"/>
        </w:rPr>
        <w:t xml:space="preserve"> that SORA as determined pursuant to this proviso shall be utilized for purposes of calculation of Daily Simple RFR for no more than three consecutive RFR Rate Days and (ii) the Floor; and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1" w:right="519" w:bottom="1440" w:gutter="0" w:footer="0" w:header="0"/>
        </w:sectPr>
      </w:pPr>
    </w:p>
    <w:bookmarkStart w:id="74" w:name="page75"/>
    <w:bookmarkEnd w:id="74"/>
    <w:p>
      <w:pPr>
        <w:jc w:val="both"/>
        <w:ind w:left="20" w:right="20" w:firstLine="487"/>
        <w:spacing w:after="0" w:line="213" w:lineRule="auto"/>
        <w:tabs>
          <w:tab w:leader="none" w:pos="909" w:val="left"/>
        </w:tabs>
        <w:numPr>
          <w:ilvl w:val="1"/>
          <w:numId w:val="30"/>
        </w:numPr>
        <w:rPr>
          <w:rFonts w:ascii="Arial" w:cs="Arial" w:eastAsia="Arial" w:hAnsi="Arial"/>
          <w:sz w:val="16"/>
          <w:szCs w:val="16"/>
          <w:color w:val="auto"/>
        </w:rPr>
      </w:pPr>
      <w:r>
        <w:rPr>
          <w:rFonts w:ascii="Arial" w:cs="Arial" w:eastAsia="Arial" w:hAnsi="Arial"/>
          <w:sz w:val="16"/>
          <w:szCs w:val="16"/>
          <w:color w:val="010101"/>
        </w:rPr>
        <w:t>Sterling, the greater of (i) SONIA for the day (such day, a “</w:t>
      </w:r>
      <w:r>
        <w:rPr>
          <w:rFonts w:ascii="Arial" w:cs="Arial" w:eastAsia="Arial" w:hAnsi="Arial"/>
          <w:sz w:val="16"/>
          <w:szCs w:val="16"/>
          <w:u w:val="single" w:color="auto"/>
          <w:color w:val="010101"/>
        </w:rPr>
        <w:t>Sterling RFR Determination Day</w:t>
      </w:r>
      <w:r>
        <w:rPr>
          <w:rFonts w:ascii="Arial" w:cs="Arial" w:eastAsia="Arial" w:hAnsi="Arial"/>
          <w:sz w:val="16"/>
          <w:szCs w:val="16"/>
          <w:color w:val="010101"/>
        </w:rPr>
        <w:t xml:space="preserve">”)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if by 5:00 p.m. (London time) on the second (2</w:t>
      </w:r>
      <w:r>
        <w:rPr>
          <w:rFonts w:ascii="Arial" w:cs="Arial" w:eastAsia="Arial" w:hAnsi="Arial"/>
          <w:sz w:val="10"/>
          <w:szCs w:val="10"/>
          <w:color w:val="010101"/>
        </w:rPr>
        <w:t>nd</w:t>
      </w:r>
      <w:r>
        <w:rPr>
          <w:rFonts w:ascii="Arial" w:cs="Arial" w:eastAsia="Arial" w:hAnsi="Arial"/>
          <w:sz w:val="16"/>
          <w:szCs w:val="16"/>
          <w:color w:val="010101"/>
        </w:rPr>
        <w:t xml:space="preserve">)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 SONIA Administrator’s Website; </w:t>
      </w:r>
      <w:r>
        <w:rPr>
          <w:rFonts w:ascii="Arial" w:cs="Arial" w:eastAsia="Arial" w:hAnsi="Arial"/>
          <w:sz w:val="16"/>
          <w:szCs w:val="16"/>
          <w:u w:val="single" w:color="auto"/>
          <w:color w:val="010101"/>
        </w:rPr>
        <w:t>provided further</w:t>
      </w:r>
      <w:r>
        <w:rPr>
          <w:rFonts w:ascii="Arial" w:cs="Arial" w:eastAsia="Arial" w:hAnsi="Arial"/>
          <w:sz w:val="16"/>
          <w:szCs w:val="16"/>
          <w:color w:val="010101"/>
        </w:rPr>
        <w:t xml:space="preserve"> that SONIA as determined pursuant to this proviso shall be utilized for purposes of calculation of Daily Simple RFR for no more than three</w:t>
      </w:r>
    </w:p>
    <w:p>
      <w:pPr>
        <w:spacing w:after="0" w:line="1" w:lineRule="exact"/>
        <w:rPr>
          <w:rFonts w:ascii="Arial" w:cs="Arial" w:eastAsia="Arial" w:hAnsi="Arial"/>
          <w:sz w:val="16"/>
          <w:szCs w:val="16"/>
          <w:color w:val="auto"/>
        </w:rPr>
      </w:pPr>
    </w:p>
    <w:p>
      <w:pPr>
        <w:ind w:left="260" w:hanging="238"/>
        <w:spacing w:after="0"/>
        <w:tabs>
          <w:tab w:leader="none" w:pos="260" w:val="left"/>
        </w:tabs>
        <w:numPr>
          <w:ilvl w:val="0"/>
          <w:numId w:val="31"/>
        </w:numPr>
        <w:rPr>
          <w:rFonts w:ascii="Arial" w:cs="Arial" w:eastAsia="Arial" w:hAnsi="Arial"/>
          <w:sz w:val="16"/>
          <w:szCs w:val="16"/>
          <w:color w:val="010101"/>
        </w:rPr>
      </w:pPr>
      <w:r>
        <w:rPr>
          <w:rFonts w:ascii="Arial" w:cs="Arial" w:eastAsia="Arial" w:hAnsi="Arial"/>
          <w:sz w:val="16"/>
          <w:szCs w:val="16"/>
          <w:color w:val="010101"/>
        </w:rPr>
        <w:t>consecutive RFR Rate Days and (ii) the Floor.</w:t>
      </w:r>
    </w:p>
    <w:p>
      <w:pPr>
        <w:spacing w:after="0" w:line="156" w:lineRule="exact"/>
        <w:rPr>
          <w:sz w:val="20"/>
          <w:szCs w:val="20"/>
          <w:color w:val="auto"/>
        </w:rPr>
      </w:pPr>
    </w:p>
    <w:p>
      <w:pPr>
        <w:ind w:left="20" w:right="20"/>
        <w:spacing w:after="0" w:line="239" w:lineRule="auto"/>
        <w:rPr>
          <w:sz w:val="20"/>
          <w:szCs w:val="20"/>
          <w:color w:val="auto"/>
        </w:rPr>
      </w:pPr>
      <w:r>
        <w:rPr>
          <w:rFonts w:ascii="Arial" w:cs="Arial" w:eastAsia="Arial" w:hAnsi="Arial"/>
          <w:sz w:val="16"/>
          <w:szCs w:val="16"/>
          <w:color w:val="010101"/>
        </w:rPr>
        <w:t xml:space="preserve">Any change in Daily Simple RFR due to a change in the applicable RFR shall be effective from and including the effective date of such change in the RFR without notice to the </w:t>
      </w:r>
      <w:r>
        <w:rPr>
          <w:rFonts w:ascii="Arial" w:cs="Arial" w:eastAsia="Arial" w:hAnsi="Arial"/>
          <w:sz w:val="16"/>
          <w:szCs w:val="16"/>
          <w:color w:val="FF0000"/>
          <w:strike w:val="1"/>
        </w:rPr>
        <w:t>Borrower</w:t>
      </w:r>
      <w:r>
        <w:rPr>
          <w:rFonts w:ascii="Arial" w:cs="Arial" w:eastAsia="Arial" w:hAnsi="Arial"/>
          <w:sz w:val="16"/>
          <w:szCs w:val="16"/>
          <w:b w:val="1"/>
          <w:bCs w:val="1"/>
          <w:u w:val="single" w:color="auto"/>
          <w:color w:val="0000FF"/>
        </w:rPr>
        <w:t>Borrowers</w:t>
      </w:r>
      <w:r>
        <w:rPr>
          <w:rFonts w:ascii="Arial" w:cs="Arial" w:eastAsia="Arial" w:hAnsi="Arial"/>
          <w:sz w:val="16"/>
          <w:szCs w:val="16"/>
          <w:color w:val="010101"/>
        </w:rPr>
        <w:t>.</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Daily Simple RFR Advance</w:t>
      </w:r>
      <w:r>
        <w:rPr>
          <w:rFonts w:ascii="Arial" w:cs="Arial" w:eastAsia="Arial" w:hAnsi="Arial"/>
          <w:sz w:val="16"/>
          <w:szCs w:val="16"/>
          <w:color w:val="010101"/>
        </w:rPr>
        <w:t>” means an Advance that bears interest at a rate based on Daily Simple RFR.</w:t>
      </w:r>
    </w:p>
    <w:p>
      <w:pPr>
        <w:spacing w:after="0" w:line="170" w:lineRule="exact"/>
        <w:rPr>
          <w:sz w:val="20"/>
          <w:szCs w:val="20"/>
          <w:color w:val="auto"/>
        </w:rPr>
      </w:pPr>
    </w:p>
    <w:p>
      <w:pPr>
        <w:jc w:val="both"/>
        <w:ind w:left="20" w:firstLine="485"/>
        <w:spacing w:after="0" w:line="229"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Debt</w:t>
      </w:r>
      <w:r>
        <w:rPr>
          <w:rFonts w:ascii="Arial" w:cs="Arial" w:eastAsia="Arial" w:hAnsi="Arial"/>
          <w:sz w:val="15"/>
          <w:szCs w:val="15"/>
          <w:color w:val="010101"/>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subject to Section 1.03,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75" w:name="page76"/>
    <w:bookmarkEnd w:id="75"/>
    <w:p>
      <w:pPr>
        <w:ind w:left="500"/>
        <w:spacing w:after="0"/>
        <w:rPr>
          <w:sz w:val="20"/>
          <w:szCs w:val="20"/>
          <w:color w:val="auto"/>
        </w:rPr>
      </w:pPr>
      <w:r>
        <w:rPr>
          <w:rFonts w:ascii="Arial" w:cs="Arial" w:eastAsia="Arial" w:hAnsi="Arial"/>
          <w:sz w:val="16"/>
          <w:szCs w:val="16"/>
          <w:b w:val="1"/>
          <w:bCs w:val="1"/>
          <w:u w:val="single" w:color="auto"/>
          <w:color w:val="0000FF"/>
        </w:rPr>
        <w:t>“Debt Issuance” means the issuance of any Indebtedness for borrowed money by an</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Credi</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Part</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an</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f </w:t>
      </w:r>
      <w:r>
        <w:rPr>
          <w:rFonts w:ascii="Arial" w:cs="Arial" w:eastAsia="Arial" w:hAnsi="Arial"/>
          <w:sz w:val="16"/>
          <w:szCs w:val="16"/>
          <w:b w:val="1"/>
          <w:bCs w:val="1"/>
          <w:u w:val="single" w:color="auto"/>
          <w:color w:val="0000FF"/>
        </w:rPr>
        <w:t>it</w:t>
      </w:r>
      <w:r>
        <w:rPr>
          <w:rFonts w:ascii="Arial" w:cs="Arial" w:eastAsia="Arial" w:hAnsi="Arial"/>
          <w:sz w:val="16"/>
          <w:szCs w:val="16"/>
          <w:b w:val="1"/>
          <w:bCs w:val="1"/>
          <w:color w:val="0000FF"/>
        </w:rPr>
        <w:t>s Subsidiaries.</w:t>
      </w:r>
    </w:p>
    <w:p>
      <w:pPr>
        <w:spacing w:after="0" w:line="174"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Debtor Relief Laws</w:t>
      </w:r>
      <w:r>
        <w:rPr>
          <w:rFonts w:ascii="Arial" w:cs="Arial" w:eastAsia="Arial" w:hAnsi="Arial"/>
          <w:sz w:val="16"/>
          <w:szCs w:val="16"/>
          <w:color w:val="010101"/>
        </w:rPr>
        <w:t xml:space="preserve"> ” means the Bankruptcy Code, and all other laws relating to liquidation, conservatorship, bankruptcy, assignment for the benefit of creditors, moratorium, rearrangement, receivership, insolvency, reorganization, administration, deed of company arrangement, scheme of arrangement or similar debtor relief laws of the United States or other applicable jurisdictions from time to time in effect.</w:t>
      </w:r>
    </w:p>
    <w:p>
      <w:pPr>
        <w:spacing w:after="0" w:line="148" w:lineRule="exact"/>
        <w:rPr>
          <w:sz w:val="20"/>
          <w:szCs w:val="20"/>
          <w:color w:val="auto"/>
        </w:rPr>
      </w:pPr>
    </w:p>
    <w:p>
      <w:pPr>
        <w:ind w:left="500" w:right="180"/>
        <w:spacing w:after="0" w:line="338"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Default</w:t>
      </w:r>
      <w:r>
        <w:rPr>
          <w:rFonts w:ascii="Arial" w:cs="Arial" w:eastAsia="Arial" w:hAnsi="Arial"/>
          <w:sz w:val="16"/>
          <w:szCs w:val="16"/>
          <w:color w:val="010101"/>
        </w:rPr>
        <w:t>” means any Event of Default or any event that would constitute an Event of Default but for the requirement that notice be given or time elapse or both. “</w:t>
      </w:r>
      <w:r>
        <w:rPr>
          <w:rFonts w:ascii="Arial" w:cs="Arial" w:eastAsia="Arial" w:hAnsi="Arial"/>
          <w:sz w:val="16"/>
          <w:szCs w:val="16"/>
          <w:u w:val="single" w:color="auto"/>
          <w:color w:val="010101"/>
        </w:rPr>
        <w:t>Defaulting Lender</w:t>
      </w:r>
      <w:r>
        <w:rPr>
          <w:rFonts w:ascii="Arial" w:cs="Arial" w:eastAsia="Arial" w:hAnsi="Arial"/>
          <w:sz w:val="16"/>
          <w:szCs w:val="16"/>
          <w:color w:val="010101"/>
        </w:rPr>
        <w:t>” means, subject to Section 2.18(b), any Lender that (a) has failed to</w:t>
      </w:r>
    </w:p>
    <w:p>
      <w:pPr>
        <w:spacing w:after="0" w:line="1" w:lineRule="exact"/>
        <w:rPr>
          <w:sz w:val="20"/>
          <w:szCs w:val="20"/>
          <w:color w:val="auto"/>
        </w:rPr>
      </w:pPr>
    </w:p>
    <w:p>
      <w:pPr>
        <w:jc w:val="both"/>
        <w:ind w:left="20" w:firstLine="2"/>
        <w:spacing w:after="0" w:line="243" w:lineRule="auto"/>
        <w:tabs>
          <w:tab w:leader="none" w:pos="424" w:val="left"/>
        </w:tabs>
        <w:numPr>
          <w:ilvl w:val="0"/>
          <w:numId w:val="32"/>
        </w:numPr>
        <w:rPr>
          <w:rFonts w:ascii="Arial" w:cs="Arial" w:eastAsia="Arial" w:hAnsi="Arial"/>
          <w:sz w:val="14"/>
          <w:szCs w:val="14"/>
          <w:color w:val="010101"/>
        </w:rPr>
      </w:pPr>
      <w:r>
        <w:rPr>
          <w:rFonts w:ascii="Arial" w:cs="Arial" w:eastAsia="Arial" w:hAnsi="Arial"/>
          <w:sz w:val="14"/>
          <w:szCs w:val="14"/>
          <w:color w:val="010101"/>
        </w:rPr>
        <w:t>fund all or any portion of its Advances within two Business Days of the date such Advances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Issuing Lender or any Lender any other amount required to be paid by it hereunder within two Business Days of the date when due, (b) has notified the Company, the Administrative Agent or any Issuing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demonstrable error, and such Lender shall be deemed to be a Defaulting Lender (subject to Section 2.18(b)) upon delivery of written notice of such determination to the Company and each Lender.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79" w:right="499" w:bottom="1440" w:gutter="0" w:footer="0" w:header="0"/>
        </w:sectPr>
      </w:pPr>
    </w:p>
    <w:bookmarkStart w:id="76" w:name="page77"/>
    <w:bookmarkEnd w:id="76"/>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Default Interest</w:t>
      </w:r>
      <w:r>
        <w:rPr>
          <w:rFonts w:ascii="Arial" w:cs="Arial" w:eastAsia="Arial" w:hAnsi="Arial"/>
          <w:sz w:val="16"/>
          <w:szCs w:val="16"/>
          <w:color w:val="010101"/>
        </w:rPr>
        <w:t>” has the meaning specified in Section 2.07(b). “</w:t>
      </w:r>
      <w:r>
        <w:rPr>
          <w:rFonts w:ascii="Arial" w:cs="Arial" w:eastAsia="Arial" w:hAnsi="Arial"/>
          <w:sz w:val="16"/>
          <w:szCs w:val="16"/>
          <w:u w:val="single" w:color="auto"/>
          <w:color w:val="010101"/>
        </w:rPr>
        <w:t>Default Right</w:t>
      </w:r>
      <w:r>
        <w:rPr>
          <w:rFonts w:ascii="Arial" w:cs="Arial" w:eastAsia="Arial" w:hAnsi="Arial"/>
          <w:sz w:val="16"/>
          <w:szCs w:val="16"/>
          <w:color w:val="010101"/>
        </w:rPr>
        <w:t>” has the meaning specified in Section 9.20(b).</w:t>
      </w:r>
    </w:p>
    <w:p>
      <w:pPr>
        <w:spacing w:after="0" w:line="95" w:lineRule="exact"/>
        <w:rPr>
          <w:sz w:val="20"/>
          <w:szCs w:val="20"/>
          <w:color w:val="auto"/>
        </w:rPr>
      </w:pPr>
    </w:p>
    <w:p>
      <w:pPr>
        <w:jc w:val="both"/>
        <w:ind w:left="20" w:firstLine="485"/>
        <w:spacing w:after="0" w:line="223"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Dollar Equivalent</w:t>
      </w:r>
      <w:r>
        <w:rPr>
          <w:rFonts w:ascii="Arial" w:cs="Arial" w:eastAsia="Arial" w:hAnsi="Arial"/>
          <w:sz w:val="16"/>
          <w:szCs w:val="16"/>
          <w:color w:val="010101"/>
        </w:rPr>
        <w:t xml:space="preserve">” means, </w:t>
      </w:r>
      <w:r>
        <w:rPr>
          <w:rFonts w:ascii="Arial" w:cs="Arial" w:eastAsia="Arial" w:hAnsi="Arial"/>
          <w:sz w:val="16"/>
          <w:szCs w:val="16"/>
          <w:color w:val="FF0000"/>
          <w:strike w:val="1"/>
        </w:rPr>
        <w:t>at</w:t>
      </w:r>
      <w:r>
        <w:rPr>
          <w:rFonts w:ascii="Arial" w:cs="Arial" w:eastAsia="Arial" w:hAnsi="Arial"/>
          <w:sz w:val="16"/>
          <w:szCs w:val="16"/>
          <w:b w:val="1"/>
          <w:bCs w:val="1"/>
          <w:u w:val="single" w:color="auto"/>
          <w:color w:val="0000FF"/>
        </w:rPr>
        <w:t>subjec</w:t>
      </w:r>
      <w:r>
        <w:rPr>
          <w:rFonts w:ascii="Arial" w:cs="Arial" w:eastAsia="Arial" w:hAnsi="Arial"/>
          <w:sz w:val="16"/>
          <w:szCs w:val="16"/>
          <w:b w:val="1"/>
          <w:bCs w:val="1"/>
          <w:color w:val="0000FF"/>
        </w:rPr>
        <w:t>t to S</w:t>
      </w:r>
      <w:r>
        <w:rPr>
          <w:rFonts w:ascii="Arial" w:cs="Arial" w:eastAsia="Arial" w:hAnsi="Arial"/>
          <w:sz w:val="16"/>
          <w:szCs w:val="16"/>
          <w:b w:val="1"/>
          <w:bCs w:val="1"/>
          <w:u w:val="single" w:color="auto"/>
          <w:color w:val="0000FF"/>
        </w:rPr>
        <w:t>ectio</w:t>
      </w:r>
      <w:r>
        <w:rPr>
          <w:rFonts w:ascii="Arial" w:cs="Arial" w:eastAsia="Arial" w:hAnsi="Arial"/>
          <w:sz w:val="16"/>
          <w:szCs w:val="16"/>
          <w:b w:val="1"/>
          <w:bCs w:val="1"/>
          <w:color w:val="0000FF"/>
        </w:rPr>
        <w:t>n 1</w:t>
      </w:r>
      <w:r>
        <w:rPr>
          <w:rFonts w:ascii="Arial" w:cs="Arial" w:eastAsia="Arial" w:hAnsi="Arial"/>
          <w:sz w:val="16"/>
          <w:szCs w:val="16"/>
          <w:b w:val="1"/>
          <w:bCs w:val="1"/>
          <w:u w:val="single" w:color="auto"/>
          <w:color w:val="0000FF"/>
        </w:rPr>
        <w:t>.05</w:t>
      </w:r>
      <w:r>
        <w:rPr>
          <w:rFonts w:ascii="Arial" w:cs="Arial" w:eastAsia="Arial" w:hAnsi="Arial"/>
          <w:sz w:val="16"/>
          <w:szCs w:val="16"/>
          <w:b w:val="1"/>
          <w:bCs w:val="1"/>
          <w:color w:val="0000FF"/>
        </w:rPr>
        <w:t>, for</w:t>
      </w:r>
      <w:r>
        <w:rPr>
          <w:rFonts w:ascii="Arial" w:cs="Arial" w:eastAsia="Arial" w:hAnsi="Arial"/>
          <w:sz w:val="16"/>
          <w:szCs w:val="16"/>
          <w:color w:val="010101"/>
        </w:rPr>
        <w:t xml:space="preserve"> any </w:t>
      </w:r>
      <w:r>
        <w:rPr>
          <w:rFonts w:ascii="Arial" w:cs="Arial" w:eastAsia="Arial" w:hAnsi="Arial"/>
          <w:sz w:val="16"/>
          <w:szCs w:val="16"/>
          <w:b w:val="1"/>
          <w:bCs w:val="1"/>
          <w:u w:val="single" w:color="auto"/>
          <w:color w:val="0000FF"/>
        </w:rPr>
        <w:t>amount</w:t>
      </w:r>
      <w:r>
        <w:rPr>
          <w:rFonts w:ascii="Arial" w:cs="Arial" w:eastAsia="Arial" w:hAnsi="Arial"/>
          <w:sz w:val="16"/>
          <w:szCs w:val="16"/>
          <w:b w:val="1"/>
          <w:bCs w:val="1"/>
          <w:color w:val="0000FF"/>
        </w:rPr>
        <w:t>, at the</w:t>
      </w:r>
      <w:r>
        <w:rPr>
          <w:rFonts w:ascii="Arial" w:cs="Arial" w:eastAsia="Arial" w:hAnsi="Arial"/>
          <w:sz w:val="16"/>
          <w:szCs w:val="16"/>
          <w:color w:val="010101"/>
        </w:rPr>
        <w:t xml:space="preserve"> time </w:t>
      </w:r>
      <w:r>
        <w:rPr>
          <w:rFonts w:ascii="Arial" w:cs="Arial" w:eastAsia="Arial" w:hAnsi="Arial"/>
          <w:sz w:val="16"/>
          <w:szCs w:val="16"/>
          <w:b w:val="1"/>
          <w:bCs w:val="1"/>
          <w:u w:val="single" w:color="auto"/>
          <w:color w:val="0000FF"/>
        </w:rPr>
        <w:t>of determinatio</w:t>
      </w:r>
      <w:r>
        <w:rPr>
          <w:rFonts w:ascii="Arial" w:cs="Arial" w:eastAsia="Arial" w:hAnsi="Arial"/>
          <w:sz w:val="16"/>
          <w:szCs w:val="16"/>
          <w:b w:val="1"/>
          <w:bCs w:val="1"/>
          <w:color w:val="0000FF"/>
        </w:rPr>
        <w:t>n thereof</w:t>
      </w:r>
      <w:r>
        <w:rPr>
          <w:rFonts w:ascii="Arial" w:cs="Arial" w:eastAsia="Arial" w:hAnsi="Arial"/>
          <w:sz w:val="16"/>
          <w:szCs w:val="16"/>
          <w:color w:val="010101"/>
        </w:rPr>
        <w:t xml:space="preserve">, (a) </w:t>
      </w:r>
      <w:r>
        <w:rPr>
          <w:rFonts w:ascii="Arial" w:cs="Arial" w:eastAsia="Arial" w:hAnsi="Arial"/>
          <w:sz w:val="16"/>
          <w:szCs w:val="16"/>
          <w:color w:val="FF0000"/>
          <w:strike w:val="1"/>
        </w:rPr>
        <w:t>with respect to any amount denominated</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f s</w:t>
      </w:r>
      <w:r>
        <w:rPr>
          <w:rFonts w:ascii="Arial" w:cs="Arial" w:eastAsia="Arial" w:hAnsi="Arial"/>
          <w:sz w:val="16"/>
          <w:szCs w:val="16"/>
          <w:b w:val="1"/>
          <w:bCs w:val="1"/>
          <w:u w:val="single" w:color="auto"/>
          <w:color w:val="0000FF"/>
        </w:rPr>
        <w:t>uc</w:t>
      </w:r>
      <w:r>
        <w:rPr>
          <w:rFonts w:ascii="Arial" w:cs="Arial" w:eastAsia="Arial" w:hAnsi="Arial"/>
          <w:sz w:val="16"/>
          <w:szCs w:val="16"/>
          <w:b w:val="1"/>
          <w:bCs w:val="1"/>
          <w:color w:val="0000FF"/>
        </w:rPr>
        <w:t>h</w:t>
      </w:r>
      <w:r>
        <w:rPr>
          <w:rFonts w:ascii="Arial" w:cs="Arial" w:eastAsia="Arial" w:hAnsi="Arial"/>
          <w:sz w:val="16"/>
          <w:szCs w:val="16"/>
          <w:color w:val="010101"/>
        </w:rPr>
        <w:t xml:space="preserve"> </w:t>
      </w:r>
      <w:r>
        <w:rPr>
          <w:rFonts w:ascii="Arial" w:cs="Arial" w:eastAsia="Arial" w:hAnsi="Arial"/>
          <w:sz w:val="16"/>
          <w:szCs w:val="16"/>
          <w:b w:val="1"/>
          <w:bCs w:val="1"/>
          <w:color w:val="0000FF"/>
        </w:rPr>
        <w:t>a</w:t>
      </w:r>
      <w:r>
        <w:rPr>
          <w:rFonts w:ascii="Arial" w:cs="Arial" w:eastAsia="Arial" w:hAnsi="Arial"/>
          <w:sz w:val="16"/>
          <w:szCs w:val="16"/>
          <w:b w:val="1"/>
          <w:bCs w:val="1"/>
          <w:u w:val="single" w:color="auto"/>
          <w:color w:val="0000FF"/>
        </w:rPr>
        <w:t>moun</w:t>
      </w:r>
      <w:r>
        <w:rPr>
          <w:rFonts w:ascii="Arial" w:cs="Arial" w:eastAsia="Arial" w:hAnsi="Arial"/>
          <w:sz w:val="16"/>
          <w:szCs w:val="16"/>
          <w:b w:val="1"/>
          <w:bCs w:val="1"/>
          <w:color w:val="0000FF"/>
        </w:rPr>
        <w:t xml:space="preserve"> t is </w:t>
      </w:r>
      <w:r>
        <w:rPr>
          <w:rFonts w:ascii="Arial" w:cs="Arial" w:eastAsia="Arial" w:hAnsi="Arial"/>
          <w:sz w:val="16"/>
          <w:szCs w:val="16"/>
          <w:b w:val="1"/>
          <w:bCs w:val="1"/>
          <w:u w:val="single" w:color="auto"/>
          <w:color w:val="0000FF"/>
        </w:rPr>
        <w:t>expressed</w:t>
      </w:r>
      <w:r>
        <w:rPr>
          <w:rFonts w:ascii="Arial" w:cs="Arial" w:eastAsia="Arial" w:hAnsi="Arial"/>
          <w:sz w:val="16"/>
          <w:szCs w:val="16"/>
          <w:b w:val="1"/>
          <w:bCs w:val="1"/>
          <w:color w:val="0000FF"/>
        </w:rPr>
        <w:t xml:space="preserve"> </w:t>
      </w:r>
      <w:r>
        <w:rPr>
          <w:rFonts w:ascii="Arial" w:cs="Arial" w:eastAsia="Arial" w:hAnsi="Arial"/>
          <w:sz w:val="16"/>
          <w:szCs w:val="16"/>
          <w:color w:val="010101"/>
        </w:rPr>
        <w:t>in US Dollars, such amount, and (b)</w:t>
      </w:r>
      <w:r>
        <w:rPr>
          <w:rFonts w:ascii="Arial" w:cs="Arial" w:eastAsia="Arial" w:hAnsi="Arial"/>
          <w:sz w:val="16"/>
          <w:szCs w:val="16"/>
          <w:b w:val="1"/>
          <w:bCs w:val="1"/>
          <w:color w:val="0000FF"/>
        </w:rPr>
        <w:t xml:space="preserve"> </w:t>
      </w:r>
      <w:r>
        <w:rPr>
          <w:rFonts w:ascii="Arial" w:cs="Arial" w:eastAsia="Arial" w:hAnsi="Arial"/>
          <w:sz w:val="16"/>
          <w:szCs w:val="16"/>
          <w:color w:val="FF0000"/>
          <w:strike w:val="1"/>
        </w:rPr>
        <w:t>with respect to any</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f such </w:t>
      </w:r>
      <w:r>
        <w:rPr>
          <w:rFonts w:ascii="Arial" w:cs="Arial" w:eastAsia="Arial" w:hAnsi="Arial"/>
          <w:sz w:val="16"/>
          <w:szCs w:val="16"/>
          <w:color w:val="010101"/>
        </w:rPr>
        <w:t>amount</w:t>
      </w:r>
      <w:r>
        <w:rPr>
          <w:rFonts w:ascii="Arial" w:cs="Arial" w:eastAsia="Arial" w:hAnsi="Arial"/>
          <w:sz w:val="16"/>
          <w:szCs w:val="16"/>
          <w:b w:val="1"/>
          <w:bCs w:val="1"/>
          <w:color w:val="0000FF"/>
        </w:rPr>
        <w:t xml:space="preserve"> </w:t>
      </w:r>
      <w:r>
        <w:rPr>
          <w:rFonts w:ascii="Arial" w:cs="Arial" w:eastAsia="Arial" w:hAnsi="Arial"/>
          <w:sz w:val="16"/>
          <w:szCs w:val="16"/>
          <w:color w:val="FF0000"/>
          <w:strike w:val="1"/>
        </w:rPr>
        <w:t>denominated</w:t>
      </w:r>
      <w:r>
        <w:rPr>
          <w:rFonts w:ascii="Arial" w:cs="Arial" w:eastAsia="Arial" w:hAnsi="Arial"/>
          <w:sz w:val="16"/>
          <w:szCs w:val="16"/>
          <w:b w:val="1"/>
          <w:bCs w:val="1"/>
          <w:u w:val="single" w:color="auto"/>
          <w:color w:val="0000FF"/>
        </w:rPr>
        <w:t>is expressed</w:t>
      </w:r>
      <w:r>
        <w:rPr>
          <w:rFonts w:ascii="Arial" w:cs="Arial" w:eastAsia="Arial" w:hAnsi="Arial"/>
          <w:sz w:val="16"/>
          <w:szCs w:val="16"/>
          <w:b w:val="1"/>
          <w:bCs w:val="1"/>
          <w:color w:val="0000FF"/>
        </w:rPr>
        <w:t xml:space="preserve"> </w:t>
      </w:r>
      <w:r>
        <w:rPr>
          <w:rFonts w:ascii="Arial" w:cs="Arial" w:eastAsia="Arial" w:hAnsi="Arial"/>
          <w:sz w:val="16"/>
          <w:szCs w:val="16"/>
          <w:color w:val="010101"/>
        </w:rPr>
        <w:t>in a Foreign Currency, the equivalent amount</w:t>
      </w:r>
      <w:r>
        <w:rPr>
          <w:rFonts w:ascii="Arial" w:cs="Arial" w:eastAsia="Arial" w:hAnsi="Arial"/>
          <w:sz w:val="16"/>
          <w:szCs w:val="16"/>
          <w:b w:val="1"/>
          <w:bCs w:val="1"/>
          <w:color w:val="0000FF"/>
        </w:rPr>
        <w:t xml:space="preserve"> </w:t>
      </w:r>
      <w:r>
        <w:rPr>
          <w:rFonts w:ascii="Arial" w:cs="Arial" w:eastAsia="Arial" w:hAnsi="Arial"/>
          <w:sz w:val="16"/>
          <w:szCs w:val="16"/>
          <w:color w:val="010101"/>
        </w:rPr>
        <w:t xml:space="preserve">thereof in US Dollars as </w:t>
      </w:r>
      <w:r>
        <w:rPr>
          <w:rFonts w:ascii="Arial" w:cs="Arial" w:eastAsia="Arial" w:hAnsi="Arial"/>
          <w:sz w:val="16"/>
          <w:szCs w:val="16"/>
          <w:color w:val="FF0000"/>
          <w:strike w:val="1"/>
        </w:rPr>
        <w:t>reasonably</w:t>
      </w:r>
      <w:r>
        <w:rPr>
          <w:rFonts w:ascii="Arial" w:cs="Arial" w:eastAsia="Arial" w:hAnsi="Arial"/>
          <w:sz w:val="16"/>
          <w:szCs w:val="16"/>
          <w:color w:val="010101"/>
        </w:rPr>
        <w:t xml:space="preserve"> determined by the Administrative Agent </w:t>
      </w:r>
      <w:r>
        <w:rPr>
          <w:rFonts w:ascii="Arial" w:cs="Arial" w:eastAsia="Arial" w:hAnsi="Arial"/>
          <w:sz w:val="16"/>
          <w:szCs w:val="16"/>
          <w:color w:val="FF0000"/>
          <w:strike w:val="1"/>
        </w:rPr>
        <w:t>or an Issuing Lender, as applicable, at such time on</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n its</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sol</w:t>
      </w:r>
      <w:r>
        <w:rPr>
          <w:rFonts w:ascii="Arial" w:cs="Arial" w:eastAsia="Arial" w:hAnsi="Arial"/>
          <w:sz w:val="16"/>
          <w:szCs w:val="16"/>
          <w:b w:val="1"/>
          <w:bCs w:val="1"/>
          <w:color w:val="0000FF"/>
        </w:rPr>
        <w:t>e d</w:t>
      </w:r>
      <w:r>
        <w:rPr>
          <w:rFonts w:ascii="Arial" w:cs="Arial" w:eastAsia="Arial" w:hAnsi="Arial"/>
          <w:sz w:val="16"/>
          <w:szCs w:val="16"/>
          <w:b w:val="1"/>
          <w:bCs w:val="1"/>
          <w:u w:val="single" w:color="auto"/>
          <w:color w:val="0000FF"/>
        </w:rPr>
        <w:t>iscretio</w:t>
      </w:r>
      <w:r>
        <w:rPr>
          <w:rFonts w:ascii="Arial" w:cs="Arial" w:eastAsia="Arial" w:hAnsi="Arial"/>
          <w:sz w:val="16"/>
          <w:szCs w:val="16"/>
          <w:color w:val="010101"/>
        </w:rPr>
        <w:t xml:space="preserve"> </w:t>
      </w:r>
      <w:r>
        <w:rPr>
          <w:rFonts w:ascii="Arial" w:cs="Arial" w:eastAsia="Arial" w:hAnsi="Arial"/>
          <w:sz w:val="16"/>
          <w:szCs w:val="16"/>
          <w:b w:val="1"/>
          <w:bCs w:val="1"/>
          <w:color w:val="0000FF"/>
        </w:rPr>
        <w:t>n by r</w:t>
      </w:r>
      <w:r>
        <w:rPr>
          <w:rFonts w:ascii="Arial" w:cs="Arial" w:eastAsia="Arial" w:hAnsi="Arial"/>
          <w:sz w:val="16"/>
          <w:szCs w:val="16"/>
          <w:b w:val="1"/>
          <w:bCs w:val="1"/>
          <w:u w:val="single" w:color="auto"/>
          <w:color w:val="0000FF"/>
        </w:rPr>
        <w:t>eferenc</w:t>
      </w:r>
      <w:r>
        <w:rPr>
          <w:rFonts w:ascii="Arial" w:cs="Arial" w:eastAsia="Arial" w:hAnsi="Arial"/>
          <w:sz w:val="16"/>
          <w:szCs w:val="16"/>
          <w:b w:val="1"/>
          <w:bCs w:val="1"/>
          <w:color w:val="0000FF"/>
        </w:rPr>
        <w:t>e to</w:t>
      </w:r>
      <w:r>
        <w:rPr>
          <w:rFonts w:ascii="Arial" w:cs="Arial" w:eastAsia="Arial" w:hAnsi="Arial"/>
          <w:sz w:val="16"/>
          <w:szCs w:val="16"/>
          <w:color w:val="010101"/>
        </w:rPr>
        <w:t xml:space="preserve"> the </w:t>
      </w:r>
      <w:r>
        <w:rPr>
          <w:rFonts w:ascii="Arial" w:cs="Arial" w:eastAsia="Arial" w:hAnsi="Arial"/>
          <w:sz w:val="16"/>
          <w:szCs w:val="16"/>
          <w:color w:val="FF0000"/>
          <w:strike w:val="1"/>
        </w:rPr>
        <w:t>basis of the</w:t>
      </w:r>
      <w:r>
        <w:rPr>
          <w:rFonts w:ascii="Arial" w:cs="Arial" w:eastAsia="Arial" w:hAnsi="Arial"/>
          <w:sz w:val="16"/>
          <w:szCs w:val="16"/>
          <w:b w:val="1"/>
          <w:bCs w:val="1"/>
          <w:u w:val="single" w:color="auto"/>
          <w:color w:val="0000FF"/>
        </w:rPr>
        <w:t>mos</w:t>
      </w:r>
      <w:r>
        <w:rPr>
          <w:rFonts w:ascii="Arial" w:cs="Arial" w:eastAsia="Arial" w:hAnsi="Arial"/>
          <w:sz w:val="16"/>
          <w:szCs w:val="16"/>
          <w:b w:val="1"/>
          <w:bCs w:val="1"/>
          <w:color w:val="0000FF"/>
        </w:rPr>
        <w:t>t recent</w:t>
      </w:r>
      <w:r>
        <w:rPr>
          <w:rFonts w:ascii="Arial" w:cs="Arial" w:eastAsia="Arial" w:hAnsi="Arial"/>
          <w:sz w:val="16"/>
          <w:szCs w:val="16"/>
          <w:color w:val="FF0000"/>
        </w:rPr>
        <w:t xml:space="preserve"> </w:t>
      </w:r>
      <w:r>
        <w:rPr>
          <w:rFonts w:ascii="Arial" w:cs="Arial" w:eastAsia="Arial" w:hAnsi="Arial"/>
          <w:sz w:val="16"/>
          <w:szCs w:val="16"/>
          <w:color w:val="010101"/>
        </w:rPr>
        <w:t>Spot Rate</w:t>
      </w:r>
      <w:r>
        <w:rPr>
          <w:rFonts w:ascii="Arial" w:cs="Arial" w:eastAsia="Arial" w:hAnsi="Arial"/>
          <w:sz w:val="16"/>
          <w:szCs w:val="16"/>
          <w:color w:val="FF0000"/>
        </w:rPr>
        <w:t xml:space="preserve"> </w:t>
      </w:r>
      <w:r>
        <w:rPr>
          <w:rFonts w:ascii="Arial" w:cs="Arial" w:eastAsia="Arial" w:hAnsi="Arial"/>
          <w:sz w:val="16"/>
          <w:szCs w:val="16"/>
          <w:color w:val="FF0000"/>
          <w:strike w:val="1"/>
        </w:rPr>
        <w:t>(as</w:t>
      </w:r>
      <w:r>
        <w:rPr>
          <w:rFonts w:ascii="Arial" w:cs="Arial" w:eastAsia="Arial" w:hAnsi="Arial"/>
          <w:sz w:val="16"/>
          <w:szCs w:val="16"/>
          <w:b w:val="1"/>
          <w:bCs w:val="1"/>
          <w:u w:val="single" w:color="auto"/>
          <w:color w:val="0000FF"/>
        </w:rPr>
        <w:t>fo</w:t>
      </w:r>
      <w:r>
        <w:rPr>
          <w:rFonts w:ascii="Arial" w:cs="Arial" w:eastAsia="Arial" w:hAnsi="Arial"/>
          <w:sz w:val="16"/>
          <w:szCs w:val="16"/>
          <w:b w:val="1"/>
          <w:bCs w:val="1"/>
          <w:color w:val="0000FF"/>
        </w:rPr>
        <w:t>r s</w:t>
      </w:r>
      <w:r>
        <w:rPr>
          <w:rFonts w:ascii="Arial" w:cs="Arial" w:eastAsia="Arial" w:hAnsi="Arial"/>
          <w:sz w:val="16"/>
          <w:szCs w:val="16"/>
          <w:b w:val="1"/>
          <w:bCs w:val="1"/>
          <w:u w:val="single" w:color="auto"/>
          <w:color w:val="0000FF"/>
        </w:rPr>
        <w:t>uc</w:t>
      </w:r>
      <w:r>
        <w:rPr>
          <w:rFonts w:ascii="Arial" w:cs="Arial" w:eastAsia="Arial" w:hAnsi="Arial"/>
          <w:sz w:val="16"/>
          <w:szCs w:val="16"/>
          <w:b w:val="1"/>
          <w:bCs w:val="1"/>
          <w:color w:val="0000FF"/>
        </w:rPr>
        <w:t>h Foreign</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Currency</w:t>
      </w:r>
      <w:r>
        <w:rPr>
          <w:rFonts w:ascii="Arial" w:cs="Arial" w:eastAsia="Arial" w:hAnsi="Arial"/>
          <w:sz w:val="16"/>
          <w:szCs w:val="16"/>
          <w:color w:val="FF0000"/>
        </w:rPr>
        <w:t xml:space="preserve"> </w:t>
      </w:r>
      <w:r>
        <w:rPr>
          <w:rFonts w:ascii="Arial" w:cs="Arial" w:eastAsia="Arial" w:hAnsi="Arial"/>
          <w:sz w:val="16"/>
          <w:szCs w:val="16"/>
          <w:color w:val="010101"/>
        </w:rPr>
        <w:t>determined</w:t>
      </w:r>
      <w:r>
        <w:rPr>
          <w:rFonts w:ascii="Arial" w:cs="Arial" w:eastAsia="Arial" w:hAnsi="Arial"/>
          <w:sz w:val="16"/>
          <w:szCs w:val="16"/>
          <w:color w:val="FF0000"/>
        </w:rPr>
        <w:t xml:space="preserve"> </w:t>
      </w:r>
      <w:r>
        <w:rPr>
          <w:rFonts w:ascii="Arial" w:cs="Arial" w:eastAsia="Arial" w:hAnsi="Arial"/>
          <w:sz w:val="16"/>
          <w:szCs w:val="16"/>
          <w:color w:val="FF0000"/>
          <w:strike w:val="1"/>
        </w:rPr>
        <w:t>in respect</w:t>
      </w:r>
      <w:r>
        <w:rPr>
          <w:rFonts w:ascii="Arial" w:cs="Arial" w:eastAsia="Arial" w:hAnsi="Arial"/>
          <w:sz w:val="16"/>
          <w:szCs w:val="16"/>
          <w:b w:val="1"/>
          <w:bCs w:val="1"/>
          <w:u w:val="single" w:color="auto"/>
          <w:color w:val="0000FF"/>
        </w:rPr>
        <w:t>as</w:t>
      </w:r>
      <w:r>
        <w:rPr>
          <w:rFonts w:ascii="Arial" w:cs="Arial" w:eastAsia="Arial" w:hAnsi="Arial"/>
          <w:sz w:val="16"/>
          <w:szCs w:val="16"/>
          <w:color w:val="FF0000"/>
        </w:rPr>
        <w:t xml:space="preserve"> </w:t>
      </w:r>
      <w:r>
        <w:rPr>
          <w:rFonts w:ascii="Arial" w:cs="Arial" w:eastAsia="Arial" w:hAnsi="Arial"/>
          <w:sz w:val="16"/>
          <w:szCs w:val="16"/>
          <w:color w:val="010101"/>
        </w:rPr>
        <w:t>of the most recent Revaluation Date</w:t>
      </w:r>
      <w:r>
        <w:rPr>
          <w:rFonts w:ascii="Arial" w:cs="Arial" w:eastAsia="Arial" w:hAnsi="Arial"/>
          <w:sz w:val="16"/>
          <w:szCs w:val="16"/>
          <w:color w:val="FF0000"/>
        </w:rPr>
        <w:t xml:space="preserve">) </w:t>
      </w:r>
      <w:r>
        <w:rPr>
          <w:rFonts w:ascii="Arial" w:cs="Arial" w:eastAsia="Arial" w:hAnsi="Arial"/>
          <w:sz w:val="16"/>
          <w:szCs w:val="16"/>
          <w:color w:val="010101"/>
        </w:rPr>
        <w:t>for the purchase of US Dollars with such</w:t>
      </w:r>
      <w:r>
        <w:rPr>
          <w:rFonts w:ascii="Arial" w:cs="Arial" w:eastAsia="Arial" w:hAnsi="Arial"/>
          <w:sz w:val="16"/>
          <w:szCs w:val="16"/>
          <w:color w:val="FF0000"/>
        </w:rPr>
        <w:t xml:space="preserve"> </w:t>
      </w:r>
      <w:r>
        <w:rPr>
          <w:rFonts w:ascii="Arial" w:cs="Arial" w:eastAsia="Arial" w:hAnsi="Arial"/>
          <w:sz w:val="16"/>
          <w:szCs w:val="16"/>
          <w:color w:val="010101"/>
        </w:rPr>
        <w:t>Foreign Currency.</w:t>
      </w:r>
    </w:p>
    <w:p>
      <w:pPr>
        <w:spacing w:after="0" w:line="150"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Domestic Subsidiary</w:t>
      </w:r>
      <w:r>
        <w:rPr>
          <w:rFonts w:ascii="Arial" w:cs="Arial" w:eastAsia="Arial" w:hAnsi="Arial"/>
          <w:sz w:val="16"/>
          <w:szCs w:val="16"/>
          <w:color w:val="010101"/>
        </w:rPr>
        <w:t>” means any Subsidiary that is organized and existing under the laws of the United States or any state thereof or under the laws of the District of Columbia.</w:t>
      </w:r>
    </w:p>
    <w:p>
      <w:pPr>
        <w:spacing w:after="0" w:line="149" w:lineRule="exact"/>
        <w:rPr>
          <w:sz w:val="20"/>
          <w:szCs w:val="20"/>
          <w:color w:val="auto"/>
        </w:rPr>
      </w:pPr>
    </w:p>
    <w:p>
      <w:pPr>
        <w:jc w:val="both"/>
        <w:ind w:left="20" w:right="6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Downgrade</w:t>
      </w:r>
      <w:r>
        <w:rPr>
          <w:rFonts w:ascii="Arial" w:cs="Arial" w:eastAsia="Arial" w:hAnsi="Arial"/>
          <w:sz w:val="16"/>
          <w:szCs w:val="16"/>
          <w:color w:val="010101"/>
        </w:rPr>
        <w:t>” means, with respect to any Lender, the lowest rating that has been most recently announced for any class of non-credit enhanced long-term senior unsecured debt issued by such Lender is lower than BBB- by S&amp;P or Baa3 by Moody’s.</w:t>
      </w:r>
    </w:p>
    <w:p>
      <w:pPr>
        <w:spacing w:after="0" w:line="139" w:lineRule="exact"/>
        <w:rPr>
          <w:sz w:val="20"/>
          <w:szCs w:val="20"/>
          <w:color w:val="auto"/>
        </w:rPr>
      </w:pPr>
    </w:p>
    <w:p>
      <w:pPr>
        <w:jc w:val="both"/>
        <w:ind w:left="20" w:right="4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EEA Financial Institution</w:t>
      </w:r>
      <w:r>
        <w:rPr>
          <w:rFonts w:ascii="Arial" w:cs="Arial" w:eastAsia="Arial" w:hAnsi="Arial"/>
          <w:sz w:val="16"/>
          <w:szCs w:val="16"/>
          <w:color w:val="010101"/>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EEA Member Country</w:t>
      </w:r>
      <w:r>
        <w:rPr>
          <w:rFonts w:ascii="Arial" w:cs="Arial" w:eastAsia="Arial" w:hAnsi="Arial"/>
          <w:sz w:val="16"/>
          <w:szCs w:val="16"/>
          <w:color w:val="010101"/>
        </w:rPr>
        <w:t>” means any of the member states of the European Union, Iceland, Liechtenstein, and Norway.</w:t>
      </w:r>
    </w:p>
    <w:p>
      <w:pPr>
        <w:spacing w:after="0" w:line="170" w:lineRule="exact"/>
        <w:rPr>
          <w:sz w:val="20"/>
          <w:szCs w:val="20"/>
          <w:color w:val="auto"/>
        </w:rPr>
      </w:pPr>
    </w:p>
    <w:p>
      <w:pPr>
        <w:jc w:val="both"/>
        <w:ind w:left="20" w:right="40" w:firstLine="485"/>
        <w:spacing w:after="0" w:line="271"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EEA Resolution Authority</w:t>
      </w:r>
      <w:r>
        <w:rPr>
          <w:rFonts w:ascii="Arial" w:cs="Arial" w:eastAsia="Arial" w:hAnsi="Arial"/>
          <w:sz w:val="15"/>
          <w:szCs w:val="15"/>
          <w:color w:val="010101"/>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Effective Date</w:t>
      </w:r>
      <w:r>
        <w:rPr>
          <w:rFonts w:ascii="Arial" w:cs="Arial" w:eastAsia="Arial" w:hAnsi="Arial"/>
          <w:sz w:val="15"/>
          <w:szCs w:val="15"/>
          <w:color w:val="010101"/>
        </w:rPr>
        <w:t xml:space="preserve">” </w:t>
      </w:r>
      <w:r>
        <w:rPr>
          <w:rFonts w:ascii="Arial" w:cs="Arial" w:eastAsia="Arial" w:hAnsi="Arial"/>
          <w:sz w:val="15"/>
          <w:szCs w:val="15"/>
          <w:color w:val="FF0000"/>
          <w:strike w:val="1"/>
        </w:rPr>
        <w:t>has the meaning specified in Section 3.01</w:t>
      </w:r>
      <w:r>
        <w:rPr>
          <w:rFonts w:ascii="Arial" w:cs="Arial" w:eastAsia="Arial" w:hAnsi="Arial"/>
          <w:sz w:val="15"/>
          <w:szCs w:val="15"/>
          <w:b w:val="1"/>
          <w:bCs w:val="1"/>
          <w:u w:val="single" w:color="auto"/>
          <w:color w:val="0000FF"/>
        </w:rPr>
        <w:t>mean</w:t>
      </w:r>
      <w:r>
        <w:rPr>
          <w:rFonts w:ascii="Arial" w:cs="Arial" w:eastAsia="Arial" w:hAnsi="Arial"/>
          <w:sz w:val="15"/>
          <w:szCs w:val="15"/>
          <w:b w:val="1"/>
          <w:bCs w:val="1"/>
          <w:color w:val="0000FF"/>
        </w:rPr>
        <w:t>s</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Ma</w:t>
      </w:r>
      <w:r>
        <w:rPr>
          <w:rFonts w:ascii="Arial" w:cs="Arial" w:eastAsia="Arial" w:hAnsi="Arial"/>
          <w:sz w:val="15"/>
          <w:szCs w:val="15"/>
          <w:b w:val="1"/>
          <w:bCs w:val="1"/>
          <w:color w:val="0000FF"/>
        </w:rPr>
        <w:t>y</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3</w:t>
      </w:r>
      <w:r>
        <w:rPr>
          <w:rFonts w:ascii="Arial" w:cs="Arial" w:eastAsia="Arial" w:hAnsi="Arial"/>
          <w:sz w:val="15"/>
          <w:szCs w:val="15"/>
          <w:b w:val="1"/>
          <w:bCs w:val="1"/>
          <w:color w:val="0000FF"/>
        </w:rPr>
        <w:t>, 2022</w:t>
      </w:r>
      <w:r>
        <w:rPr>
          <w:rFonts w:ascii="Arial" w:cs="Arial" w:eastAsia="Arial" w:hAnsi="Arial"/>
          <w:sz w:val="15"/>
          <w:szCs w:val="15"/>
          <w:color w:val="010101"/>
        </w:rPr>
        <w:t>. “</w:t>
      </w:r>
      <w:r>
        <w:rPr>
          <w:rFonts w:ascii="Arial" w:cs="Arial" w:eastAsia="Arial" w:hAnsi="Arial"/>
          <w:sz w:val="15"/>
          <w:szCs w:val="15"/>
          <w:u w:val="single" w:color="auto"/>
          <w:color w:val="010101"/>
        </w:rPr>
        <w:t>Electronic Record</w:t>
      </w:r>
      <w:r>
        <w:rPr>
          <w:rFonts w:ascii="Arial" w:cs="Arial" w:eastAsia="Arial" w:hAnsi="Arial"/>
          <w:sz w:val="15"/>
          <w:szCs w:val="15"/>
          <w:color w:val="010101"/>
        </w:rPr>
        <w:t>” has the meaning assigned to that term in, and shall be</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interpreted in</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6"/>
          <w:szCs w:val="16"/>
          <w:color w:val="010101"/>
        </w:rPr>
        <w:t>accordance with, 15 U.S.C. 7006.</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Electronic Signature</w:t>
      </w:r>
      <w:r>
        <w:rPr>
          <w:rFonts w:ascii="Arial" w:cs="Arial" w:eastAsia="Arial" w:hAnsi="Arial"/>
          <w:sz w:val="16"/>
          <w:szCs w:val="16"/>
          <w:color w:val="010101"/>
        </w:rPr>
        <w:t>” has the meaning assigned to that term in, and shall be interpreted in accordance with, 15 U.S.C. 7006.</w:t>
      </w:r>
    </w:p>
    <w:p>
      <w:pPr>
        <w:spacing w:after="0" w:line="170" w:lineRule="exact"/>
        <w:rPr>
          <w:sz w:val="20"/>
          <w:szCs w:val="20"/>
          <w:color w:val="auto"/>
        </w:rPr>
      </w:pPr>
    </w:p>
    <w:p>
      <w:pPr>
        <w:jc w:val="both"/>
        <w:ind w:left="20" w:right="20" w:firstLine="485"/>
        <w:spacing w:after="0" w:line="248"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Eligible Assignee</w:t>
      </w:r>
      <w:r>
        <w:rPr>
          <w:rFonts w:ascii="Arial" w:cs="Arial" w:eastAsia="Arial" w:hAnsi="Arial"/>
          <w:sz w:val="15"/>
          <w:szCs w:val="15"/>
          <w:color w:val="010101"/>
        </w:rPr>
        <w:t>” means (a) a Lender and any Affiliate of a Lender organized in the United States; (b) a commercial bank organized under the laws of the United States, or any State thereof, and having total assets in excess of $5,000,000,000; (c) a savings and loan association or savings bank organized under the laws of the United States, or any State thereof, and having total assets in excess of $5,000,000,000; (d) a commercial bank organized under the laws of any other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356" w:right="479" w:bottom="1440" w:gutter="0" w:footer="0" w:header="0"/>
        </w:sectPr>
      </w:pPr>
    </w:p>
    <w:bookmarkStart w:id="77" w:name="page78"/>
    <w:bookmarkEnd w:id="77"/>
    <w:p>
      <w:pPr>
        <w:jc w:val="both"/>
        <w:ind w:left="20"/>
        <w:spacing w:after="0" w:line="235" w:lineRule="auto"/>
        <w:rPr>
          <w:sz w:val="20"/>
          <w:szCs w:val="20"/>
          <w:color w:val="auto"/>
        </w:rPr>
      </w:pPr>
      <w:r>
        <w:rPr>
          <w:rFonts w:ascii="Arial" w:cs="Arial" w:eastAsia="Arial" w:hAnsi="Arial"/>
          <w:sz w:val="15"/>
          <w:szCs w:val="15"/>
          <w:color w:val="010101"/>
        </w:rPr>
        <w:t xml:space="preserve">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(d); (e) the central bank of any country that is a member of the Organization for Economic Cooperation and Development; and (f) any other Person approved by the Administrative Agent and the Company, on behalf of the Borrowers, such approval not to be unreasonably withheld or delayed;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however</w:t>
      </w:r>
      <w:r>
        <w:rPr>
          <w:rFonts w:ascii="Arial" w:cs="Arial" w:eastAsia="Arial" w:hAnsi="Arial"/>
          <w:sz w:val="15"/>
          <w:szCs w:val="15"/>
          <w:color w:val="010101"/>
        </w:rPr>
        <w:t>, that no Borrower nor an Affiliate of any Borrower nor any natural person shall qualify as an Eligible Assignee.</w:t>
      </w:r>
    </w:p>
    <w:p>
      <w:pPr>
        <w:spacing w:after="0" w:line="149"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EMU Legislation</w:t>
      </w:r>
      <w:r>
        <w:rPr>
          <w:rFonts w:ascii="Arial" w:cs="Arial" w:eastAsia="Arial" w:hAnsi="Arial"/>
          <w:sz w:val="16"/>
          <w:szCs w:val="16"/>
          <w:color w:val="010101"/>
        </w:rPr>
        <w:t>” means the legislative measures of the European Council for the introduction of changeover to or operation of a single or unified European currency.</w:t>
      </w:r>
    </w:p>
    <w:p>
      <w:pPr>
        <w:spacing w:after="0" w:line="149"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Engagement Letter</w:t>
      </w:r>
      <w:r>
        <w:rPr>
          <w:rFonts w:ascii="Arial" w:cs="Arial" w:eastAsia="Arial" w:hAnsi="Arial"/>
          <w:sz w:val="16"/>
          <w:szCs w:val="16"/>
          <w:color w:val="010101"/>
        </w:rPr>
        <w:t>” means that certain Engagement Letter, dated as of April 6, 2022, by and among the Company, on behalf of the Borrowers and Wells Fargo Securities, LLC.</w:t>
      </w:r>
    </w:p>
    <w:p>
      <w:pPr>
        <w:spacing w:after="0" w:line="139" w:lineRule="exact"/>
        <w:rPr>
          <w:sz w:val="20"/>
          <w:szCs w:val="20"/>
          <w:color w:val="auto"/>
        </w:rPr>
      </w:pPr>
    </w:p>
    <w:p>
      <w:pPr>
        <w:jc w:val="both"/>
        <w:ind w:left="20" w:right="20" w:firstLine="485"/>
        <w:spacing w:after="0" w:line="222"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Environmental Action</w:t>
      </w:r>
      <w:r>
        <w:rPr>
          <w:rFonts w:ascii="Arial" w:cs="Arial" w:eastAsia="Arial" w:hAnsi="Arial"/>
          <w:sz w:val="16"/>
          <w:szCs w:val="16"/>
          <w:color w:val="010101"/>
        </w:rPr>
        <w:t>”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49"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Environmental Law</w:t>
      </w:r>
      <w:r>
        <w:rPr>
          <w:rFonts w:ascii="Arial" w:cs="Arial" w:eastAsia="Arial" w:hAnsi="Arial"/>
          <w:sz w:val="16"/>
          <w:szCs w:val="16"/>
          <w:color w:val="010101"/>
        </w:rPr>
        <w:t>” means any applicable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Environmental Permit</w:t>
      </w:r>
      <w:r>
        <w:rPr>
          <w:rFonts w:ascii="Arial" w:cs="Arial" w:eastAsia="Arial" w:hAnsi="Arial"/>
          <w:sz w:val="16"/>
          <w:szCs w:val="16"/>
          <w:color w:val="010101"/>
        </w:rPr>
        <w:t>” means any permit, approval, identification number, license or other authorization required under any Environmental Law.</w:t>
      </w:r>
    </w:p>
    <w:p>
      <w:pPr>
        <w:spacing w:after="0" w:line="160" w:lineRule="exact"/>
        <w:rPr>
          <w:sz w:val="20"/>
          <w:szCs w:val="20"/>
          <w:color w:val="auto"/>
        </w:rPr>
      </w:pPr>
    </w:p>
    <w:p>
      <w:pPr>
        <w:jc w:val="both"/>
        <w:ind w:left="20" w:right="20" w:firstLine="485"/>
        <w:spacing w:after="0" w:line="274" w:lineRule="auto"/>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Equity Interests</w:t>
      </w:r>
      <w:r>
        <w:rPr>
          <w:rFonts w:ascii="Arial" w:cs="Arial" w:eastAsia="Arial" w:hAnsi="Arial"/>
          <w:sz w:val="14"/>
          <w:szCs w:val="14"/>
          <w:color w:val="010101"/>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and all warrants, rights or options entitling the holder thereof to purchase any of the foregoing.</w:t>
      </w:r>
    </w:p>
    <w:p>
      <w:pPr>
        <w:spacing w:after="0" w:line="126"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ERISA</w:t>
      </w:r>
      <w:r>
        <w:rPr>
          <w:rFonts w:ascii="Arial" w:cs="Arial" w:eastAsia="Arial" w:hAnsi="Arial"/>
          <w:sz w:val="16"/>
          <w:szCs w:val="16"/>
          <w:color w:val="010101"/>
        </w:rPr>
        <w:t>” means the Employee Retirement Income Security Act of 1974, as amended from time to time, and the regulations promulgated and rulings issued thereunder.</w:t>
      </w:r>
    </w:p>
    <w:p>
      <w:pPr>
        <w:spacing w:after="0" w:line="149"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ERISA Affiliate</w:t>
      </w:r>
      <w:r>
        <w:rPr>
          <w:rFonts w:ascii="Arial" w:cs="Arial" w:eastAsia="Arial" w:hAnsi="Arial"/>
          <w:sz w:val="16"/>
          <w:szCs w:val="16"/>
          <w:color w:val="010101"/>
        </w:rPr>
        <w:t>” means any Person that for purposes of Title IV of ERISA is a member of any Borrower’s controlled group, or under common control with any Borrower, within the meaning of Section 414(b) or (c) of the Internal Revenue Code or, solely for purposes of</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78" w:name="page79"/>
    <w:bookmarkEnd w:id="78"/>
    <w:p>
      <w:pPr>
        <w:jc w:val="both"/>
        <w:ind w:left="20" w:right="200"/>
        <w:spacing w:after="0" w:line="239" w:lineRule="auto"/>
        <w:rPr>
          <w:sz w:val="20"/>
          <w:szCs w:val="20"/>
          <w:color w:val="auto"/>
        </w:rPr>
      </w:pPr>
      <w:r>
        <w:rPr>
          <w:rFonts w:ascii="Arial" w:cs="Arial" w:eastAsia="Arial" w:hAnsi="Arial"/>
          <w:sz w:val="16"/>
          <w:szCs w:val="16"/>
          <w:color w:val="010101"/>
        </w:rPr>
        <w:t>Sections 302 and 303 of ERISA and Section 412 of the Internal Revenue Code, is treated as a single employer under Section 414(b), (c), (m) and (o) of the Internal Revenue Code.</w:t>
      </w:r>
    </w:p>
    <w:p>
      <w:pPr>
        <w:spacing w:after="0" w:line="149" w:lineRule="exact"/>
        <w:rPr>
          <w:sz w:val="20"/>
          <w:szCs w:val="20"/>
          <w:color w:val="auto"/>
        </w:rPr>
      </w:pPr>
    </w:p>
    <w:p>
      <w:pPr>
        <w:jc w:val="both"/>
        <w:ind w:left="20" w:right="200" w:firstLine="485"/>
        <w:spacing w:after="0" w:line="247" w:lineRule="auto"/>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ERISA Event</w:t>
      </w:r>
      <w:r>
        <w:rPr>
          <w:rFonts w:ascii="Arial" w:cs="Arial" w:eastAsia="Arial" w:hAnsi="Arial"/>
          <w:sz w:val="14"/>
          <w:szCs w:val="14"/>
          <w:color w:val="010101"/>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w:t>
      </w:r>
    </w:p>
    <w:p>
      <w:pPr>
        <w:spacing w:after="0" w:line="2" w:lineRule="exact"/>
        <w:rPr>
          <w:sz w:val="20"/>
          <w:szCs w:val="20"/>
          <w:color w:val="auto"/>
        </w:rPr>
      </w:pPr>
    </w:p>
    <w:p>
      <w:pPr>
        <w:jc w:val="both"/>
        <w:ind w:left="20" w:right="200"/>
        <w:spacing w:after="0" w:line="241" w:lineRule="auto"/>
        <w:rPr>
          <w:sz w:val="20"/>
          <w:szCs w:val="20"/>
          <w:color w:val="auto"/>
        </w:rPr>
      </w:pPr>
      <w:r>
        <w:rPr>
          <w:rFonts w:ascii="Arial" w:cs="Arial" w:eastAsia="Arial" w:hAnsi="Arial"/>
          <w:sz w:val="14"/>
          <w:szCs w:val="14"/>
          <w:color w:val="010101"/>
        </w:rPr>
        <w:t>(9),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w:t>
      </w:r>
    </w:p>
    <w:p>
      <w:pPr>
        <w:jc w:val="both"/>
        <w:ind w:left="20" w:right="200" w:firstLine="2"/>
        <w:spacing w:after="0" w:line="231" w:lineRule="auto"/>
        <w:tabs>
          <w:tab w:leader="none" w:pos="257" w:val="left"/>
        </w:tabs>
        <w:numPr>
          <w:ilvl w:val="0"/>
          <w:numId w:val="33"/>
        </w:numPr>
        <w:rPr>
          <w:rFonts w:ascii="Arial" w:cs="Arial" w:eastAsia="Arial" w:hAnsi="Arial"/>
          <w:sz w:val="15"/>
          <w:szCs w:val="15"/>
          <w:color w:val="010101"/>
        </w:rPr>
      </w:pPr>
      <w:r>
        <w:rPr>
          <w:rFonts w:ascii="Arial" w:cs="Arial" w:eastAsia="Arial" w:hAnsi="Arial"/>
          <w:sz w:val="15"/>
          <w:szCs w:val="15"/>
          <w:color w:val="010101"/>
        </w:rPr>
        <w:t>of ERISA (including any such notice with respect to a plan amendment referred to in Section 4041(e) of ERISA); (d) the cessation of operations at a facility of any Borrower or any ERISA Affiliate in the circumstances described in Section 4062(e) of ERISA; (e) the withdrawal by any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Erroneous Payment</w:t>
      </w:r>
      <w:r>
        <w:rPr>
          <w:rFonts w:ascii="Arial" w:cs="Arial" w:eastAsia="Arial" w:hAnsi="Arial"/>
          <w:sz w:val="15"/>
          <w:szCs w:val="15"/>
          <w:color w:val="010101"/>
        </w:rPr>
        <w:t>” has the meaning assigned to such term in Section 7.11(a). “</w:t>
      </w:r>
      <w:r>
        <w:rPr>
          <w:rFonts w:ascii="Arial" w:cs="Arial" w:eastAsia="Arial" w:hAnsi="Arial"/>
          <w:sz w:val="15"/>
          <w:szCs w:val="15"/>
          <w:u w:val="single" w:color="auto"/>
          <w:color w:val="010101"/>
        </w:rPr>
        <w:t>Erroneous Payment Deficiency Assignment</w:t>
      </w:r>
      <w:r>
        <w:rPr>
          <w:rFonts w:ascii="Arial" w:cs="Arial" w:eastAsia="Arial" w:hAnsi="Arial"/>
          <w:sz w:val="15"/>
          <w:szCs w:val="15"/>
          <w:color w:val="010101"/>
        </w:rPr>
        <w:t>” has the meaning assigned to such</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term 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010101"/>
        </w:rPr>
        <w:t>Section 7.11(d).</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Erroneous Payment Impacted Class</w:t>
      </w:r>
      <w:r>
        <w:rPr>
          <w:rFonts w:ascii="Arial" w:cs="Arial" w:eastAsia="Arial" w:hAnsi="Arial"/>
          <w:sz w:val="16"/>
          <w:szCs w:val="16"/>
          <w:color w:val="010101"/>
        </w:rPr>
        <w:t>” has the meaning assigned to such term in Section 7.11(d).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Erroneous Payment Return Deficiency</w:t>
      </w:r>
      <w:r>
        <w:rPr>
          <w:rFonts w:ascii="Arial" w:cs="Arial" w:eastAsia="Arial" w:hAnsi="Arial"/>
          <w:sz w:val="16"/>
          <w:szCs w:val="16"/>
          <w:color w:val="010101"/>
        </w:rPr>
        <w:t>” has the meaning assigned to such term in Section 7.11(d).</w:t>
      </w:r>
    </w:p>
    <w:p>
      <w:pPr>
        <w:spacing w:after="0" w:line="170" w:lineRule="exact"/>
        <w:rPr>
          <w:sz w:val="20"/>
          <w:szCs w:val="20"/>
          <w:color w:val="auto"/>
        </w:rPr>
      </w:pPr>
    </w:p>
    <w:p>
      <w:pPr>
        <w:ind w:left="20" w:right="3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EU Bail-In Legislation Schedule</w:t>
      </w:r>
      <w:r>
        <w:rPr>
          <w:rFonts w:ascii="Arial" w:cs="Arial" w:eastAsia="Arial" w:hAnsi="Arial"/>
          <w:sz w:val="16"/>
          <w:szCs w:val="16"/>
          <w:color w:val="010101"/>
        </w:rPr>
        <w:t>” means the EU Bail-In Legislation Schedule published by the Loan Market Association (or any successor thereto), as in effect from time to time.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EURIBOR</w:t>
      </w:r>
      <w:r>
        <w:rPr>
          <w:rFonts w:ascii="Arial" w:cs="Arial" w:eastAsia="Arial" w:hAnsi="Arial"/>
          <w:sz w:val="14"/>
          <w:szCs w:val="14"/>
          <w:color w:val="010101"/>
        </w:rPr>
        <w:t xml:space="preserve">” has the meaning assigned thereto in the definition of “Eurocurrency Rate”. </w:t>
      </w:r>
      <w:r>
        <w:rPr>
          <w:rFonts w:ascii="Arial" w:cs="Arial" w:eastAsia="Arial" w:hAnsi="Arial"/>
          <w:sz w:val="14"/>
          <w:szCs w:val="14"/>
          <w:color w:val="000000"/>
        </w:rPr>
        <w:t>“</w:t>
      </w:r>
      <w:r>
        <w:rPr>
          <w:rFonts w:ascii="Arial" w:cs="Arial" w:eastAsia="Arial" w:hAnsi="Arial"/>
          <w:sz w:val="14"/>
          <w:szCs w:val="14"/>
          <w:u w:val="single" w:color="auto"/>
          <w:color w:val="000000"/>
        </w:rPr>
        <w:t>Euro</w:t>
      </w:r>
      <w:r>
        <w:rPr>
          <w:rFonts w:ascii="Arial" w:cs="Arial" w:eastAsia="Arial" w:hAnsi="Arial"/>
          <w:sz w:val="14"/>
          <w:szCs w:val="14"/>
          <w:color w:val="000000"/>
        </w:rPr>
        <w:t>” and “</w:t>
      </w:r>
      <w:r>
        <w:rPr>
          <w:rFonts w:ascii="Arial" w:cs="Arial" w:eastAsia="Arial" w:hAnsi="Arial"/>
          <w:sz w:val="14"/>
          <w:szCs w:val="14"/>
          <w:u w:val="single" w:color="auto"/>
          <w:color w:val="000000"/>
        </w:rPr>
        <w:t>€</w:t>
      </w:r>
      <w:r>
        <w:rPr>
          <w:rFonts w:ascii="Arial" w:cs="Arial" w:eastAsia="Arial" w:hAnsi="Arial"/>
          <w:sz w:val="14"/>
          <w:szCs w:val="14"/>
          <w:color w:val="000000"/>
        </w:rPr>
        <w:t>” mean the single currency of the Participating Member States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introduced</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accordance with the EMU Legislation.</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Euro Unit</w:t>
      </w:r>
      <w:r>
        <w:rPr>
          <w:rFonts w:ascii="Arial" w:cs="Arial" w:eastAsia="Arial" w:hAnsi="Arial"/>
          <w:sz w:val="16"/>
          <w:szCs w:val="16"/>
          <w:color w:val="010101"/>
        </w:rPr>
        <w:t>” means the currency unit of the Euro.</w:t>
      </w:r>
    </w:p>
    <w:p>
      <w:pPr>
        <w:spacing w:after="0" w:line="170" w:lineRule="exact"/>
        <w:rPr>
          <w:sz w:val="20"/>
          <w:szCs w:val="20"/>
          <w:color w:val="auto"/>
        </w:rPr>
      </w:pPr>
    </w:p>
    <w:p>
      <w:pPr>
        <w:ind w:left="20" w:right="200" w:firstLine="485"/>
        <w:spacing w:after="0" w:line="239"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Eurocurrency Banking Day</w:t>
      </w:r>
      <w:r>
        <w:rPr>
          <w:rFonts w:ascii="Arial" w:cs="Arial" w:eastAsia="Arial" w:hAnsi="Arial"/>
          <w:sz w:val="16"/>
          <w:szCs w:val="16"/>
          <w:color w:val="010101"/>
        </w:rPr>
        <w:t>” means (i) for Borrower Obligations, interest, fees, commissions or other amounts denominated in, or calculated with respect to, Euros, a TARGET Day; (ii) for Borrower Obligations, interest, fees, commissions or other amounts denominated in,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220"/>
          </w:cols>
          <w:pgMar w:left="360" w:top="1265" w:right="319" w:bottom="1440" w:gutter="0" w:footer="0" w:header="0"/>
        </w:sectPr>
      </w:pPr>
    </w:p>
    <w:bookmarkStart w:id="79" w:name="page80"/>
    <w:bookmarkEnd w:id="79"/>
    <w:p>
      <w:pPr>
        <w:jc w:val="both"/>
        <w:ind w:left="20" w:right="20"/>
        <w:spacing w:after="0" w:line="225" w:lineRule="auto"/>
        <w:rPr>
          <w:sz w:val="20"/>
          <w:szCs w:val="20"/>
          <w:color w:val="auto"/>
        </w:rPr>
      </w:pPr>
      <w:r>
        <w:rPr>
          <w:rFonts w:ascii="Arial" w:cs="Arial" w:eastAsia="Arial" w:hAnsi="Arial"/>
          <w:sz w:val="16"/>
          <w:szCs w:val="16"/>
          <w:color w:val="010101"/>
        </w:rPr>
        <w:t xml:space="preserve">or calculated with respect to, Canadian Dollars, any day (other than a Saturday or Sunday) on which banks are open for business in Toronto and (iii) for Borrower Obligations, interest, fees, commissions or other amounts denominated in, or calculated with respect to, Australian Dollars, any day (other than a Saturday or Sunday) on which banks are open for business in Melbourne;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for purposes of notice requirements in </w:t>
      </w:r>
      <w:r>
        <w:rPr>
          <w:rFonts w:ascii="Arial" w:cs="Arial" w:eastAsia="Arial" w:hAnsi="Arial"/>
          <w:sz w:val="16"/>
          <w:szCs w:val="16"/>
          <w:u w:val="single" w:color="auto"/>
          <w:color w:val="010101"/>
        </w:rPr>
        <w:t>Sections 2.02</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2.06</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2.09</w:t>
      </w:r>
      <w:r>
        <w:rPr>
          <w:rFonts w:ascii="Arial" w:cs="Arial" w:eastAsia="Arial" w:hAnsi="Arial"/>
          <w:sz w:val="16"/>
          <w:szCs w:val="16"/>
          <w:color w:val="010101"/>
        </w:rPr>
        <w:t xml:space="preserve">, and </w:t>
      </w:r>
      <w:r>
        <w:rPr>
          <w:rFonts w:ascii="Arial" w:cs="Arial" w:eastAsia="Arial" w:hAnsi="Arial"/>
          <w:sz w:val="16"/>
          <w:szCs w:val="16"/>
          <w:u w:val="single" w:color="auto"/>
          <w:color w:val="010101"/>
        </w:rPr>
        <w:t>2.10</w:t>
      </w:r>
      <w:r>
        <w:rPr>
          <w:rFonts w:ascii="Arial" w:cs="Arial" w:eastAsia="Arial" w:hAnsi="Arial"/>
          <w:sz w:val="16"/>
          <w:szCs w:val="16"/>
          <w:color w:val="010101"/>
        </w:rPr>
        <w:t>, in each case, such day is also a Business Day.</w:t>
      </w:r>
    </w:p>
    <w:p>
      <w:pPr>
        <w:spacing w:after="0" w:line="149"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Eurocurrency Liabilities</w:t>
      </w:r>
      <w:r>
        <w:rPr>
          <w:rFonts w:ascii="Arial" w:cs="Arial" w:eastAsia="Arial" w:hAnsi="Arial"/>
          <w:sz w:val="16"/>
          <w:szCs w:val="16"/>
          <w:color w:val="010101"/>
        </w:rPr>
        <w:t>” has the meaning assigned to that term in Regulation D of the Board of Governors of the Federal Reserve System, as in effect from time to time.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Eurocurrency Rate</w:t>
      </w:r>
      <w:r>
        <w:rPr>
          <w:rFonts w:ascii="Arial" w:cs="Arial" w:eastAsia="Arial" w:hAnsi="Arial"/>
          <w:sz w:val="16"/>
          <w:szCs w:val="16"/>
          <w:color w:val="010101"/>
        </w:rPr>
        <w:t>” means, for any Eurocurrency Rate Advance for any Interest Period:</w:t>
      </w:r>
    </w:p>
    <w:p>
      <w:pPr>
        <w:spacing w:after="0" w:line="160" w:lineRule="exact"/>
        <w:rPr>
          <w:sz w:val="20"/>
          <w:szCs w:val="20"/>
          <w:color w:val="auto"/>
        </w:rPr>
      </w:pPr>
    </w:p>
    <w:p>
      <w:pPr>
        <w:jc w:val="both"/>
        <w:ind w:left="20" w:firstLine="487"/>
        <w:spacing w:after="0" w:line="230" w:lineRule="auto"/>
        <w:tabs>
          <w:tab w:leader="none" w:pos="910" w:val="left"/>
        </w:tabs>
        <w:numPr>
          <w:ilvl w:val="1"/>
          <w:numId w:val="34"/>
        </w:numPr>
        <w:rPr>
          <w:rFonts w:ascii="Arial" w:cs="Arial" w:eastAsia="Arial" w:hAnsi="Arial"/>
          <w:sz w:val="16"/>
          <w:szCs w:val="16"/>
          <w:color w:val="010101"/>
        </w:rPr>
      </w:pPr>
      <w:r>
        <w:rPr>
          <w:rFonts w:ascii="Arial" w:cs="Arial" w:eastAsia="Arial" w:hAnsi="Arial"/>
          <w:sz w:val="16"/>
          <w:szCs w:val="16"/>
          <w:color w:val="010101"/>
        </w:rPr>
        <w:t>denominated in Euros, the greater of (i) the rate of interest per annum equal to the Euro Interbank Offered Rate (“</w:t>
      </w:r>
      <w:r>
        <w:rPr>
          <w:rFonts w:ascii="Arial" w:cs="Arial" w:eastAsia="Arial" w:hAnsi="Arial"/>
          <w:sz w:val="16"/>
          <w:szCs w:val="16"/>
          <w:u w:val="single" w:color="auto"/>
          <w:color w:val="010101"/>
        </w:rPr>
        <w:t>EURIBOR</w:t>
      </w:r>
      <w:r>
        <w:rPr>
          <w:rFonts w:ascii="Arial" w:cs="Arial" w:eastAsia="Arial" w:hAnsi="Arial"/>
          <w:sz w:val="16"/>
          <w:szCs w:val="16"/>
          <w:color w:val="010101"/>
        </w:rPr>
        <w:t>”) as administered by the European Money Markets Institute, or a comparable or successor administrator approved by the Administrative Agent, for a period comparable to the applicable Interest Period, at approximately 11:00 a.m. (Brussels time) on the applicable Rate Determination Date and (ii) the Floor;</w:t>
      </w:r>
    </w:p>
    <w:p>
      <w:pPr>
        <w:spacing w:after="0" w:line="148" w:lineRule="exact"/>
        <w:rPr>
          <w:rFonts w:ascii="Arial" w:cs="Arial" w:eastAsia="Arial" w:hAnsi="Arial"/>
          <w:sz w:val="16"/>
          <w:szCs w:val="16"/>
          <w:color w:val="010101"/>
        </w:rPr>
      </w:pPr>
    </w:p>
    <w:p>
      <w:pPr>
        <w:jc w:val="both"/>
        <w:ind w:left="20" w:right="20" w:firstLine="487"/>
        <w:spacing w:after="0" w:line="225" w:lineRule="auto"/>
        <w:tabs>
          <w:tab w:leader="none" w:pos="909" w:val="left"/>
        </w:tabs>
        <w:numPr>
          <w:ilvl w:val="1"/>
          <w:numId w:val="34"/>
        </w:numPr>
        <w:rPr>
          <w:rFonts w:ascii="Arial" w:cs="Arial" w:eastAsia="Arial" w:hAnsi="Arial"/>
          <w:sz w:val="16"/>
          <w:szCs w:val="16"/>
          <w:color w:val="010101"/>
        </w:rPr>
      </w:pPr>
      <w:r>
        <w:rPr>
          <w:rFonts w:ascii="Arial" w:cs="Arial" w:eastAsia="Arial" w:hAnsi="Arial"/>
          <w:sz w:val="16"/>
          <w:szCs w:val="16"/>
          <w:color w:val="010101"/>
        </w:rPr>
        <w:t>denominated in Canadian Dollars, the greater of (i) the rate per annum equal to the rate determined by the Administrative Agent on the basis of the rate applicable to Canadian Dollar bankers’ acceptances (“</w:t>
      </w:r>
      <w:r>
        <w:rPr>
          <w:rFonts w:ascii="Arial" w:cs="Arial" w:eastAsia="Arial" w:hAnsi="Arial"/>
          <w:sz w:val="16"/>
          <w:szCs w:val="16"/>
          <w:u w:val="single" w:color="auto"/>
          <w:color w:val="010101"/>
        </w:rPr>
        <w:t>CDOR</w:t>
      </w:r>
      <w:r>
        <w:rPr>
          <w:rFonts w:ascii="Arial" w:cs="Arial" w:eastAsia="Arial" w:hAnsi="Arial"/>
          <w:sz w:val="16"/>
          <w:szCs w:val="16"/>
          <w:color w:val="010101"/>
        </w:rPr>
        <w:t>”) as administered by Refinitiv Benchmarks Services (UK) Limited, or a comparable or successor administrator approved by the Administrative Agent, for a period comparable to the applicable Interest Period, at approximately 10:00 a.m. (Toronto time) on the applicable Rate Determination Date and (ii) the Floor;</w:t>
      </w:r>
    </w:p>
    <w:p>
      <w:pPr>
        <w:spacing w:after="0" w:line="148" w:lineRule="exact"/>
        <w:rPr>
          <w:rFonts w:ascii="Arial" w:cs="Arial" w:eastAsia="Arial" w:hAnsi="Arial"/>
          <w:sz w:val="16"/>
          <w:szCs w:val="16"/>
          <w:color w:val="010101"/>
        </w:rPr>
      </w:pPr>
    </w:p>
    <w:p>
      <w:pPr>
        <w:jc w:val="both"/>
        <w:ind w:left="20" w:right="20" w:firstLine="487"/>
        <w:spacing w:after="0" w:line="225" w:lineRule="auto"/>
        <w:tabs>
          <w:tab w:leader="none" w:pos="910" w:val="left"/>
        </w:tabs>
        <w:numPr>
          <w:ilvl w:val="1"/>
          <w:numId w:val="34"/>
        </w:numPr>
        <w:rPr>
          <w:rFonts w:ascii="Arial" w:cs="Arial" w:eastAsia="Arial" w:hAnsi="Arial"/>
          <w:sz w:val="16"/>
          <w:szCs w:val="16"/>
          <w:color w:val="010101"/>
        </w:rPr>
      </w:pPr>
      <w:r>
        <w:rPr>
          <w:rFonts w:ascii="Arial" w:cs="Arial" w:eastAsia="Arial" w:hAnsi="Arial"/>
          <w:sz w:val="16"/>
          <w:szCs w:val="16"/>
          <w:color w:val="010101"/>
        </w:rPr>
        <w:t>denominated in Australian Dollars, the greater of (i) the rate per annum equal to the Bank Bill Swap Reference Bid Rate (“</w:t>
      </w:r>
      <w:r>
        <w:rPr>
          <w:rFonts w:ascii="Arial" w:cs="Arial" w:eastAsia="Arial" w:hAnsi="Arial"/>
          <w:sz w:val="16"/>
          <w:szCs w:val="16"/>
          <w:u w:val="single" w:color="auto"/>
          <w:color w:val="010101"/>
        </w:rPr>
        <w:t>BBSY</w:t>
      </w:r>
      <w:r>
        <w:rPr>
          <w:rFonts w:ascii="Arial" w:cs="Arial" w:eastAsia="Arial" w:hAnsi="Arial"/>
          <w:sz w:val="16"/>
          <w:szCs w:val="16"/>
          <w:color w:val="010101"/>
        </w:rPr>
        <w:t>”) as published on the applicable Reuters screen page (or such other commercially available source providing such quotations as may be designated by the Administrative Agent from time to time), for a period comparable to the applicable Interest Period, at approximately 10:30 a.m. (Melbourne time) on the applicable Rate Determination Date and (ii) the Floor; and</w:t>
      </w:r>
    </w:p>
    <w:p>
      <w:pPr>
        <w:spacing w:after="0" w:line="130" w:lineRule="exact"/>
        <w:rPr>
          <w:rFonts w:ascii="Arial" w:cs="Arial" w:eastAsia="Arial" w:hAnsi="Arial"/>
          <w:sz w:val="16"/>
          <w:szCs w:val="16"/>
          <w:color w:val="010101"/>
        </w:rPr>
      </w:pPr>
    </w:p>
    <w:p>
      <w:pPr>
        <w:ind w:left="1000" w:hanging="493"/>
        <w:spacing w:after="0"/>
        <w:tabs>
          <w:tab w:leader="none" w:pos="1000" w:val="left"/>
        </w:tabs>
        <w:numPr>
          <w:ilvl w:val="1"/>
          <w:numId w:val="34"/>
        </w:numPr>
        <w:rPr>
          <w:rFonts w:ascii="Arial" w:cs="Arial" w:eastAsia="Arial" w:hAnsi="Arial"/>
          <w:sz w:val="16"/>
          <w:szCs w:val="16"/>
          <w:color w:val="010101"/>
        </w:rPr>
      </w:pPr>
      <w:r>
        <w:rPr>
          <w:rFonts w:ascii="Arial" w:cs="Arial" w:eastAsia="Arial" w:hAnsi="Arial"/>
          <w:sz w:val="16"/>
          <w:szCs w:val="16"/>
          <w:color w:val="010101"/>
        </w:rPr>
        <w:t>denominated in any other Currency (other than a Currency referenced in clauses</w:t>
      </w:r>
    </w:p>
    <w:p>
      <w:pPr>
        <w:ind w:left="20" w:firstLine="2"/>
        <w:spacing w:after="0" w:line="230" w:lineRule="auto"/>
        <w:tabs>
          <w:tab w:leader="none" w:pos="243" w:val="left"/>
        </w:tabs>
        <w:numPr>
          <w:ilvl w:val="0"/>
          <w:numId w:val="35"/>
        </w:numPr>
        <w:rPr>
          <w:rFonts w:ascii="Arial" w:cs="Arial" w:eastAsia="Arial" w:hAnsi="Arial"/>
          <w:sz w:val="16"/>
          <w:szCs w:val="16"/>
          <w:color w:val="010101"/>
        </w:rPr>
      </w:pPr>
      <w:r>
        <w:rPr>
          <w:rFonts w:ascii="Arial" w:cs="Arial" w:eastAsia="Arial" w:hAnsi="Arial"/>
          <w:sz w:val="16"/>
          <w:szCs w:val="16"/>
          <w:color w:val="010101"/>
        </w:rPr>
        <w:t>through (c) above, Sterling or Singapore Dollars) approved by all Lenders, the rate designated with respect to such Currency at the time such currency is approved by the Administrative Agent and the Lenders.</w:t>
      </w:r>
    </w:p>
    <w:p>
      <w:pPr>
        <w:spacing w:after="0" w:line="149"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Eurocurrency Rate Advance</w:t>
      </w:r>
      <w:r>
        <w:rPr>
          <w:rFonts w:ascii="Arial" w:cs="Arial" w:eastAsia="Arial" w:hAnsi="Arial"/>
          <w:sz w:val="16"/>
          <w:szCs w:val="16"/>
          <w:color w:val="010101"/>
        </w:rPr>
        <w:t>” means any Advance bearing interest at a rate based on the Adjusted Eurocurrency Rate other than pursuant to clause (c) of the definition of “Base Rate”.</w:t>
      </w:r>
    </w:p>
    <w:p>
      <w:pPr>
        <w:spacing w:after="0" w:line="149" w:lineRule="exact"/>
        <w:rPr>
          <w:sz w:val="20"/>
          <w:szCs w:val="20"/>
          <w:color w:val="auto"/>
        </w:rPr>
      </w:pPr>
    </w:p>
    <w:p>
      <w:pPr>
        <w:jc w:val="both"/>
        <w:ind w:left="20" w:right="20" w:firstLine="485"/>
        <w:spacing w:after="0" w:line="263" w:lineRule="auto"/>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Eurocurrency Reserve Percentage</w:t>
      </w:r>
      <w:r>
        <w:rPr>
          <w:rFonts w:ascii="Arial" w:cs="Arial" w:eastAsia="Arial" w:hAnsi="Arial"/>
          <w:sz w:val="14"/>
          <w:szCs w:val="14"/>
          <w:color w:val="010101"/>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Advances. The Adjusted Eurocurrency Rate for each outstanding Advance shall be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80" w:name="page81"/>
    <w:bookmarkEnd w:id="80"/>
    <w:p>
      <w:pPr>
        <w:ind w:left="20"/>
        <w:spacing w:after="0"/>
        <w:rPr>
          <w:sz w:val="20"/>
          <w:szCs w:val="20"/>
          <w:color w:val="auto"/>
        </w:rPr>
      </w:pPr>
      <w:r>
        <w:rPr>
          <w:rFonts w:ascii="Arial" w:cs="Arial" w:eastAsia="Arial" w:hAnsi="Arial"/>
          <w:sz w:val="16"/>
          <w:szCs w:val="16"/>
          <w:color w:val="010101"/>
        </w:rPr>
        <w:t>adjusted automatically as of the effective date of any change in the Eurocurrency Reserve Percentage.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Events of Default</w:t>
      </w:r>
      <w:r>
        <w:rPr>
          <w:rFonts w:ascii="Arial" w:cs="Arial" w:eastAsia="Arial" w:hAnsi="Arial"/>
          <w:sz w:val="16"/>
          <w:szCs w:val="16"/>
          <w:color w:val="010101"/>
        </w:rPr>
        <w:t>” has the meaning specified in Section 6.01.</w:t>
      </w:r>
    </w:p>
    <w:p>
      <w:pPr>
        <w:spacing w:after="0" w:line="170" w:lineRule="exact"/>
        <w:rPr>
          <w:sz w:val="20"/>
          <w:szCs w:val="20"/>
          <w:color w:val="auto"/>
        </w:rPr>
      </w:pPr>
    </w:p>
    <w:p>
      <w:pPr>
        <w:jc w:val="both"/>
        <w:ind w:left="20" w:firstLine="485"/>
        <w:spacing w:after="0" w:line="218"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Excluded Swap Obligation</w:t>
      </w:r>
      <w:r>
        <w:rPr>
          <w:rFonts w:ascii="Arial" w:cs="Arial" w:eastAsia="Arial" w:hAnsi="Arial"/>
          <w:sz w:val="16"/>
          <w:szCs w:val="16"/>
          <w:color w:val="010101"/>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38" w:lineRule="exact"/>
        <w:rPr>
          <w:sz w:val="20"/>
          <w:szCs w:val="20"/>
          <w:color w:val="auto"/>
        </w:rPr>
      </w:pPr>
    </w:p>
    <w:p>
      <w:pPr>
        <w:jc w:val="both"/>
        <w:ind w:left="20" w:firstLine="485"/>
        <w:spacing w:after="0" w:line="246" w:lineRule="auto"/>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Excluded Taxes</w:t>
      </w:r>
      <w:r>
        <w:rPr>
          <w:rFonts w:ascii="Arial" w:cs="Arial" w:eastAsia="Arial" w:hAnsi="Arial"/>
          <w:sz w:val="14"/>
          <w:szCs w:val="14"/>
          <w:color w:val="010101"/>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and, with respect to any applicable Foreign Borrower, in the case of a Lender which is not a UK Treaty Lender, withholding Taxes of the United Kingdom, Canada, Australia, Singapore or any other foreign jurisdiction under the laws of which such Foreign Borrower is organized,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Company under Section 2.19(b)) or (ii) such Lender changes its lending office, except in each case to the extent that, pursuant to Section 2.14, amounts with respect to such Taxes were payable either to such Lender’s assignor immediately before such Lender acquired the applicable interest in such Advance or Commitment or to such Lender immediately before it changed its lending office, (c) Taxes attributable to such Recipient’s failure to comply with Sections 2.14(d) and 2.14(f), (d) if any Lender is found as the result of a determination (as defined in Section 1313(a) of the Internal Revenue Code) to be a conduit entity participating in a conduit financing arrangement as defined in Treasury Regulations promulgated under Section 7701(l) of the Internal Revenue Code, the excess of the United States Taxes imposed with respect to such Lender over the amount of United States Taxes that would have been imposed with respect to such Lender if such determination had not been made with respect to such Lender and (e) any withholding Taxes imposed under FATCA.</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Existing Credit Agreement</w:t>
      </w:r>
      <w:r>
        <w:rPr>
          <w:rFonts w:ascii="Arial" w:cs="Arial" w:eastAsia="Arial" w:hAnsi="Arial"/>
          <w:sz w:val="16"/>
          <w:szCs w:val="16"/>
          <w:color w:val="010101"/>
        </w:rPr>
        <w:t>” means this Agreement as in effect immediately prior to the Effective Date.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81" w:name="page82"/>
    <w:bookmarkEnd w:id="81"/>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Existing Letters of Credit</w:t>
      </w:r>
      <w:r>
        <w:rPr>
          <w:rFonts w:ascii="Arial" w:cs="Arial" w:eastAsia="Arial" w:hAnsi="Arial"/>
          <w:sz w:val="16"/>
          <w:szCs w:val="16"/>
          <w:color w:val="010101"/>
        </w:rPr>
        <w:t xml:space="preserve">” means those letters of credit existing on the Effective Date and identified on </w:t>
      </w:r>
      <w:r>
        <w:rPr>
          <w:rFonts w:ascii="Arial" w:cs="Arial" w:eastAsia="Arial" w:hAnsi="Arial"/>
          <w:sz w:val="16"/>
          <w:szCs w:val="16"/>
          <w:u w:val="single" w:color="auto"/>
          <w:color w:val="010101"/>
        </w:rPr>
        <w:t>Schedule 1.1</w:t>
      </w:r>
      <w:r>
        <w:rPr>
          <w:rFonts w:ascii="Arial" w:cs="Arial" w:eastAsia="Arial" w:hAnsi="Arial"/>
          <w:sz w:val="16"/>
          <w:szCs w:val="16"/>
          <w:color w:val="010101"/>
        </w:rPr>
        <w:t>.</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Extended Letter of Credit</w:t>
      </w:r>
      <w:r>
        <w:rPr>
          <w:rFonts w:ascii="Arial" w:cs="Arial" w:eastAsia="Arial" w:hAnsi="Arial"/>
          <w:sz w:val="16"/>
          <w:szCs w:val="16"/>
          <w:color w:val="010101"/>
        </w:rPr>
        <w:t>” has the meaning specified in Section 10.01(b). “</w:t>
      </w:r>
      <w:r>
        <w:rPr>
          <w:rFonts w:ascii="Arial" w:cs="Arial" w:eastAsia="Arial" w:hAnsi="Arial"/>
          <w:sz w:val="16"/>
          <w:szCs w:val="16"/>
          <w:u w:val="single" w:color="auto"/>
          <w:color w:val="010101"/>
        </w:rPr>
        <w:t>Extension Date</w:t>
      </w:r>
      <w:r>
        <w:rPr>
          <w:rFonts w:ascii="Arial" w:cs="Arial" w:eastAsia="Arial" w:hAnsi="Arial"/>
          <w:sz w:val="16"/>
          <w:szCs w:val="16"/>
          <w:color w:val="010101"/>
        </w:rPr>
        <w:t>” has the meaning specified in Section 2.17(b).</w:t>
      </w:r>
    </w:p>
    <w:p>
      <w:pPr>
        <w:spacing w:after="0" w:line="75" w:lineRule="exact"/>
        <w:rPr>
          <w:sz w:val="20"/>
          <w:szCs w:val="20"/>
          <w:color w:val="auto"/>
        </w:rPr>
      </w:pPr>
    </w:p>
    <w:p>
      <w:pPr>
        <w:jc w:val="both"/>
        <w:ind w:left="20" w:right="20" w:firstLine="485"/>
        <w:spacing w:after="0" w:line="231"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Extensions of Credit</w:t>
      </w:r>
      <w:r>
        <w:rPr>
          <w:rFonts w:ascii="Arial" w:cs="Arial" w:eastAsia="Arial" w:hAnsi="Arial"/>
          <w:sz w:val="16"/>
          <w:szCs w:val="16"/>
          <w:color w:val="010101"/>
        </w:rPr>
        <w:t xml:space="preserve">” means, as to any </w:t>
      </w:r>
      <w:r>
        <w:rPr>
          <w:rFonts w:ascii="Arial" w:cs="Arial" w:eastAsia="Arial" w:hAnsi="Arial"/>
          <w:sz w:val="14"/>
          <w:szCs w:val="14"/>
          <w:b w:val="1"/>
          <w:bCs w:val="1"/>
          <w:u w:val="single" w:color="auto"/>
          <w:color w:val="0000FF"/>
        </w:rPr>
        <w:t>Revolving</w:t>
      </w:r>
      <w:r>
        <w:rPr>
          <w:rFonts w:ascii="Arial" w:cs="Arial" w:eastAsia="Arial" w:hAnsi="Arial"/>
          <w:sz w:val="16"/>
          <w:szCs w:val="16"/>
          <w:color w:val="010101"/>
        </w:rPr>
        <w:t xml:space="preserve"> Lender at any time, (a) an amount equal to the sum of (i) the aggregate principal amount of all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Advances made by such </w:t>
      </w:r>
      <w:r>
        <w:rPr>
          <w:rFonts w:ascii="Arial" w:cs="Arial" w:eastAsia="Arial" w:hAnsi="Arial"/>
          <w:sz w:val="14"/>
          <w:szCs w:val="14"/>
          <w:b w:val="1"/>
          <w:bCs w:val="1"/>
          <w:u w:val="single" w:color="auto"/>
          <w:color w:val="0000FF"/>
        </w:rPr>
        <w:t>Revolving</w:t>
      </w:r>
      <w:r>
        <w:rPr>
          <w:rFonts w:ascii="Arial" w:cs="Arial" w:eastAsia="Arial" w:hAnsi="Arial"/>
          <w:sz w:val="16"/>
          <w:szCs w:val="16"/>
          <w:color w:val="010101"/>
        </w:rPr>
        <w:t xml:space="preserve"> Lender then outstanding and (ii) such </w:t>
      </w:r>
      <w:r>
        <w:rPr>
          <w:rFonts w:ascii="Arial" w:cs="Arial" w:eastAsia="Arial" w:hAnsi="Arial"/>
          <w:sz w:val="14"/>
          <w:szCs w:val="14"/>
          <w:b w:val="1"/>
          <w:bCs w:val="1"/>
          <w:u w:val="single" w:color="auto"/>
          <w:color w:val="0000FF"/>
        </w:rPr>
        <w:t>Revolving</w:t>
      </w:r>
      <w:r>
        <w:rPr>
          <w:rFonts w:ascii="Arial" w:cs="Arial" w:eastAsia="Arial" w:hAnsi="Arial"/>
          <w:sz w:val="16"/>
          <w:szCs w:val="16"/>
          <w:color w:val="010101"/>
        </w:rPr>
        <w:t xml:space="preserve"> Lender’s Commitment Percentage of the L/C Obligations then outstanding, or (b) the making of any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 or participation in any Letter of Credit by such </w:t>
      </w:r>
      <w:r>
        <w:rPr>
          <w:rFonts w:ascii="Arial" w:cs="Arial" w:eastAsia="Arial" w:hAnsi="Arial"/>
          <w:sz w:val="14"/>
          <w:szCs w:val="14"/>
          <w:b w:val="1"/>
          <w:bCs w:val="1"/>
          <w:u w:val="single" w:color="auto"/>
          <w:color w:val="0000FF"/>
        </w:rPr>
        <w:t>Revolving</w:t>
      </w:r>
      <w:r>
        <w:rPr>
          <w:rFonts w:ascii="Arial" w:cs="Arial" w:eastAsia="Arial" w:hAnsi="Arial"/>
          <w:sz w:val="16"/>
          <w:szCs w:val="16"/>
          <w:color w:val="010101"/>
        </w:rPr>
        <w:t xml:space="preserve"> Lender, as the context requires.</w:t>
      </w:r>
    </w:p>
    <w:p>
      <w:pPr>
        <w:spacing w:after="0" w:line="140" w:lineRule="exact"/>
        <w:rPr>
          <w:sz w:val="20"/>
          <w:szCs w:val="20"/>
          <w:color w:val="auto"/>
        </w:rPr>
      </w:pPr>
    </w:p>
    <w:p>
      <w:pPr>
        <w:jc w:val="both"/>
        <w:ind w:left="20" w:firstLine="485"/>
        <w:spacing w:after="0" w:line="263" w:lineRule="auto"/>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FATCA</w:t>
      </w:r>
      <w:r>
        <w:rPr>
          <w:rFonts w:ascii="Arial" w:cs="Arial" w:eastAsia="Arial" w:hAnsi="Arial"/>
          <w:sz w:val="14"/>
          <w:szCs w:val="14"/>
          <w:color w:val="010101"/>
        </w:rPr>
        <w:t>” means Sections 1471 through 1474 of the Internal Revenue Code, as of the date of this Agreement (including any amended or successor provisions thereto to the extent substantially comparable thereto), any current or future regulations or official interpretations thereof, any agreements entered into pursuant to Section 1471(b)(1) of the Internal Revenue Code (or any amended or successor provisions as described above), and any fiscal or regulatory legislation, rules or practices adopted pursuant to any intergovernmental agreement, treaty or convention among Governmental Authorities entered into in connection with the implementation of the foregoing.</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FCA</w:t>
      </w:r>
      <w:r>
        <w:rPr>
          <w:rFonts w:ascii="Arial" w:cs="Arial" w:eastAsia="Arial" w:hAnsi="Arial"/>
          <w:sz w:val="15"/>
          <w:szCs w:val="15"/>
          <w:color w:val="010101"/>
        </w:rPr>
        <w:t>” means the Financial Conduct Authority, the regulatory supervisor of “</w:t>
      </w:r>
      <w:r>
        <w:rPr>
          <w:rFonts w:ascii="Arial" w:cs="Arial" w:eastAsia="Arial" w:hAnsi="Arial"/>
          <w:sz w:val="15"/>
          <w:szCs w:val="15"/>
          <w:u w:val="single" w:color="auto"/>
          <w:color w:val="010101"/>
        </w:rPr>
        <w:t>IBA</w:t>
      </w:r>
      <w:r>
        <w:rPr>
          <w:rFonts w:ascii="Arial" w:cs="Arial" w:eastAsia="Arial" w:hAnsi="Arial"/>
          <w:sz w:val="15"/>
          <w:szCs w:val="15"/>
          <w:color w:val="010101"/>
        </w:rPr>
        <w:t>”. “</w:t>
      </w:r>
      <w:r>
        <w:rPr>
          <w:rFonts w:ascii="Arial" w:cs="Arial" w:eastAsia="Arial" w:hAnsi="Arial"/>
          <w:sz w:val="15"/>
          <w:szCs w:val="15"/>
          <w:u w:val="single" w:color="auto"/>
          <w:color w:val="010101"/>
        </w:rPr>
        <w:t>FCPA</w:t>
      </w:r>
      <w:r>
        <w:rPr>
          <w:rFonts w:ascii="Arial" w:cs="Arial" w:eastAsia="Arial" w:hAnsi="Arial"/>
          <w:sz w:val="15"/>
          <w:szCs w:val="15"/>
          <w:color w:val="010101"/>
        </w:rPr>
        <w:t>” means the Foreign Corrupt Practices Act, 15 U.S.C. §§ 78dd-1, et</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seq., as of the</w:t>
      </w:r>
    </w:p>
    <w:p>
      <w:pPr>
        <w:spacing w:after="0" w:line="99" w:lineRule="exact"/>
        <w:rPr>
          <w:sz w:val="20"/>
          <w:szCs w:val="20"/>
          <w:color w:val="auto"/>
        </w:rPr>
      </w:pPr>
    </w:p>
    <w:p>
      <w:pPr>
        <w:ind w:left="20" w:right="40"/>
        <w:spacing w:after="0" w:line="239" w:lineRule="auto"/>
        <w:rPr>
          <w:sz w:val="20"/>
          <w:szCs w:val="20"/>
          <w:color w:val="auto"/>
        </w:rPr>
      </w:pPr>
      <w:r>
        <w:rPr>
          <w:rFonts w:ascii="Arial" w:cs="Arial" w:eastAsia="Arial" w:hAnsi="Arial"/>
          <w:sz w:val="16"/>
          <w:szCs w:val="16"/>
          <w:color w:val="010101"/>
        </w:rPr>
        <w:t>date of this Agreement (including any amended or successor provisions thereto to the extent substantially comparable thereto) and any current or future regulations or official interpretations thereof.</w:t>
      </w:r>
    </w:p>
    <w:p>
      <w:pPr>
        <w:spacing w:after="0" w:line="149" w:lineRule="exact"/>
        <w:rPr>
          <w:sz w:val="20"/>
          <w:szCs w:val="20"/>
          <w:color w:val="auto"/>
        </w:rPr>
      </w:pPr>
    </w:p>
    <w:p>
      <w:pPr>
        <w:jc w:val="both"/>
        <w:ind w:left="20" w:right="20" w:firstLine="485"/>
        <w:spacing w:after="0" w:line="237"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Federal Funds Rate</w:t>
      </w:r>
      <w:r>
        <w:rPr>
          <w:rFonts w:ascii="Arial" w:cs="Arial" w:eastAsia="Arial" w:hAnsi="Arial"/>
          <w:sz w:val="15"/>
          <w:szCs w:val="15"/>
          <w:color w:val="010101"/>
        </w:rPr>
        <w:t>”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5"/>
          <w:szCs w:val="15"/>
          <w:b w:val="1"/>
          <w:bCs w:val="1"/>
          <w:u w:val="single" w:color="auto"/>
          <w:color w:val="0000FF"/>
        </w:rPr>
        <w:t>“First Amendment” means that certain First Amendment to Second Amended and Restate</w:t>
      </w:r>
      <w:r>
        <w:rPr>
          <w:rFonts w:ascii="Arial" w:cs="Arial" w:eastAsia="Arial" w:hAnsi="Arial"/>
          <w:sz w:val="15"/>
          <w:szCs w:val="15"/>
          <w:b w:val="1"/>
          <w:bCs w:val="1"/>
          <w:color w:val="0000FF"/>
        </w:rPr>
        <w:t xml:space="preserve">d </w:t>
      </w:r>
      <w:r>
        <w:rPr>
          <w:rFonts w:ascii="Arial" w:cs="Arial" w:eastAsia="Arial" w:hAnsi="Arial"/>
          <w:sz w:val="15"/>
          <w:szCs w:val="15"/>
          <w:b w:val="1"/>
          <w:bCs w:val="1"/>
          <w:u w:val="single" w:color="auto"/>
          <w:color w:val="0000FF"/>
        </w:rPr>
        <w:t>Fiv</w:t>
      </w:r>
      <w:r>
        <w:rPr>
          <w:rFonts w:ascii="Arial" w:cs="Arial" w:eastAsia="Arial" w:hAnsi="Arial"/>
          <w:sz w:val="15"/>
          <w:szCs w:val="15"/>
          <w:b w:val="1"/>
          <w:bCs w:val="1"/>
          <w:color w:val="0000FF"/>
        </w:rPr>
        <w:t xml:space="preserve">e </w:t>
      </w:r>
      <w:r>
        <w:rPr>
          <w:rFonts w:ascii="Arial" w:cs="Arial" w:eastAsia="Arial" w:hAnsi="Arial"/>
          <w:sz w:val="15"/>
          <w:szCs w:val="15"/>
          <w:b w:val="1"/>
          <w:bCs w:val="1"/>
          <w:u w:val="single" w:color="auto"/>
          <w:color w:val="0000FF"/>
        </w:rPr>
        <w:t>Yea</w:t>
      </w:r>
      <w:r>
        <w:rPr>
          <w:rFonts w:ascii="Arial" w:cs="Arial" w:eastAsia="Arial" w:hAnsi="Arial"/>
          <w:sz w:val="15"/>
          <w:szCs w:val="15"/>
          <w:b w:val="1"/>
          <w:bCs w:val="1"/>
          <w:color w:val="0000FF"/>
        </w:rPr>
        <w:t xml:space="preserve">r </w:t>
      </w:r>
      <w:r>
        <w:rPr>
          <w:rFonts w:ascii="Arial" w:cs="Arial" w:eastAsia="Arial" w:hAnsi="Arial"/>
          <w:sz w:val="15"/>
          <w:szCs w:val="15"/>
          <w:b w:val="1"/>
          <w:bCs w:val="1"/>
          <w:u w:val="single" w:color="auto"/>
          <w:color w:val="0000FF"/>
        </w:rPr>
        <w:t>Credi</w:t>
      </w:r>
      <w:r>
        <w:rPr>
          <w:rFonts w:ascii="Arial" w:cs="Arial" w:eastAsia="Arial" w:hAnsi="Arial"/>
          <w:sz w:val="15"/>
          <w:szCs w:val="15"/>
          <w:b w:val="1"/>
          <w:bCs w:val="1"/>
          <w:color w:val="0000FF"/>
        </w:rPr>
        <w:t xml:space="preserve">t </w:t>
      </w:r>
      <w:r>
        <w:rPr>
          <w:rFonts w:ascii="Arial" w:cs="Arial" w:eastAsia="Arial" w:hAnsi="Arial"/>
          <w:sz w:val="15"/>
          <w:szCs w:val="15"/>
          <w:b w:val="1"/>
          <w:bCs w:val="1"/>
          <w:u w:val="single" w:color="auto"/>
          <w:color w:val="0000FF"/>
        </w:rPr>
        <w:t>Agreement</w:t>
      </w:r>
      <w:r>
        <w:rPr>
          <w:rFonts w:ascii="Arial" w:cs="Arial" w:eastAsia="Arial" w:hAnsi="Arial"/>
          <w:sz w:val="15"/>
          <w:szCs w:val="15"/>
          <w:b w:val="1"/>
          <w:bCs w:val="1"/>
          <w:color w:val="0000FF"/>
        </w:rPr>
        <w:t xml:space="preserve">, </w:t>
      </w:r>
      <w:r>
        <w:rPr>
          <w:rFonts w:ascii="Arial" w:cs="Arial" w:eastAsia="Arial" w:hAnsi="Arial"/>
          <w:sz w:val="15"/>
          <w:szCs w:val="15"/>
          <w:b w:val="1"/>
          <w:bCs w:val="1"/>
          <w:u w:val="single" w:color="auto"/>
          <w:color w:val="0000FF"/>
        </w:rPr>
        <w:t>date</w:t>
      </w:r>
      <w:r>
        <w:rPr>
          <w:rFonts w:ascii="Arial" w:cs="Arial" w:eastAsia="Arial" w:hAnsi="Arial"/>
          <w:sz w:val="15"/>
          <w:szCs w:val="15"/>
          <w:b w:val="1"/>
          <w:bCs w:val="1"/>
          <w:color w:val="0000FF"/>
        </w:rPr>
        <w:t xml:space="preserve">d </w:t>
      </w:r>
      <w:r>
        <w:rPr>
          <w:rFonts w:ascii="Arial" w:cs="Arial" w:eastAsia="Arial" w:hAnsi="Arial"/>
          <w:sz w:val="15"/>
          <w:szCs w:val="15"/>
          <w:b w:val="1"/>
          <w:bCs w:val="1"/>
          <w:u w:val="single" w:color="auto"/>
          <w:color w:val="0000FF"/>
        </w:rPr>
        <w:t>a</w:t>
      </w:r>
      <w:r>
        <w:rPr>
          <w:rFonts w:ascii="Arial" w:cs="Arial" w:eastAsia="Arial" w:hAnsi="Arial"/>
          <w:sz w:val="15"/>
          <w:szCs w:val="15"/>
          <w:b w:val="1"/>
          <w:bCs w:val="1"/>
          <w:color w:val="0000FF"/>
        </w:rPr>
        <w:t xml:space="preserve">s </w:t>
      </w:r>
      <w:r>
        <w:rPr>
          <w:rFonts w:ascii="Arial" w:cs="Arial" w:eastAsia="Arial" w:hAnsi="Arial"/>
          <w:sz w:val="15"/>
          <w:szCs w:val="15"/>
          <w:b w:val="1"/>
          <w:bCs w:val="1"/>
          <w:u w:val="single" w:color="auto"/>
          <w:color w:val="0000FF"/>
        </w:rPr>
        <w:t>o</w:t>
      </w:r>
      <w:r>
        <w:rPr>
          <w:rFonts w:ascii="Arial" w:cs="Arial" w:eastAsia="Arial" w:hAnsi="Arial"/>
          <w:sz w:val="15"/>
          <w:szCs w:val="15"/>
          <w:b w:val="1"/>
          <w:bCs w:val="1"/>
          <w:color w:val="0000FF"/>
        </w:rPr>
        <w:t xml:space="preserve">f </w:t>
      </w:r>
      <w:r>
        <w:rPr>
          <w:rFonts w:ascii="Arial" w:cs="Arial" w:eastAsia="Arial" w:hAnsi="Arial"/>
          <w:sz w:val="15"/>
          <w:szCs w:val="15"/>
          <w:b w:val="1"/>
          <w:bCs w:val="1"/>
          <w:u w:val="single" w:color="auto"/>
          <w:color w:val="0000FF"/>
        </w:rPr>
        <w:t>Jul</w:t>
      </w:r>
      <w:r>
        <w:rPr>
          <w:rFonts w:ascii="Arial" w:cs="Arial" w:eastAsia="Arial" w:hAnsi="Arial"/>
          <w:sz w:val="15"/>
          <w:szCs w:val="15"/>
          <w:b w:val="1"/>
          <w:bCs w:val="1"/>
          <w:color w:val="0000FF"/>
        </w:rPr>
        <w:t xml:space="preserve">y </w:t>
      </w:r>
      <w:r>
        <w:rPr>
          <w:rFonts w:ascii="Arial" w:cs="Arial" w:eastAsia="Arial" w:hAnsi="Arial"/>
          <w:sz w:val="15"/>
          <w:szCs w:val="15"/>
          <w:b w:val="1"/>
          <w:bCs w:val="1"/>
          <w:u w:val="single" w:color="auto"/>
          <w:color w:val="0000FF"/>
        </w:rPr>
        <w:t>28</w:t>
      </w:r>
      <w:r>
        <w:rPr>
          <w:rFonts w:ascii="Arial" w:cs="Arial" w:eastAsia="Arial" w:hAnsi="Arial"/>
          <w:sz w:val="15"/>
          <w:szCs w:val="15"/>
          <w:b w:val="1"/>
          <w:bCs w:val="1"/>
          <w:color w:val="0000FF"/>
        </w:rPr>
        <w:t>, 2023.</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b w:val="1"/>
          <w:bCs w:val="1"/>
          <w:u w:val="single" w:color="auto"/>
          <w:color w:val="0000FF"/>
        </w:rPr>
        <w:t>“Firs</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Amendmen</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Effectiv</w:t>
      </w:r>
      <w:r>
        <w:rPr>
          <w:rFonts w:ascii="Arial" w:cs="Arial" w:eastAsia="Arial" w:hAnsi="Arial"/>
          <w:sz w:val="16"/>
          <w:szCs w:val="16"/>
          <w:b w:val="1"/>
          <w:bCs w:val="1"/>
          <w:color w:val="0000FF"/>
        </w:rPr>
        <w:t xml:space="preserve">e Date” </w:t>
      </w:r>
      <w:r>
        <w:rPr>
          <w:rFonts w:ascii="Arial" w:cs="Arial" w:eastAsia="Arial" w:hAnsi="Arial"/>
          <w:sz w:val="16"/>
          <w:szCs w:val="16"/>
          <w:b w:val="1"/>
          <w:bCs w:val="1"/>
          <w:u w:val="single" w:color="auto"/>
          <w:color w:val="0000FF"/>
        </w:rPr>
        <w:t>mean</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Jul</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28</w:t>
      </w:r>
      <w:r>
        <w:rPr>
          <w:rFonts w:ascii="Arial" w:cs="Arial" w:eastAsia="Arial" w:hAnsi="Arial"/>
          <w:sz w:val="16"/>
          <w:szCs w:val="16"/>
          <w:b w:val="1"/>
          <w:bCs w:val="1"/>
          <w:color w:val="0000FF"/>
        </w:rPr>
        <w:t>, 2023.</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Floor</w:t>
      </w:r>
      <w:r>
        <w:rPr>
          <w:rFonts w:ascii="Arial" w:cs="Arial" w:eastAsia="Arial" w:hAnsi="Arial"/>
          <w:sz w:val="16"/>
          <w:szCs w:val="16"/>
          <w:color w:val="010101"/>
        </w:rPr>
        <w:t>” means a rate of interest equal to 0%.</w:t>
      </w:r>
    </w:p>
    <w:p>
      <w:pPr>
        <w:spacing w:after="0" w:line="160"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Floorplan Financing</w:t>
      </w:r>
      <w:r>
        <w:rPr>
          <w:rFonts w:ascii="Arial" w:cs="Arial" w:eastAsia="Arial" w:hAnsi="Arial"/>
          <w:sz w:val="16"/>
          <w:szCs w:val="16"/>
          <w:color w:val="010101"/>
        </w:rPr>
        <w:t>” means, with respect to a Credit Party or any Subsidiary thereof, any dealership floorplan financing incurred by any such Person with respect to vehicles sold,</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82" w:name="page83"/>
    <w:bookmarkEnd w:id="82"/>
    <w:p>
      <w:pPr>
        <w:ind w:left="20"/>
        <w:spacing w:after="0"/>
        <w:rPr>
          <w:sz w:val="20"/>
          <w:szCs w:val="20"/>
          <w:color w:val="auto"/>
        </w:rPr>
      </w:pPr>
      <w:r>
        <w:rPr>
          <w:rFonts w:ascii="Arial" w:cs="Arial" w:eastAsia="Arial" w:hAnsi="Arial"/>
          <w:sz w:val="16"/>
          <w:szCs w:val="16"/>
          <w:color w:val="010101"/>
        </w:rPr>
        <w:t>leased, held for sale or lease or otherwise used by any such Person at any dealership of such Person.</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Foreign Borrower Obligations</w:t>
      </w:r>
      <w:r>
        <w:rPr>
          <w:rFonts w:ascii="Arial" w:cs="Arial" w:eastAsia="Arial" w:hAnsi="Arial"/>
          <w:sz w:val="16"/>
          <w:szCs w:val="16"/>
          <w:color w:val="010101"/>
        </w:rPr>
        <w:t>” means the obligations of each Foreign Borrower hereunder and under the other Loan Documents.</w:t>
      </w:r>
    </w:p>
    <w:p>
      <w:pPr>
        <w:spacing w:after="0" w:line="160"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Foreign Borrowers</w:t>
      </w:r>
      <w:r>
        <w:rPr>
          <w:rFonts w:ascii="Arial" w:cs="Arial" w:eastAsia="Arial" w:hAnsi="Arial"/>
          <w:sz w:val="16"/>
          <w:szCs w:val="16"/>
          <w:color w:val="010101"/>
        </w:rPr>
        <w:t xml:space="preserve">” means any Subsidiary of the Company organized under the laws of England, Wales, Scotland, Northern Ireland, Canada, Australia, Singapore or any other foreign jurisdiction as approved by each of the Lenders that is joined as a Foreign Borrower pursuant to Section 5.01(j) of this Agreement;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at the election of the Company, any Foreign Borrower may be removed as a Foreign Borrower so long as on the date of such removal, such Foreign Borrower has no outstanding Advances.</w:t>
      </w:r>
    </w:p>
    <w:p>
      <w:pPr>
        <w:spacing w:after="0" w:line="139"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Foreign Currency</w:t>
      </w:r>
      <w:r>
        <w:rPr>
          <w:rFonts w:ascii="Arial" w:cs="Arial" w:eastAsia="Arial" w:hAnsi="Arial"/>
          <w:sz w:val="16"/>
          <w:szCs w:val="16"/>
          <w:color w:val="010101"/>
        </w:rPr>
        <w:t>” means (a) Euros, (b) Sterling, (c) Canadian Dollars, (d) Australian Dollars, (e) Singapore Dollars and (f) such other currencies approved by each of the Lenders.</w:t>
      </w:r>
    </w:p>
    <w:p>
      <w:pPr>
        <w:spacing w:after="0" w:line="145" w:lineRule="exact"/>
        <w:rPr>
          <w:sz w:val="20"/>
          <w:szCs w:val="20"/>
          <w:color w:val="auto"/>
        </w:rPr>
      </w:pPr>
    </w:p>
    <w:p>
      <w:pPr>
        <w:jc w:val="both"/>
        <w:ind w:left="20" w:firstLine="485"/>
        <w:spacing w:after="0" w:line="226"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Foreign Currency Equivalent</w:t>
      </w:r>
      <w:r>
        <w:rPr>
          <w:rFonts w:ascii="Arial" w:cs="Arial" w:eastAsia="Arial" w:hAnsi="Arial"/>
          <w:sz w:val="16"/>
          <w:szCs w:val="16"/>
          <w:color w:val="010101"/>
        </w:rPr>
        <w:t xml:space="preserve">” means, </w:t>
      </w:r>
      <w:r>
        <w:rPr>
          <w:rFonts w:ascii="Arial" w:cs="Arial" w:eastAsia="Arial" w:hAnsi="Arial"/>
          <w:sz w:val="16"/>
          <w:szCs w:val="16"/>
          <w:color w:val="FF0000"/>
          <w:strike w:val="1"/>
        </w:rPr>
        <w:t>at</w:t>
      </w:r>
      <w:r>
        <w:rPr>
          <w:rFonts w:ascii="Arial" w:cs="Arial" w:eastAsia="Arial" w:hAnsi="Arial"/>
          <w:sz w:val="16"/>
          <w:szCs w:val="16"/>
          <w:b w:val="1"/>
          <w:bCs w:val="1"/>
          <w:u w:val="single" w:color="auto"/>
          <w:color w:val="0000FF"/>
        </w:rPr>
        <w:t>subjec</w:t>
      </w:r>
      <w:r>
        <w:rPr>
          <w:rFonts w:ascii="Arial" w:cs="Arial" w:eastAsia="Arial" w:hAnsi="Arial"/>
          <w:sz w:val="16"/>
          <w:szCs w:val="16"/>
          <w:b w:val="1"/>
          <w:bCs w:val="1"/>
          <w:color w:val="0000FF"/>
        </w:rPr>
        <w:t>t</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w:t>
      </w:r>
      <w:r>
        <w:rPr>
          <w:rFonts w:ascii="Arial" w:cs="Arial" w:eastAsia="Arial" w:hAnsi="Arial"/>
          <w:sz w:val="16"/>
          <w:szCs w:val="16"/>
          <w:b w:val="1"/>
          <w:bCs w:val="1"/>
          <w:color w:val="0000FF"/>
        </w:rPr>
        <w:t>o</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Sectio</w:t>
      </w:r>
      <w:r>
        <w:rPr>
          <w:rFonts w:ascii="Arial" w:cs="Arial" w:eastAsia="Arial" w:hAnsi="Arial"/>
          <w:sz w:val="16"/>
          <w:szCs w:val="16"/>
          <w:b w:val="1"/>
          <w:bCs w:val="1"/>
          <w:color w:val="0000FF"/>
        </w:rPr>
        <w:t>n</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1.05</w:t>
      </w:r>
      <w:r>
        <w:rPr>
          <w:rFonts w:ascii="Arial" w:cs="Arial" w:eastAsia="Arial" w:hAnsi="Arial"/>
          <w:sz w:val="16"/>
          <w:szCs w:val="16"/>
          <w:b w:val="1"/>
          <w:bCs w:val="1"/>
          <w:color w:val="0000FF"/>
        </w:rPr>
        <w:t>, for</w:t>
      </w:r>
      <w:r>
        <w:rPr>
          <w:rFonts w:ascii="Arial" w:cs="Arial" w:eastAsia="Arial" w:hAnsi="Arial"/>
          <w:sz w:val="16"/>
          <w:szCs w:val="16"/>
          <w:color w:val="010101"/>
        </w:rPr>
        <w:t xml:space="preserve"> any </w:t>
      </w:r>
      <w:r>
        <w:rPr>
          <w:rFonts w:ascii="Arial" w:cs="Arial" w:eastAsia="Arial" w:hAnsi="Arial"/>
          <w:sz w:val="16"/>
          <w:szCs w:val="16"/>
          <w:b w:val="1"/>
          <w:bCs w:val="1"/>
          <w:u w:val="single" w:color="auto"/>
          <w:color w:val="0000FF"/>
        </w:rPr>
        <w:t>amount</w:t>
      </w:r>
      <w:r>
        <w:rPr>
          <w:rFonts w:ascii="Arial" w:cs="Arial" w:eastAsia="Arial" w:hAnsi="Arial"/>
          <w:sz w:val="16"/>
          <w:szCs w:val="16"/>
          <w:b w:val="1"/>
          <w:bCs w:val="1"/>
          <w:color w:val="0000FF"/>
        </w:rPr>
        <w:t>,</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b w:val="1"/>
          <w:bCs w:val="1"/>
          <w:color w:val="0000FF"/>
        </w:rPr>
        <w:t>t the</w:t>
      </w:r>
      <w:r>
        <w:rPr>
          <w:rFonts w:ascii="Arial" w:cs="Arial" w:eastAsia="Arial" w:hAnsi="Arial"/>
          <w:sz w:val="16"/>
          <w:szCs w:val="16"/>
          <w:color w:val="010101"/>
        </w:rPr>
        <w:t xml:space="preserve"> time </w:t>
      </w:r>
      <w:r>
        <w:rPr>
          <w:rFonts w:ascii="Arial" w:cs="Arial" w:eastAsia="Arial" w:hAnsi="Arial"/>
          <w:sz w:val="16"/>
          <w:szCs w:val="16"/>
          <w:b w:val="1"/>
          <w:bCs w:val="1"/>
          <w:color w:val="0000FF"/>
        </w:rPr>
        <w:t>of determination thereof</w:t>
      </w:r>
      <w:r>
        <w:rPr>
          <w:rFonts w:ascii="Arial" w:cs="Arial" w:eastAsia="Arial" w:hAnsi="Arial"/>
          <w:sz w:val="16"/>
          <w:szCs w:val="16"/>
          <w:color w:val="010101"/>
        </w:rPr>
        <w:t xml:space="preserve">, with respect to any amount </w:t>
      </w:r>
      <w:r>
        <w:rPr>
          <w:rFonts w:ascii="Arial" w:cs="Arial" w:eastAsia="Arial" w:hAnsi="Arial"/>
          <w:sz w:val="16"/>
          <w:szCs w:val="16"/>
          <w:color w:val="FF0000"/>
          <w:strike w:val="1"/>
        </w:rPr>
        <w:t>denominated</w:t>
      </w:r>
      <w:r>
        <w:rPr>
          <w:rFonts w:ascii="Arial" w:cs="Arial" w:eastAsia="Arial" w:hAnsi="Arial"/>
          <w:sz w:val="16"/>
          <w:szCs w:val="16"/>
          <w:b w:val="1"/>
          <w:bCs w:val="1"/>
          <w:u w:val="single" w:color="auto"/>
          <w:color w:val="0000FF"/>
        </w:rPr>
        <w:t>expressed</w:t>
      </w:r>
      <w:r>
        <w:rPr>
          <w:rFonts w:ascii="Arial" w:cs="Arial" w:eastAsia="Arial" w:hAnsi="Arial"/>
          <w:sz w:val="16"/>
          <w:szCs w:val="16"/>
          <w:color w:val="FF0000"/>
        </w:rPr>
        <w:t xml:space="preserve"> </w:t>
      </w:r>
      <w:r>
        <w:rPr>
          <w:rFonts w:ascii="Arial" w:cs="Arial" w:eastAsia="Arial" w:hAnsi="Arial"/>
          <w:sz w:val="16"/>
          <w:szCs w:val="16"/>
          <w:color w:val="010101"/>
        </w:rPr>
        <w:t>in US Dollars, the equivalent</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f such</w:t>
      </w:r>
      <w:r>
        <w:rPr>
          <w:rFonts w:ascii="Arial" w:cs="Arial" w:eastAsia="Arial" w:hAnsi="Arial"/>
          <w:sz w:val="16"/>
          <w:szCs w:val="16"/>
          <w:color w:val="FF0000"/>
        </w:rPr>
        <w:t xml:space="preserve"> </w:t>
      </w:r>
      <w:r>
        <w:rPr>
          <w:rFonts w:ascii="Arial" w:cs="Arial" w:eastAsia="Arial" w:hAnsi="Arial"/>
          <w:sz w:val="16"/>
          <w:szCs w:val="16"/>
          <w:color w:val="010101"/>
        </w:rPr>
        <w:t>amount thereof in a Foreign Currency as</w:t>
      </w:r>
      <w:r>
        <w:rPr>
          <w:rFonts w:ascii="Arial" w:cs="Arial" w:eastAsia="Arial" w:hAnsi="Arial"/>
          <w:sz w:val="16"/>
          <w:szCs w:val="16"/>
          <w:color w:val="FF0000"/>
        </w:rPr>
        <w:t xml:space="preserve"> </w:t>
      </w:r>
      <w:r>
        <w:rPr>
          <w:rFonts w:ascii="Arial" w:cs="Arial" w:eastAsia="Arial" w:hAnsi="Arial"/>
          <w:sz w:val="16"/>
          <w:szCs w:val="16"/>
          <w:color w:val="FF0000"/>
          <w:strike w:val="1"/>
        </w:rPr>
        <w:t>reasonably</w:t>
      </w:r>
      <w:r>
        <w:rPr>
          <w:rFonts w:ascii="Arial" w:cs="Arial" w:eastAsia="Arial" w:hAnsi="Arial"/>
          <w:sz w:val="16"/>
          <w:szCs w:val="16"/>
          <w:color w:val="FF0000"/>
        </w:rPr>
        <w:t xml:space="preserve"> </w:t>
      </w:r>
      <w:r>
        <w:rPr>
          <w:rFonts w:ascii="Arial" w:cs="Arial" w:eastAsia="Arial" w:hAnsi="Arial"/>
          <w:sz w:val="16"/>
          <w:szCs w:val="16"/>
          <w:color w:val="010101"/>
        </w:rPr>
        <w:t>determined by the Administrative Agent</w:t>
      </w:r>
      <w:r>
        <w:rPr>
          <w:rFonts w:ascii="Arial" w:cs="Arial" w:eastAsia="Arial" w:hAnsi="Arial"/>
          <w:sz w:val="16"/>
          <w:szCs w:val="16"/>
          <w:color w:val="FF0000"/>
        </w:rPr>
        <w:t xml:space="preserve"> </w:t>
      </w:r>
      <w:r>
        <w:rPr>
          <w:rFonts w:ascii="Arial" w:cs="Arial" w:eastAsia="Arial" w:hAnsi="Arial"/>
          <w:sz w:val="16"/>
          <w:szCs w:val="16"/>
          <w:color w:val="FF0000"/>
          <w:strike w:val="1"/>
        </w:rPr>
        <w:t>or an Issuing</w:t>
      </w:r>
      <w:r>
        <w:rPr>
          <w:rFonts w:ascii="Arial" w:cs="Arial" w:eastAsia="Arial" w:hAnsi="Arial"/>
          <w:sz w:val="16"/>
          <w:szCs w:val="16"/>
          <w:color w:val="FF0000"/>
        </w:rPr>
        <w:t xml:space="preserve"> </w:t>
      </w:r>
      <w:r>
        <w:rPr>
          <w:rFonts w:ascii="Arial" w:cs="Arial" w:eastAsia="Arial" w:hAnsi="Arial"/>
          <w:sz w:val="16"/>
          <w:szCs w:val="16"/>
          <w:color w:val="FF0000"/>
          <w:strike w:val="1"/>
        </w:rPr>
        <w:t>Lender, as applicable,</w:t>
      </w:r>
      <w:r>
        <w:rPr>
          <w:rFonts w:ascii="Arial" w:cs="Arial" w:eastAsia="Arial" w:hAnsi="Arial"/>
          <w:sz w:val="16"/>
          <w:szCs w:val="16"/>
          <w:b w:val="1"/>
          <w:bCs w:val="1"/>
          <w:u w:val="single" w:color="auto"/>
          <w:color w:val="0000FF"/>
        </w:rPr>
        <w:t>i</w:t>
      </w:r>
      <w:r>
        <w:rPr>
          <w:rFonts w:ascii="Arial" w:cs="Arial" w:eastAsia="Arial" w:hAnsi="Arial"/>
          <w:sz w:val="16"/>
          <w:szCs w:val="16"/>
          <w:color w:val="FF0000"/>
        </w:rPr>
        <w:t xml:space="preserve"> </w:t>
      </w:r>
      <w:r>
        <w:rPr>
          <w:rFonts w:ascii="Arial" w:cs="Arial" w:eastAsia="Arial" w:hAnsi="Arial"/>
          <w:sz w:val="16"/>
          <w:szCs w:val="16"/>
          <w:b w:val="1"/>
          <w:bCs w:val="1"/>
          <w:color w:val="0000FF"/>
        </w:rPr>
        <w:t>n i</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t</w:t>
      </w:r>
      <w:r>
        <w:rPr>
          <w:rFonts w:ascii="Arial" w:cs="Arial" w:eastAsia="Arial" w:hAnsi="Arial"/>
          <w:sz w:val="16"/>
          <w:szCs w:val="16"/>
          <w:color w:val="FF0000"/>
        </w:rPr>
        <w:t xml:space="preserve"> </w:t>
      </w:r>
      <w:r>
        <w:rPr>
          <w:rFonts w:ascii="Arial" w:cs="Arial" w:eastAsia="Arial" w:hAnsi="Arial"/>
          <w:sz w:val="16"/>
          <w:szCs w:val="16"/>
          <w:b w:val="1"/>
          <w:bCs w:val="1"/>
          <w:color w:val="0000FF"/>
        </w:rPr>
        <w:t>s s</w:t>
      </w:r>
      <w:r>
        <w:rPr>
          <w:rFonts w:ascii="Arial" w:cs="Arial" w:eastAsia="Arial" w:hAnsi="Arial"/>
          <w:sz w:val="16"/>
          <w:szCs w:val="16"/>
          <w:b w:val="1"/>
          <w:bCs w:val="1"/>
          <w:u w:val="single" w:color="auto"/>
          <w:color w:val="0000FF"/>
        </w:rPr>
        <w:t>ol</w:t>
      </w:r>
      <w:r>
        <w:rPr>
          <w:rFonts w:ascii="Arial" w:cs="Arial" w:eastAsia="Arial" w:hAnsi="Arial"/>
          <w:sz w:val="16"/>
          <w:szCs w:val="16"/>
          <w:color w:val="FF0000"/>
        </w:rPr>
        <w:t xml:space="preserve"> </w:t>
      </w:r>
      <w:r>
        <w:rPr>
          <w:rFonts w:ascii="Arial" w:cs="Arial" w:eastAsia="Arial" w:hAnsi="Arial"/>
          <w:sz w:val="16"/>
          <w:szCs w:val="16"/>
          <w:b w:val="1"/>
          <w:bCs w:val="1"/>
          <w:color w:val="0000FF"/>
        </w:rPr>
        <w:t>e discretion</w:t>
      </w:r>
      <w:r>
        <w:rPr>
          <w:rFonts w:ascii="Arial" w:cs="Arial" w:eastAsia="Arial" w:hAnsi="Arial"/>
          <w:sz w:val="16"/>
          <w:szCs w:val="16"/>
          <w:color w:val="FF0000"/>
        </w:rPr>
        <w:t xml:space="preserve"> </w:t>
      </w:r>
      <w:r>
        <w:rPr>
          <w:rFonts w:ascii="Arial" w:cs="Arial" w:eastAsia="Arial" w:hAnsi="Arial"/>
          <w:sz w:val="16"/>
          <w:szCs w:val="16"/>
          <w:color w:val="010101"/>
        </w:rPr>
        <w:t>at such time</w:t>
      </w:r>
      <w:r>
        <w:rPr>
          <w:rFonts w:ascii="Arial" w:cs="Arial" w:eastAsia="Arial" w:hAnsi="Arial"/>
          <w:sz w:val="16"/>
          <w:szCs w:val="16"/>
          <w:color w:val="FF0000"/>
        </w:rPr>
        <w:t xml:space="preserve"> </w:t>
      </w:r>
      <w:r>
        <w:rPr>
          <w:rFonts w:ascii="Arial" w:cs="Arial" w:eastAsia="Arial" w:hAnsi="Arial"/>
          <w:sz w:val="16"/>
          <w:szCs w:val="16"/>
          <w:color w:val="FF0000"/>
          <w:strike w:val="1"/>
        </w:rPr>
        <w:t>on</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y r</w:t>
      </w:r>
      <w:r>
        <w:rPr>
          <w:rFonts w:ascii="Arial" w:cs="Arial" w:eastAsia="Arial" w:hAnsi="Arial"/>
          <w:sz w:val="16"/>
          <w:szCs w:val="16"/>
          <w:b w:val="1"/>
          <w:bCs w:val="1"/>
          <w:u w:val="single" w:color="auto"/>
          <w:color w:val="0000FF"/>
        </w:rPr>
        <w:t>eferenc</w:t>
      </w:r>
      <w:r>
        <w:rPr>
          <w:rFonts w:ascii="Arial" w:cs="Arial" w:eastAsia="Arial" w:hAnsi="Arial"/>
          <w:sz w:val="16"/>
          <w:szCs w:val="16"/>
          <w:b w:val="1"/>
          <w:bCs w:val="1"/>
          <w:color w:val="0000FF"/>
        </w:rPr>
        <w:t>e to</w:t>
      </w:r>
      <w:r>
        <w:rPr>
          <w:rFonts w:ascii="Arial" w:cs="Arial" w:eastAsia="Arial" w:hAnsi="Arial"/>
          <w:sz w:val="16"/>
          <w:szCs w:val="16"/>
          <w:color w:val="FF0000"/>
        </w:rPr>
        <w:t xml:space="preserve"> </w:t>
      </w:r>
      <w:r>
        <w:rPr>
          <w:rFonts w:ascii="Arial" w:cs="Arial" w:eastAsia="Arial" w:hAnsi="Arial"/>
          <w:sz w:val="16"/>
          <w:szCs w:val="16"/>
          <w:color w:val="010101"/>
        </w:rPr>
        <w:t>the</w:t>
      </w:r>
      <w:r>
        <w:rPr>
          <w:rFonts w:ascii="Arial" w:cs="Arial" w:eastAsia="Arial" w:hAnsi="Arial"/>
          <w:sz w:val="16"/>
          <w:szCs w:val="16"/>
          <w:color w:val="FF0000"/>
        </w:rPr>
        <w:t xml:space="preserve"> </w:t>
      </w:r>
      <w:r>
        <w:rPr>
          <w:rFonts w:ascii="Arial" w:cs="Arial" w:eastAsia="Arial" w:hAnsi="Arial"/>
          <w:sz w:val="16"/>
          <w:szCs w:val="16"/>
          <w:color w:val="FF0000"/>
          <w:strike w:val="1"/>
        </w:rPr>
        <w:t>basis of the</w:t>
      </w:r>
      <w:r>
        <w:rPr>
          <w:rFonts w:ascii="Arial" w:cs="Arial" w:eastAsia="Arial" w:hAnsi="Arial"/>
          <w:sz w:val="16"/>
          <w:szCs w:val="16"/>
          <w:b w:val="1"/>
          <w:bCs w:val="1"/>
          <w:u w:val="single" w:color="auto"/>
          <w:color w:val="0000FF"/>
        </w:rPr>
        <w:t>mos</w:t>
      </w:r>
      <w:r>
        <w:rPr>
          <w:rFonts w:ascii="Arial" w:cs="Arial" w:eastAsia="Arial" w:hAnsi="Arial"/>
          <w:sz w:val="16"/>
          <w:szCs w:val="16"/>
          <w:b w:val="1"/>
          <w:bCs w:val="1"/>
          <w:color w:val="0000FF"/>
        </w:rPr>
        <w:t>t recent</w:t>
      </w:r>
      <w:r>
        <w:rPr>
          <w:rFonts w:ascii="Arial" w:cs="Arial" w:eastAsia="Arial" w:hAnsi="Arial"/>
          <w:sz w:val="16"/>
          <w:szCs w:val="16"/>
          <w:color w:val="FF0000"/>
        </w:rPr>
        <w:t xml:space="preserve"> </w:t>
      </w:r>
      <w:r>
        <w:rPr>
          <w:rFonts w:ascii="Arial" w:cs="Arial" w:eastAsia="Arial" w:hAnsi="Arial"/>
          <w:sz w:val="16"/>
          <w:szCs w:val="16"/>
          <w:color w:val="010101"/>
        </w:rPr>
        <w:t>Spot Rate (determined</w:t>
      </w:r>
      <w:r>
        <w:rPr>
          <w:rFonts w:ascii="Arial" w:cs="Arial" w:eastAsia="Arial" w:hAnsi="Arial"/>
          <w:sz w:val="16"/>
          <w:szCs w:val="16"/>
          <w:color w:val="FF0000"/>
        </w:rPr>
        <w:t xml:space="preserve"> </w:t>
      </w:r>
      <w:r>
        <w:rPr>
          <w:rFonts w:ascii="Arial" w:cs="Arial" w:eastAsia="Arial" w:hAnsi="Arial"/>
          <w:sz w:val="16"/>
          <w:szCs w:val="16"/>
          <w:color w:val="FF0000"/>
          <w:strike w:val="1"/>
        </w:rPr>
        <w:t>in respect</w:t>
      </w:r>
      <w:r>
        <w:rPr>
          <w:rFonts w:ascii="Arial" w:cs="Arial" w:eastAsia="Arial" w:hAnsi="Arial"/>
          <w:sz w:val="16"/>
          <w:szCs w:val="16"/>
          <w:b w:val="1"/>
          <w:bCs w:val="1"/>
          <w:u w:val="single" w:color="auto"/>
          <w:color w:val="0000FF"/>
        </w:rPr>
        <w:t>as</w:t>
      </w:r>
      <w:r>
        <w:rPr>
          <w:rFonts w:ascii="Arial" w:cs="Arial" w:eastAsia="Arial" w:hAnsi="Arial"/>
          <w:sz w:val="16"/>
          <w:szCs w:val="16"/>
          <w:color w:val="FF0000"/>
        </w:rPr>
        <w:t xml:space="preserve"> </w:t>
      </w:r>
      <w:r>
        <w:rPr>
          <w:rFonts w:ascii="Arial" w:cs="Arial" w:eastAsia="Arial" w:hAnsi="Arial"/>
          <w:sz w:val="16"/>
          <w:szCs w:val="16"/>
          <w:color w:val="010101"/>
        </w:rPr>
        <w:t>of the most recent Revaluation</w:t>
      </w:r>
      <w:r>
        <w:rPr>
          <w:rFonts w:ascii="Arial" w:cs="Arial" w:eastAsia="Arial" w:hAnsi="Arial"/>
          <w:sz w:val="16"/>
          <w:szCs w:val="16"/>
          <w:color w:val="FF0000"/>
        </w:rPr>
        <w:t xml:space="preserve"> </w:t>
      </w:r>
      <w:r>
        <w:rPr>
          <w:rFonts w:ascii="Arial" w:cs="Arial" w:eastAsia="Arial" w:hAnsi="Arial"/>
          <w:sz w:val="16"/>
          <w:szCs w:val="16"/>
          <w:color w:val="010101"/>
        </w:rPr>
        <w:t>Date) for the purchase of such Foreign Currency with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-330200</wp:posOffset>
            </wp:positionV>
            <wp:extent cx="75184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51840" cy="6350"/>
                    </a:xfrm>
                    <a:prstGeom prst="rect">
                      <a:avLst/>
                    </a:prstGeom>
                    <a:noFill/>
                  </pic:spPr>
                </pic:pic>
              </a:graphicData>
            </a:graphic>
          </wp:anchor>
        </w:drawing>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Foreign Lender</w:t>
      </w:r>
      <w:r>
        <w:rPr>
          <w:rFonts w:ascii="Arial" w:cs="Arial" w:eastAsia="Arial" w:hAnsi="Arial"/>
          <w:sz w:val="16"/>
          <w:szCs w:val="16"/>
          <w:color w:val="010101"/>
        </w:rPr>
        <w:t>” has the meaning specified in Section 2.14(</w:t>
      </w:r>
      <w:r>
        <w:rPr>
          <w:rFonts w:ascii="Arial" w:cs="Arial" w:eastAsia="Arial" w:hAnsi="Arial"/>
          <w:sz w:val="16"/>
          <w:szCs w:val="16"/>
          <w:color w:val="FF0000"/>
          <w:strike w:val="1"/>
        </w:rPr>
        <w:t>e</w:t>
      </w:r>
      <w:r>
        <w:rPr>
          <w:rFonts w:ascii="Arial" w:cs="Arial" w:eastAsia="Arial" w:hAnsi="Arial"/>
          <w:sz w:val="16"/>
          <w:szCs w:val="16"/>
          <w:b w:val="1"/>
          <w:bCs w:val="1"/>
          <w:u w:val="single" w:color="auto"/>
          <w:color w:val="0000FF"/>
        </w:rPr>
        <w:t>d</w:t>
      </w:r>
      <w:r>
        <w:rPr>
          <w:rFonts w:ascii="Arial" w:cs="Arial" w:eastAsia="Arial" w:hAnsi="Arial"/>
          <w:sz w:val="16"/>
          <w:szCs w:val="16"/>
          <w:color w:val="010101"/>
        </w:rPr>
        <w:t>)(i).</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Foreign Subsidiary</w:t>
      </w:r>
      <w:r>
        <w:rPr>
          <w:rFonts w:ascii="Arial" w:cs="Arial" w:eastAsia="Arial" w:hAnsi="Arial"/>
          <w:sz w:val="16"/>
          <w:szCs w:val="16"/>
          <w:color w:val="010101"/>
        </w:rPr>
        <w:t>” means any direct or indirect Subsidiary of the Company that is not a Domestic Subsidiary.</w:t>
      </w:r>
    </w:p>
    <w:p>
      <w:pPr>
        <w:spacing w:after="0" w:line="170"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Fund</w:t>
      </w:r>
      <w:r>
        <w:rPr>
          <w:rFonts w:ascii="Arial" w:cs="Arial" w:eastAsia="Arial" w:hAnsi="Arial"/>
          <w:sz w:val="16"/>
          <w:szCs w:val="16"/>
          <w:color w:val="010101"/>
        </w:rPr>
        <w:t>” means any Person (other than a natural Person) that is (or will be) engaged in making, purchasing, holding or otherwise investing in commercial loans, bonds and similar extensions of credit in the ordinary course of its activities.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FRB</w:t>
      </w:r>
      <w:r>
        <w:rPr>
          <w:rFonts w:ascii="Arial" w:cs="Arial" w:eastAsia="Arial" w:hAnsi="Arial"/>
          <w:sz w:val="16"/>
          <w:szCs w:val="16"/>
          <w:color w:val="010101"/>
        </w:rPr>
        <w:t>” means the Board of Governors of the Federal Reserve System of the United</w:t>
      </w:r>
    </w:p>
    <w:p>
      <w:pPr>
        <w:ind w:left="20"/>
        <w:spacing w:after="0"/>
        <w:rPr>
          <w:sz w:val="20"/>
          <w:szCs w:val="20"/>
          <w:color w:val="auto"/>
        </w:rPr>
      </w:pPr>
      <w:r>
        <w:rPr>
          <w:rFonts w:ascii="Arial" w:cs="Arial" w:eastAsia="Arial" w:hAnsi="Arial"/>
          <w:sz w:val="16"/>
          <w:szCs w:val="16"/>
          <w:color w:val="010101"/>
        </w:rPr>
        <w:t>States.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Fronting Exposure</w:t>
      </w:r>
      <w:r>
        <w:rPr>
          <w:rFonts w:ascii="Arial" w:cs="Arial" w:eastAsia="Arial" w:hAnsi="Arial"/>
          <w:sz w:val="16"/>
          <w:szCs w:val="16"/>
          <w:color w:val="010101"/>
        </w:rPr>
        <w:t>” means, at any time there is a Defaulting Lender, with respect to any</w:t>
      </w:r>
    </w:p>
    <w:p>
      <w:pPr>
        <w:jc w:val="both"/>
        <w:ind w:left="20"/>
        <w:spacing w:after="0" w:line="224" w:lineRule="auto"/>
        <w:rPr>
          <w:sz w:val="20"/>
          <w:szCs w:val="20"/>
          <w:color w:val="auto"/>
        </w:rPr>
      </w:pPr>
      <w:r>
        <w:rPr>
          <w:rFonts w:ascii="Arial" w:cs="Arial" w:eastAsia="Arial" w:hAnsi="Arial"/>
          <w:sz w:val="16"/>
          <w:szCs w:val="16"/>
          <w:color w:val="010101"/>
        </w:rPr>
        <w:t>Issuing Lender, such Defaulting Lender’s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GAAP</w:t>
      </w:r>
      <w:r>
        <w:rPr>
          <w:rFonts w:ascii="Arial" w:cs="Arial" w:eastAsia="Arial" w:hAnsi="Arial"/>
          <w:sz w:val="16"/>
          <w:szCs w:val="16"/>
          <w:color w:val="010101"/>
        </w:rPr>
        <w:t>” has the meaning specified in Section 1.03.</w:t>
      </w:r>
    </w:p>
    <w:p>
      <w:pPr>
        <w:spacing w:after="0" w:line="170" w:lineRule="exact"/>
        <w:rPr>
          <w:sz w:val="20"/>
          <w:szCs w:val="20"/>
          <w:color w:val="auto"/>
        </w:rPr>
      </w:pPr>
    </w:p>
    <w:p>
      <w:pPr>
        <w:jc w:val="both"/>
        <w:ind w:left="20" w:right="20" w:firstLine="485"/>
        <w:spacing w:after="0" w:line="248"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Governmental Authority</w:t>
      </w:r>
      <w:r>
        <w:rPr>
          <w:rFonts w:ascii="Arial" w:cs="Arial" w:eastAsia="Arial" w:hAnsi="Arial"/>
          <w:sz w:val="15"/>
          <w:szCs w:val="15"/>
          <w:color w:val="010101"/>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83" w:name="page84"/>
    <w:bookmarkEnd w:id="83"/>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Graham Interests</w:t>
      </w:r>
      <w:r>
        <w:rPr>
          <w:rFonts w:ascii="Arial" w:cs="Arial" w:eastAsia="Arial" w:hAnsi="Arial"/>
          <w:sz w:val="16"/>
          <w:szCs w:val="16"/>
          <w:color w:val="010101"/>
        </w:rPr>
        <w:t>” means Donald E. Graham and his siblings, their descendants and any relative by marriage of the foregoing, and any trust for the benefit of any of the foregoing whether as an income or residual beneficiary.</w:t>
      </w:r>
    </w:p>
    <w:p>
      <w:pPr>
        <w:spacing w:after="0" w:line="149" w:lineRule="exact"/>
        <w:rPr>
          <w:sz w:val="20"/>
          <w:szCs w:val="20"/>
          <w:color w:val="auto"/>
        </w:rPr>
      </w:pPr>
    </w:p>
    <w:p>
      <w:pPr>
        <w:jc w:val="both"/>
        <w:ind w:left="20" w:right="20" w:firstLine="485"/>
        <w:spacing w:after="0" w:line="246" w:lineRule="auto"/>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Guarantee</w:t>
      </w:r>
      <w:r>
        <w:rPr>
          <w:rFonts w:ascii="Arial" w:cs="Arial" w:eastAsia="Arial" w:hAnsi="Arial"/>
          <w:sz w:val="14"/>
          <w:szCs w:val="14"/>
          <w:color w:val="010101"/>
        </w:rPr>
        <w:t>” of or by any Person (the “</w:t>
      </w:r>
      <w:r>
        <w:rPr>
          <w:rFonts w:ascii="Arial" w:cs="Arial" w:eastAsia="Arial" w:hAnsi="Arial"/>
          <w:sz w:val="14"/>
          <w:szCs w:val="14"/>
          <w:u w:val="single" w:color="auto"/>
          <w:color w:val="010101"/>
        </w:rPr>
        <w:t>guarantor</w:t>
      </w:r>
      <w:r>
        <w:rPr>
          <w:rFonts w:ascii="Arial" w:cs="Arial" w:eastAsia="Arial" w:hAnsi="Arial"/>
          <w:sz w:val="14"/>
          <w:szCs w:val="14"/>
          <w:color w:val="010101"/>
        </w:rPr>
        <w:t>”) means any obligation, contingent or otherwise, of the guarantor guaranteeing or having the economic effect of guaranteeing any Debt of any other Person (the “</w:t>
      </w:r>
      <w:r>
        <w:rPr>
          <w:rFonts w:ascii="Arial" w:cs="Arial" w:eastAsia="Arial" w:hAnsi="Arial"/>
          <w:sz w:val="14"/>
          <w:szCs w:val="14"/>
          <w:u w:val="single" w:color="auto"/>
          <w:color w:val="010101"/>
        </w:rPr>
        <w:t>primary obligor</w:t>
      </w:r>
      <w:r>
        <w:rPr>
          <w:rFonts w:ascii="Arial" w:cs="Arial" w:eastAsia="Arial" w:hAnsi="Arial"/>
          <w:sz w:val="14"/>
          <w:szCs w:val="14"/>
          <w:color w:val="010101"/>
        </w:rPr>
        <w:t>”) in any manner, whether directly or indirectly, and including any obligation of the guarantor, direct or indirect, (a) to purchase or pay (or advance or supply funds for the purchase or payment of) such Debt or to purchase (or to advance or supply funds for the purchase of) any security for the payment thereof, (b) to purchase or lease property, securities or services for the purpose of assuring the owner of such Debt of the payment thereof,</w:t>
      </w:r>
    </w:p>
    <w:p>
      <w:pPr>
        <w:spacing w:after="0" w:line="1" w:lineRule="exact"/>
        <w:rPr>
          <w:sz w:val="20"/>
          <w:szCs w:val="20"/>
          <w:color w:val="auto"/>
        </w:rPr>
      </w:pPr>
    </w:p>
    <w:p>
      <w:pPr>
        <w:jc w:val="both"/>
        <w:ind w:left="20" w:right="20" w:firstLine="2"/>
        <w:spacing w:after="0" w:line="224" w:lineRule="auto"/>
        <w:tabs>
          <w:tab w:leader="none" w:pos="425" w:val="left"/>
        </w:tabs>
        <w:numPr>
          <w:ilvl w:val="0"/>
          <w:numId w:val="36"/>
        </w:numPr>
        <w:rPr>
          <w:rFonts w:ascii="Arial" w:cs="Arial" w:eastAsia="Arial" w:hAnsi="Arial"/>
          <w:sz w:val="16"/>
          <w:szCs w:val="16"/>
          <w:color w:val="010101"/>
        </w:rPr>
      </w:pPr>
      <w:r>
        <w:rPr>
          <w:rFonts w:ascii="Arial" w:cs="Arial" w:eastAsia="Arial" w:hAnsi="Arial"/>
          <w:sz w:val="16"/>
          <w:szCs w:val="16"/>
          <w:color w:val="010101"/>
        </w:rPr>
        <w:t xml:space="preserve">to maintain working capital, equity capital or any other financial statement condition or liquidity of the primary obligor so as to enable the primary obligor to pay such Debt or (d) as an account party in respect of any letter of credit or letter of guaranty issued to support such Debt;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the term “Guarantee” shall not include endorsements for collection or deposit in the ordinary course of business.</w:t>
      </w:r>
    </w:p>
    <w:p>
      <w:pPr>
        <w:spacing w:after="0" w:line="148" w:lineRule="exact"/>
        <w:rPr>
          <w:sz w:val="20"/>
          <w:szCs w:val="20"/>
          <w:color w:val="auto"/>
        </w:rPr>
      </w:pPr>
    </w:p>
    <w:p>
      <w:pPr>
        <w:jc w:val="both"/>
        <w:ind w:left="20" w:right="20" w:firstLine="485"/>
        <w:spacing w:after="0" w:line="222"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Guaranteed Cash Management Agreement</w:t>
      </w:r>
      <w:r>
        <w:rPr>
          <w:rFonts w:ascii="Arial" w:cs="Arial" w:eastAsia="Arial" w:hAnsi="Arial"/>
          <w:sz w:val="16"/>
          <w:szCs w:val="16"/>
          <w:color w:val="010101"/>
        </w:rPr>
        <w:t>” means (a) any Cash Management Agreement in effect on the Effective Date between or among any Credit Party or any of its Subsidiaries and a counterparty that is (i) a Lender, (ii) the Administrative Agent or (iii) an Affiliate of a Lender or the Administrative Agent, in each case as determined as of the Effective Date, or (b) any Cash Management Agreement entered into after the Effective Date between or among any Credit Party or any of its Subsidiaries and a counterparty that is (i) a Lender, (ii) the Administrative Agent or (iii) an Affiliate of a Lender or the Administrative Agent, in each case as determined at the time such Cash Management Agreement is entered into.</w:t>
      </w:r>
    </w:p>
    <w:p>
      <w:pPr>
        <w:spacing w:after="0" w:line="139" w:lineRule="exact"/>
        <w:rPr>
          <w:sz w:val="20"/>
          <w:szCs w:val="20"/>
          <w:color w:val="auto"/>
        </w:rPr>
      </w:pPr>
    </w:p>
    <w:p>
      <w:pPr>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Guaranteed Cash Management Obligations</w:t>
      </w:r>
      <w:r>
        <w:rPr>
          <w:rFonts w:ascii="Arial" w:cs="Arial" w:eastAsia="Arial" w:hAnsi="Arial"/>
          <w:sz w:val="16"/>
          <w:szCs w:val="16"/>
          <w:color w:val="010101"/>
        </w:rPr>
        <w:t>” means all existing or future payment and other obligations owing by any Credit Party or any of its Subsidiaries under any Guaranteed Cash Management Agreement.</w:t>
      </w:r>
    </w:p>
    <w:p>
      <w:pPr>
        <w:spacing w:after="0" w:line="149" w:lineRule="exact"/>
        <w:rPr>
          <w:sz w:val="20"/>
          <w:szCs w:val="20"/>
          <w:color w:val="auto"/>
        </w:rPr>
      </w:pPr>
    </w:p>
    <w:p>
      <w:pPr>
        <w:jc w:val="both"/>
        <w:ind w:left="20" w:right="20" w:firstLine="485"/>
        <w:spacing w:after="0" w:line="222"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Guaranteed Hedge Agreement</w:t>
      </w:r>
      <w:r>
        <w:rPr>
          <w:rFonts w:ascii="Arial" w:cs="Arial" w:eastAsia="Arial" w:hAnsi="Arial"/>
          <w:sz w:val="16"/>
          <w:szCs w:val="16"/>
          <w:color w:val="010101"/>
        </w:rPr>
        <w:t>” means (a) any Hedge Agreement in effect on the Effective Date between or among any Credit Party or any of its Subsidiaries and a counterparty that is (i) a Lender, (ii) the Administrative Agent or (iii) an Affiliate of a Lender or the Administrative Agent, in each case as determined as of the Effective Date, or (b) any Hedge Agreement entered into after the Effective Date between or among any Credit Party or any of its Subsidiaries and a counterparty that is (i) a Lender, (ii) the Administrative Agent or (iii) an Affiliate of a Lender or the Administrative Agent, in each case as determined at the time such Hedge Agreement is entered into.</w:t>
      </w:r>
    </w:p>
    <w:p>
      <w:pPr>
        <w:spacing w:after="0" w:line="149"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Guaranteed Hedge Obligations</w:t>
      </w:r>
      <w:r>
        <w:rPr>
          <w:rFonts w:ascii="Arial" w:cs="Arial" w:eastAsia="Arial" w:hAnsi="Arial"/>
          <w:sz w:val="16"/>
          <w:szCs w:val="16"/>
          <w:color w:val="010101"/>
        </w:rPr>
        <w:t xml:space="preserve">” means all existing or future payment and other obligations owing by any Credit Party or any of its Subsidiaries under any Guaranteed Hedge Agreement;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the “Guaranteed Hedge Obligations” of a Credit Party shall exclude any Excluded Swap Obligations with respect to such Credit Party.</w:t>
      </w:r>
    </w:p>
    <w:p>
      <w:pPr>
        <w:spacing w:after="0" w:line="138"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Guaranteed Obligations</w:t>
      </w:r>
      <w:r>
        <w:rPr>
          <w:rFonts w:ascii="Arial" w:cs="Arial" w:eastAsia="Arial" w:hAnsi="Arial"/>
          <w:sz w:val="16"/>
          <w:szCs w:val="16"/>
          <w:color w:val="010101"/>
        </w:rPr>
        <w:t>” means, collectively, (a) the Borrower Obligations, (b) any Guaranteed Hedge Obligations and (c) any Guaranteed Cash Management Obligations.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84" w:name="page85"/>
    <w:bookmarkEnd w:id="84"/>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Guarantor</w:t>
      </w:r>
      <w:r>
        <w:rPr>
          <w:rFonts w:ascii="Arial" w:cs="Arial" w:eastAsia="Arial" w:hAnsi="Arial"/>
          <w:sz w:val="16"/>
          <w:szCs w:val="16"/>
          <w:color w:val="010101"/>
        </w:rPr>
        <w:t>” means the entities listed on Schedule III attached hereto and each Material Domestic Subsidiary (other than any Subsidiary of a Foreign Subsidiary or any CFC Holdco) as is, or may from time to time become, party to this Agreement.</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Guaranty</w:t>
      </w:r>
      <w:r>
        <w:rPr>
          <w:rFonts w:ascii="Arial" w:cs="Arial" w:eastAsia="Arial" w:hAnsi="Arial"/>
          <w:sz w:val="16"/>
          <w:szCs w:val="16"/>
          <w:color w:val="010101"/>
        </w:rPr>
        <w:t>” means the guaranty of the Guarantors set forth in Article VIII.</w:t>
      </w:r>
    </w:p>
    <w:p>
      <w:pPr>
        <w:spacing w:after="0" w:line="170"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Hazardous Materials</w:t>
      </w:r>
      <w:r>
        <w:rPr>
          <w:rFonts w:ascii="Arial" w:cs="Arial" w:eastAsia="Arial" w:hAnsi="Arial"/>
          <w:sz w:val="16"/>
          <w:szCs w:val="16"/>
          <w:color w:val="010101"/>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39" w:lineRule="exact"/>
        <w:rPr>
          <w:sz w:val="20"/>
          <w:szCs w:val="20"/>
          <w:color w:val="auto"/>
        </w:rPr>
      </w:pPr>
    </w:p>
    <w:p>
      <w:pPr>
        <w:jc w:val="both"/>
        <w:ind w:left="20" w:right="20" w:firstLine="485"/>
        <w:spacing w:after="0" w:line="218"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Hedge Agreement</w:t>
      </w:r>
      <w:r>
        <w:rPr>
          <w:rFonts w:ascii="Arial" w:cs="Arial" w:eastAsia="Arial" w:hAnsi="Arial"/>
          <w:sz w:val="16"/>
          <w:szCs w:val="16"/>
          <w:color w:val="010101"/>
        </w:rPr>
        <w:t>” means any agreement with respect to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HMRC DT Treaty Passport Scheme</w:t>
      </w:r>
      <w:r>
        <w:rPr>
          <w:rFonts w:ascii="Arial" w:cs="Arial" w:eastAsia="Arial" w:hAnsi="Arial"/>
          <w:sz w:val="16"/>
          <w:szCs w:val="16"/>
          <w:color w:val="010101"/>
        </w:rPr>
        <w:t>” means the Board of H.M. Revenue and Customs Double Taxation Treaty Passport scheme.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IBA</w:t>
      </w:r>
      <w:r>
        <w:rPr>
          <w:rFonts w:ascii="Arial" w:cs="Arial" w:eastAsia="Arial" w:hAnsi="Arial"/>
          <w:sz w:val="16"/>
          <w:szCs w:val="16"/>
          <w:color w:val="010101"/>
        </w:rPr>
        <w:t>” means the ICE Benchmark Administration, the administrator of the London interbank offer rate.</w:t>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Increase Date</w:t>
      </w:r>
      <w:r>
        <w:rPr>
          <w:rFonts w:ascii="Arial" w:cs="Arial" w:eastAsia="Arial" w:hAnsi="Arial"/>
          <w:sz w:val="16"/>
          <w:szCs w:val="16"/>
          <w:color w:val="010101"/>
        </w:rPr>
        <w:t>” has the meaning specified in Section 2.05(b)(i). “</w:t>
      </w:r>
      <w:r>
        <w:rPr>
          <w:rFonts w:ascii="Arial" w:cs="Arial" w:eastAsia="Arial" w:hAnsi="Arial"/>
          <w:sz w:val="16"/>
          <w:szCs w:val="16"/>
          <w:u w:val="single" w:color="auto"/>
          <w:color w:val="010101"/>
        </w:rPr>
        <w:t>Increasing Lender</w:t>
      </w:r>
      <w:r>
        <w:rPr>
          <w:rFonts w:ascii="Arial" w:cs="Arial" w:eastAsia="Arial" w:hAnsi="Arial"/>
          <w:sz w:val="16"/>
          <w:szCs w:val="16"/>
          <w:color w:val="010101"/>
        </w:rPr>
        <w:t xml:space="preserve">” has the meaning specified in Section 2.05(b)(i). </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l</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0000FF"/>
        </w:rPr>
        <w:t xml:space="preserve">Facility” </w:t>
      </w:r>
      <w:r>
        <w:rPr>
          <w:rFonts w:ascii="Arial" w:cs="Arial" w:eastAsia="Arial" w:hAnsi="Arial"/>
          <w:sz w:val="16"/>
          <w:szCs w:val="16"/>
          <w:b w:val="1"/>
          <w:bCs w:val="1"/>
          <w:u w:val="single" w:color="auto"/>
          <w:color w:val="0000FF"/>
        </w:rPr>
        <w:t>ha</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meanin</w:t>
      </w:r>
      <w:r>
        <w:rPr>
          <w:rFonts w:ascii="Arial" w:cs="Arial" w:eastAsia="Arial" w:hAnsi="Arial"/>
          <w:sz w:val="16"/>
          <w:szCs w:val="16"/>
          <w:b w:val="1"/>
          <w:bCs w:val="1"/>
          <w:color w:val="0000FF"/>
        </w:rPr>
        <w:t xml:space="preserve">g </w:t>
      </w:r>
      <w:r>
        <w:rPr>
          <w:rFonts w:ascii="Arial" w:cs="Arial" w:eastAsia="Arial" w:hAnsi="Arial"/>
          <w:sz w:val="16"/>
          <w:szCs w:val="16"/>
          <w:b w:val="1"/>
          <w:bCs w:val="1"/>
          <w:u w:val="single" w:color="auto"/>
          <w:color w:val="0000FF"/>
        </w:rPr>
        <w:t>specifie</w:t>
      </w:r>
      <w:r>
        <w:rPr>
          <w:rFonts w:ascii="Arial" w:cs="Arial" w:eastAsia="Arial" w:hAnsi="Arial"/>
          <w:sz w:val="16"/>
          <w:szCs w:val="16"/>
          <w:b w:val="1"/>
          <w:bCs w:val="1"/>
          <w:color w:val="0000FF"/>
        </w:rPr>
        <w:t xml:space="preserve">d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Sectio</w:t>
      </w:r>
      <w:r>
        <w:rPr>
          <w:rFonts w:ascii="Arial" w:cs="Arial" w:eastAsia="Arial" w:hAnsi="Arial"/>
          <w:sz w:val="16"/>
          <w:szCs w:val="16"/>
          <w:b w:val="1"/>
          <w:bCs w:val="1"/>
          <w:color w:val="0000FF"/>
        </w:rPr>
        <w:t>n 2.05(b).</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b w:val="1"/>
          <w:bCs w:val="1"/>
          <w:u w:val="single" w:color="auto"/>
          <w:color w:val="0000FF"/>
        </w:rPr>
        <w:t>“Incremental Term Loan Commitment” has the meaning specified in Section 2.05(b).</w:t>
      </w:r>
    </w:p>
    <w:p>
      <w:pPr>
        <w:spacing w:after="0" w:line="164"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Indemnified Taxes</w:t>
      </w:r>
      <w:r>
        <w:rPr>
          <w:rFonts w:ascii="Arial" w:cs="Arial" w:eastAsia="Arial" w:hAnsi="Arial"/>
          <w:sz w:val="16"/>
          <w:szCs w:val="16"/>
          <w:color w:val="010101"/>
        </w:rPr>
        <w:t>” means (a) Taxes, other than Excluded Taxes, imposed on or with respect to any payment made by or on account of any obligation of a Credit Party under any Loan Document and (b) to the extent not otherwise described in (a), Other Taxes.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Initial Issuing Lender</w:t>
      </w:r>
      <w:r>
        <w:rPr>
          <w:rFonts w:ascii="Arial" w:cs="Arial" w:eastAsia="Arial" w:hAnsi="Arial"/>
          <w:sz w:val="16"/>
          <w:szCs w:val="16"/>
          <w:color w:val="010101"/>
        </w:rPr>
        <w:t>” means each of (a) Wells Fargo Bank, National Association, (b) JPMorgan Chase Bank, N.A. and (c) Bank of America, N.A.</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85" w:name="page86"/>
    <w:bookmarkEnd w:id="85"/>
    <w:p>
      <w:pPr>
        <w:jc w:val="both"/>
        <w:ind w:left="20" w:firstLine="485"/>
        <w:spacing w:after="0" w:line="22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Interest Payment Date</w:t>
      </w:r>
      <w:r>
        <w:rPr>
          <w:rFonts w:ascii="Arial" w:cs="Arial" w:eastAsia="Arial" w:hAnsi="Arial"/>
          <w:sz w:val="16"/>
          <w:szCs w:val="16"/>
          <w:color w:val="010101"/>
        </w:rPr>
        <w:t xml:space="preserve">” means (a) as to any Base Rate Advance or Daily Simple RFR Advance, the last Business Day of each March, June, September and December and the Termination Date and (b) as to any Eurocurrency Rate Advance or Term SOFR Advance, the last day of each Interest Period therefor and, in the case of any Interest Period of more than three months’ duration, each day prior to the last day of such Interest Period that occurs at three-month intervals after the first day of such Interest Period; </w:t>
      </w:r>
      <w:r>
        <w:rPr>
          <w:rFonts w:ascii="Arial" w:cs="Arial" w:eastAsia="Arial" w:hAnsi="Arial"/>
          <w:sz w:val="16"/>
          <w:szCs w:val="16"/>
          <w:u w:val="single" w:color="auto"/>
          <w:color w:val="010101"/>
        </w:rPr>
        <w:t>provided</w:t>
      </w:r>
      <w:r>
        <w:rPr>
          <w:rFonts w:ascii="Arial" w:cs="Arial" w:eastAsia="Arial" w:hAnsi="Arial"/>
          <w:sz w:val="16"/>
          <w:szCs w:val="16"/>
          <w:color w:val="010101"/>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Termination Date.</w:t>
      </w:r>
    </w:p>
    <w:p>
      <w:pPr>
        <w:spacing w:after="0" w:line="150"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Interest Period</w:t>
      </w:r>
      <w:r>
        <w:rPr>
          <w:rFonts w:ascii="Arial" w:cs="Arial" w:eastAsia="Arial" w:hAnsi="Arial"/>
          <w:sz w:val="16"/>
          <w:szCs w:val="16"/>
          <w:color w:val="010101"/>
        </w:rPr>
        <w:t xml:space="preserve">” means, as to any Eurocurrency Rate Advance or Term SOFR Advance, the period commencing on the date such Advance is disbursed or converted to or continued as a Eurocurrency Rate Advance or Term SOFR Advance, as applicable, and ending on the date one, three or (except with respect to any Advance bearing interest based on CDOR) six months thereafter, in each case as selected by the applicable Borrower in its Notice of Borrowing or notice of Conversion and subject to availability;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w:t>
      </w:r>
    </w:p>
    <w:p>
      <w:pPr>
        <w:spacing w:after="0" w:line="149" w:lineRule="exact"/>
        <w:rPr>
          <w:sz w:val="20"/>
          <w:szCs w:val="20"/>
          <w:color w:val="auto"/>
        </w:rPr>
      </w:pPr>
    </w:p>
    <w:p>
      <w:pPr>
        <w:jc w:val="both"/>
        <w:ind w:left="20" w:right="20" w:firstLine="487"/>
        <w:spacing w:after="0" w:line="230" w:lineRule="auto"/>
        <w:tabs>
          <w:tab w:leader="none" w:pos="910" w:val="left"/>
        </w:tabs>
        <w:numPr>
          <w:ilvl w:val="0"/>
          <w:numId w:val="37"/>
        </w:numPr>
        <w:rPr>
          <w:rFonts w:ascii="Arial" w:cs="Arial" w:eastAsia="Arial" w:hAnsi="Arial"/>
          <w:sz w:val="16"/>
          <w:szCs w:val="16"/>
          <w:color w:val="auto"/>
        </w:rPr>
      </w:pPr>
      <w:r>
        <w:rPr>
          <w:rFonts w:ascii="Arial" w:cs="Arial" w:eastAsia="Arial" w:hAnsi="Arial"/>
          <w:sz w:val="16"/>
          <w:szCs w:val="16"/>
          <w:color w:val="010101"/>
        </w:rPr>
        <w:t>the Interest Period shall commence on the date of advance of or conversion to any Eurocurrency Rate Advance or Term SOFR Advance, as applicable, and, in the case of immediately successive Interest Periods, each successive Interest Period shall commence on the date on which the immediately preceding Interest Period expires;</w:t>
      </w:r>
    </w:p>
    <w:p>
      <w:pPr>
        <w:spacing w:after="0" w:line="137" w:lineRule="exact"/>
        <w:rPr>
          <w:rFonts w:ascii="Arial" w:cs="Arial" w:eastAsia="Arial" w:hAnsi="Arial"/>
          <w:sz w:val="16"/>
          <w:szCs w:val="16"/>
          <w:color w:val="auto"/>
        </w:rPr>
      </w:pPr>
    </w:p>
    <w:p>
      <w:pPr>
        <w:jc w:val="both"/>
        <w:ind w:left="20" w:right="20" w:firstLine="487"/>
        <w:spacing w:after="0" w:line="230" w:lineRule="auto"/>
        <w:tabs>
          <w:tab w:leader="none" w:pos="909" w:val="left"/>
        </w:tabs>
        <w:numPr>
          <w:ilvl w:val="0"/>
          <w:numId w:val="37"/>
        </w:numPr>
        <w:rPr>
          <w:rFonts w:ascii="Arial" w:cs="Arial" w:eastAsia="Arial" w:hAnsi="Arial"/>
          <w:sz w:val="16"/>
          <w:szCs w:val="16"/>
          <w:color w:val="auto"/>
        </w:rPr>
      </w:pPr>
      <w:r>
        <w:rPr>
          <w:rFonts w:ascii="Arial" w:cs="Arial" w:eastAsia="Arial" w:hAnsi="Arial"/>
          <w:sz w:val="16"/>
          <w:szCs w:val="16"/>
          <w:color w:val="010101"/>
        </w:rPr>
        <w:t xml:space="preserve">if any Interest Period would otherwise expire on a day that is not a Business Day, such Interest Period shall expire on the next succeeding Business Day;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48" w:lineRule="exact"/>
        <w:rPr>
          <w:rFonts w:ascii="Arial" w:cs="Arial" w:eastAsia="Arial" w:hAnsi="Arial"/>
          <w:sz w:val="16"/>
          <w:szCs w:val="16"/>
          <w:color w:val="auto"/>
        </w:rPr>
      </w:pPr>
    </w:p>
    <w:p>
      <w:pPr>
        <w:ind w:left="20" w:right="20" w:firstLine="487"/>
        <w:spacing w:after="0" w:line="271" w:lineRule="auto"/>
        <w:tabs>
          <w:tab w:leader="none" w:pos="910" w:val="left"/>
        </w:tabs>
        <w:numPr>
          <w:ilvl w:val="0"/>
          <w:numId w:val="37"/>
        </w:numPr>
        <w:rPr>
          <w:rFonts w:ascii="Arial" w:cs="Arial" w:eastAsia="Arial" w:hAnsi="Arial"/>
          <w:sz w:val="15"/>
          <w:szCs w:val="15"/>
          <w:color w:val="auto"/>
        </w:rPr>
      </w:pPr>
      <w:r>
        <w:rPr>
          <w:rFonts w:ascii="Arial" w:cs="Arial" w:eastAsia="Arial" w:hAnsi="Arial"/>
          <w:sz w:val="15"/>
          <w:szCs w:val="15"/>
          <w:color w:val="010101"/>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25" w:lineRule="exact"/>
        <w:rPr>
          <w:rFonts w:ascii="Arial" w:cs="Arial" w:eastAsia="Arial" w:hAnsi="Arial"/>
          <w:sz w:val="15"/>
          <w:szCs w:val="15"/>
          <w:color w:val="auto"/>
        </w:rPr>
      </w:pPr>
    </w:p>
    <w:p>
      <w:pPr>
        <w:ind w:left="20" w:right="20" w:firstLine="487"/>
        <w:spacing w:after="0" w:line="239" w:lineRule="auto"/>
        <w:tabs>
          <w:tab w:leader="none" w:pos="909" w:val="left"/>
        </w:tabs>
        <w:numPr>
          <w:ilvl w:val="0"/>
          <w:numId w:val="37"/>
        </w:numPr>
        <w:rPr>
          <w:rFonts w:ascii="Arial" w:cs="Arial" w:eastAsia="Arial" w:hAnsi="Arial"/>
          <w:sz w:val="16"/>
          <w:szCs w:val="16"/>
          <w:color w:val="auto"/>
        </w:rPr>
      </w:pPr>
      <w:r>
        <w:rPr>
          <w:rFonts w:ascii="Arial" w:cs="Arial" w:eastAsia="Arial" w:hAnsi="Arial"/>
          <w:sz w:val="16"/>
          <w:szCs w:val="16"/>
          <w:color w:val="010101"/>
        </w:rPr>
        <w:t>the applicable Borrower may not select any Interest Period that ends after any Termination Date if, after giving effect thereto, the amount of such Borrowing would exceed the Commitments of Lenders for which a Termination Date prior to the last day of such Interest Period applies; and</w:t>
      </w:r>
    </w:p>
    <w:p>
      <w:pPr>
        <w:spacing w:after="0" w:line="138" w:lineRule="exact"/>
        <w:rPr>
          <w:rFonts w:ascii="Arial" w:cs="Arial" w:eastAsia="Arial" w:hAnsi="Arial"/>
          <w:sz w:val="16"/>
          <w:szCs w:val="16"/>
          <w:color w:val="auto"/>
        </w:rPr>
      </w:pPr>
    </w:p>
    <w:p>
      <w:pPr>
        <w:ind w:left="20" w:right="20" w:firstLine="487"/>
        <w:spacing w:after="0" w:line="239" w:lineRule="auto"/>
        <w:tabs>
          <w:tab w:leader="none" w:pos="910" w:val="left"/>
        </w:tabs>
        <w:numPr>
          <w:ilvl w:val="0"/>
          <w:numId w:val="37"/>
        </w:numPr>
        <w:rPr>
          <w:rFonts w:ascii="Arial" w:cs="Arial" w:eastAsia="Arial" w:hAnsi="Arial"/>
          <w:sz w:val="16"/>
          <w:szCs w:val="16"/>
          <w:color w:val="auto"/>
        </w:rPr>
      </w:pPr>
      <w:r>
        <w:rPr>
          <w:rFonts w:ascii="Arial" w:cs="Arial" w:eastAsia="Arial" w:hAnsi="Arial"/>
          <w:sz w:val="16"/>
          <w:szCs w:val="16"/>
          <w:color w:val="010101"/>
        </w:rPr>
        <w:t xml:space="preserve">no tenor that has been removed from this definition pursuant to </w:t>
      </w:r>
      <w:r>
        <w:rPr>
          <w:rFonts w:ascii="Arial" w:cs="Arial" w:eastAsia="Arial" w:hAnsi="Arial"/>
          <w:sz w:val="16"/>
          <w:szCs w:val="16"/>
          <w:u w:val="single" w:color="auto"/>
          <w:color w:val="010101"/>
        </w:rPr>
        <w:t>Section 2.20(c)(iv)</w:t>
      </w:r>
      <w:r>
        <w:rPr>
          <w:rFonts w:ascii="Arial" w:cs="Arial" w:eastAsia="Arial" w:hAnsi="Arial"/>
          <w:sz w:val="16"/>
          <w:szCs w:val="16"/>
          <w:color w:val="010101"/>
        </w:rPr>
        <w:t xml:space="preserve"> shall be available for specification in any Notice of Borrowing or notice of Conversion.</w:t>
      </w:r>
    </w:p>
    <w:p>
      <w:pPr>
        <w:spacing w:after="0" w:line="149" w:lineRule="exact"/>
        <w:rPr>
          <w:sz w:val="20"/>
          <w:szCs w:val="20"/>
          <w:color w:val="auto"/>
        </w:rPr>
      </w:pPr>
    </w:p>
    <w:p>
      <w:pPr>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Internal Revenue Code</w:t>
      </w:r>
      <w:r>
        <w:rPr>
          <w:rFonts w:ascii="Arial" w:cs="Arial" w:eastAsia="Arial" w:hAnsi="Arial"/>
          <w:sz w:val="16"/>
          <w:szCs w:val="16"/>
          <w:color w:val="010101"/>
        </w:rPr>
        <w:t>” means the Internal Revenue Code of 1986, as amended from time to time, and the regulations promulgated and rulings issued thereunder.</w:t>
      </w:r>
    </w:p>
    <w:p>
      <w:pPr>
        <w:spacing w:after="0" w:line="145" w:lineRule="exact"/>
        <w:rPr>
          <w:sz w:val="20"/>
          <w:szCs w:val="20"/>
          <w:color w:val="auto"/>
        </w:rPr>
      </w:pPr>
    </w:p>
    <w:p>
      <w:pPr>
        <w:ind w:left="20" w:firstLine="485"/>
        <w:spacing w:after="0" w:line="244"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Investment</w:t>
      </w:r>
      <w:r>
        <w:rPr>
          <w:rFonts w:ascii="Arial" w:cs="Arial" w:eastAsia="Arial" w:hAnsi="Arial"/>
          <w:sz w:val="16"/>
          <w:szCs w:val="16"/>
          <w:color w:val="010101"/>
        </w:rPr>
        <w:t>” means (</w:t>
      </w:r>
      <w:r>
        <w:rPr>
          <w:rFonts w:ascii="Arial" w:cs="Arial" w:eastAsia="Arial" w:hAnsi="Arial"/>
          <w:sz w:val="16"/>
          <w:szCs w:val="16"/>
          <w:color w:val="FF0000"/>
          <w:strike w:val="1"/>
        </w:rPr>
        <w:t>a</w:t>
      </w:r>
      <w:r>
        <w:rPr>
          <w:rFonts w:ascii="Arial" w:cs="Arial" w:eastAsia="Arial" w:hAnsi="Arial"/>
          <w:sz w:val="16"/>
          <w:szCs w:val="16"/>
          <w:b w:val="1"/>
          <w:bCs w:val="1"/>
          <w:u w:val="single" w:color="auto"/>
          <w:color w:val="0000FF"/>
        </w:rPr>
        <w:t>a</w:t>
      </w:r>
      <w:r>
        <w:rPr>
          <w:rFonts w:ascii="Arial" w:cs="Arial" w:eastAsia="Arial" w:hAnsi="Arial"/>
          <w:sz w:val="16"/>
          <w:szCs w:val="16"/>
          <w:color w:val="010101"/>
        </w:rPr>
        <w:t>) the purchase or acquisition of Equity Interests in or evidences of indebtedness of or other securities of, or all or substantially all of the assets of, any Person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86" w:name="page87"/>
    <w:bookmarkEnd w:id="86"/>
    <w:p>
      <w:pPr>
        <w:jc w:val="both"/>
        <w:ind w:left="20" w:right="20"/>
        <w:spacing w:after="0" w:line="244" w:lineRule="auto"/>
        <w:rPr>
          <w:sz w:val="20"/>
          <w:szCs w:val="20"/>
          <w:color w:val="auto"/>
        </w:rPr>
      </w:pPr>
      <w:r>
        <w:rPr>
          <w:rFonts w:ascii="Arial" w:cs="Arial" w:eastAsia="Arial" w:hAnsi="Arial"/>
          <w:sz w:val="16"/>
          <w:szCs w:val="16"/>
          <w:color w:val="010101"/>
        </w:rPr>
        <w:t>(whether for cash, property, services, assumption of Debt, securities or otherwise), (</w:t>
      </w:r>
      <w:r>
        <w:rPr>
          <w:rFonts w:ascii="Arial" w:cs="Arial" w:eastAsia="Arial" w:hAnsi="Arial"/>
          <w:sz w:val="16"/>
          <w:szCs w:val="16"/>
          <w:color w:val="FF0000"/>
          <w:strike w:val="1"/>
        </w:rPr>
        <w:t>b</w:t>
      </w:r>
      <w:r>
        <w:rPr>
          <w:rFonts w:ascii="Arial" w:cs="Arial" w:eastAsia="Arial" w:hAnsi="Arial"/>
          <w:sz w:val="16"/>
          <w:szCs w:val="16"/>
          <w:b w:val="1"/>
          <w:bCs w:val="1"/>
          <w:u w:val="single" w:color="auto"/>
          <w:color w:val="0000FF"/>
        </w:rPr>
        <w:t>b</w:t>
      </w:r>
      <w:r>
        <w:rPr>
          <w:rFonts w:ascii="Arial" w:cs="Arial" w:eastAsia="Arial" w:hAnsi="Arial"/>
          <w:sz w:val="16"/>
          <w:szCs w:val="16"/>
          <w:color w:val="010101"/>
        </w:rPr>
        <w:t>) any advance or loan to, any Person or (</w:t>
      </w:r>
      <w:r>
        <w:rPr>
          <w:rFonts w:ascii="Arial" w:cs="Arial" w:eastAsia="Arial" w:hAnsi="Arial"/>
          <w:sz w:val="16"/>
          <w:szCs w:val="16"/>
          <w:color w:val="FF0000"/>
          <w:strike w:val="1"/>
        </w:rPr>
        <w:t>c</w:t>
      </w:r>
      <w:r>
        <w:rPr>
          <w:rFonts w:ascii="Arial" w:cs="Arial" w:eastAsia="Arial" w:hAnsi="Arial"/>
          <w:sz w:val="16"/>
          <w:szCs w:val="16"/>
          <w:b w:val="1"/>
          <w:bCs w:val="1"/>
          <w:u w:val="single" w:color="auto"/>
          <w:color w:val="0000FF"/>
        </w:rPr>
        <w:t>c</w:t>
      </w:r>
      <w:r>
        <w:rPr>
          <w:rFonts w:ascii="Arial" w:cs="Arial" w:eastAsia="Arial" w:hAnsi="Arial"/>
          <w:sz w:val="16"/>
          <w:szCs w:val="16"/>
          <w:color w:val="010101"/>
        </w:rPr>
        <w:t>) any other capital contribution to or investment in any Person, including, without limitation, any Guarantee of any obligations of such Person.</w:t>
      </w:r>
    </w:p>
    <w:p>
      <w:pPr>
        <w:spacing w:after="0" w:line="145" w:lineRule="exact"/>
        <w:rPr>
          <w:sz w:val="20"/>
          <w:szCs w:val="20"/>
          <w:color w:val="auto"/>
        </w:rPr>
      </w:pPr>
    </w:p>
    <w:p>
      <w:pPr>
        <w:jc w:val="both"/>
        <w:ind w:left="20" w:right="20" w:firstLine="485"/>
        <w:spacing w:after="0" w:line="237"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Issuing Lender</w:t>
      </w:r>
      <w:r>
        <w:rPr>
          <w:rFonts w:ascii="Arial" w:cs="Arial" w:eastAsia="Arial" w:hAnsi="Arial"/>
          <w:sz w:val="15"/>
          <w:szCs w:val="15"/>
          <w:color w:val="010101"/>
        </w:rPr>
        <w:t xml:space="preserve">” means (i) with respect to Letters of Credit issued hereunder on or after the Effective Date (a) the Initial Issuing Lenders and (b) any other </w:t>
      </w:r>
      <w:r>
        <w:rPr>
          <w:rFonts w:ascii="Arial" w:cs="Arial" w:eastAsia="Arial" w:hAnsi="Arial"/>
          <w:sz w:val="13"/>
          <w:szCs w:val="13"/>
          <w:b w:val="1"/>
          <w:bCs w:val="1"/>
          <w:u w:val="single" w:color="auto"/>
          <w:color w:val="0000FF"/>
        </w:rPr>
        <w:t>Revolving</w:t>
      </w:r>
      <w:r>
        <w:rPr>
          <w:rFonts w:ascii="Arial" w:cs="Arial" w:eastAsia="Arial" w:hAnsi="Arial"/>
          <w:sz w:val="13"/>
          <w:szCs w:val="13"/>
          <w:b w:val="1"/>
          <w:bCs w:val="1"/>
          <w:color w:val="0000FF"/>
        </w:rPr>
        <w:t xml:space="preserve"> </w:t>
      </w:r>
      <w:r>
        <w:rPr>
          <w:rFonts w:ascii="Arial" w:cs="Arial" w:eastAsia="Arial" w:hAnsi="Arial"/>
          <w:sz w:val="15"/>
          <w:szCs w:val="15"/>
          <w:color w:val="010101"/>
        </w:rPr>
        <w:t>Lender to the extent it has agreed in its sole discretion to act as an “Issuing Lender” hereunder and that has been approved in writing by the Company and the</w:t>
      </w:r>
      <w:r>
        <w:rPr>
          <w:rFonts w:ascii="Arial" w:cs="Arial" w:eastAsia="Arial" w:hAnsi="Arial"/>
          <w:sz w:val="13"/>
          <w:szCs w:val="13"/>
          <w:b w:val="1"/>
          <w:bCs w:val="1"/>
          <w:color w:val="0000FF"/>
        </w:rPr>
        <w:t xml:space="preserve"> </w:t>
      </w:r>
      <w:r>
        <w:rPr>
          <w:rFonts w:ascii="Arial" w:cs="Arial" w:eastAsia="Arial" w:hAnsi="Arial"/>
          <w:sz w:val="15"/>
          <w:szCs w:val="15"/>
          <w:color w:val="010101"/>
        </w:rPr>
        <w:t>Administrative Agent (such approval by the Administrative Agent not to be unreasonably delayed or withheld) as an “Issuing Lender” hereunder, in each case in its capacity as issuer of any Letter of Credit (in each case, through itself or through one of its designated Affiliates or branch offices) and (ii) with respect to the Existing Letters of Credit, (A) JPMorgan Chase Bank, N.A. and (B) Bank of America, N.A., in its capacity as issuer thereof.</w:t>
      </w:r>
    </w:p>
    <w:p>
      <w:pPr>
        <w:spacing w:after="0" w:line="149" w:lineRule="exact"/>
        <w:rPr>
          <w:sz w:val="20"/>
          <w:szCs w:val="20"/>
          <w:color w:val="auto"/>
        </w:rPr>
      </w:pPr>
    </w:p>
    <w:p>
      <w:pPr>
        <w:jc w:val="both"/>
        <w:ind w:left="20" w:firstLine="485"/>
        <w:spacing w:after="0" w:line="231"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L/C Commitment</w:t>
      </w:r>
      <w:r>
        <w:rPr>
          <w:rFonts w:ascii="Arial" w:cs="Arial" w:eastAsia="Arial" w:hAnsi="Arial"/>
          <w:sz w:val="15"/>
          <w:szCs w:val="15"/>
          <w:color w:val="010101"/>
        </w:rPr>
        <w:t xml:space="preserve">” means, as to any Issuing Lender, the obligation of such Issuing Lender to issue Letters of Credit for the account of the Company or one or more of its Subsidiaries from time to time in an aggregate amount equal to (a) for each of the Initial Issuing Lenders, the amount set forth opposite the name of each such Initial Issuing Lender on </w:t>
      </w:r>
      <w:r>
        <w:rPr>
          <w:rFonts w:ascii="Arial" w:cs="Arial" w:eastAsia="Arial" w:hAnsi="Arial"/>
          <w:sz w:val="15"/>
          <w:szCs w:val="15"/>
          <w:u w:val="single" w:color="auto"/>
          <w:color w:val="010101"/>
        </w:rPr>
        <w:t>Schedule</w:t>
      </w:r>
      <w:r>
        <w:rPr>
          <w:rFonts w:ascii="Arial" w:cs="Arial" w:eastAsia="Arial" w:hAnsi="Arial"/>
          <w:sz w:val="15"/>
          <w:szCs w:val="15"/>
          <w:color w:val="010101"/>
        </w:rPr>
        <w:t xml:space="preserve"> I and (b) for any other Issuing Lender becoming an Issuing Lender after the Effective Date, such amount as separately agreed to in a written agreement between the Company, on behalf of the Credit Parties, and such Issuing Lender (which such agreement shall be promptly delivered to the Administrative Agent upon execution), in each case of clauses (a) and (b) above, any such amount may be changed after the Effective Date in a written agreement between the Company, on behalf of the Credit Parties, and such Issuing Lender (which such agreement shall be promptly delivered to the Administrative Agent upon execution);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(i) notwithstanding the amount of aggregate commitments pursuant to clauses (a) and (b), the amount of Letters of Credit issued hereunder shall not exceed the L/C Sublimit and (ii)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L/C Facility</w:t>
      </w:r>
      <w:r>
        <w:rPr>
          <w:rFonts w:ascii="Arial" w:cs="Arial" w:eastAsia="Arial" w:hAnsi="Arial"/>
          <w:sz w:val="16"/>
          <w:szCs w:val="16"/>
          <w:color w:val="010101"/>
        </w:rPr>
        <w:t xml:space="preserve">” means the letter of credit facility established pursuant to </w:t>
      </w:r>
      <w:r>
        <w:rPr>
          <w:rFonts w:ascii="Arial" w:cs="Arial" w:eastAsia="Arial" w:hAnsi="Arial"/>
          <w:sz w:val="16"/>
          <w:szCs w:val="16"/>
          <w:u w:val="single" w:color="auto"/>
          <w:color w:val="010101"/>
        </w:rPr>
        <w:t>Article X</w:t>
      </w:r>
      <w:r>
        <w:rPr>
          <w:rFonts w:ascii="Arial" w:cs="Arial" w:eastAsia="Arial" w:hAnsi="Arial"/>
          <w:sz w:val="16"/>
          <w:szCs w:val="16"/>
          <w:color w:val="010101"/>
        </w:rPr>
        <w:t>.</w:t>
      </w:r>
    </w:p>
    <w:p>
      <w:pPr>
        <w:spacing w:after="0" w:line="170" w:lineRule="exact"/>
        <w:rPr>
          <w:sz w:val="20"/>
          <w:szCs w:val="20"/>
          <w:color w:val="auto"/>
        </w:rPr>
      </w:pPr>
    </w:p>
    <w:p>
      <w:pPr>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L/C Obligations</w:t>
      </w:r>
      <w:r>
        <w:rPr>
          <w:rFonts w:ascii="Arial" w:cs="Arial" w:eastAsia="Arial" w:hAnsi="Arial"/>
          <w:sz w:val="16"/>
          <w:szCs w:val="16"/>
          <w:color w:val="010101"/>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Arial" w:cs="Arial" w:eastAsia="Arial" w:hAnsi="Arial"/>
          <w:sz w:val="16"/>
          <w:szCs w:val="16"/>
          <w:u w:val="single" w:color="auto"/>
          <w:color w:val="010101"/>
        </w:rPr>
        <w:t>Section 10.05</w:t>
      </w:r>
      <w:r>
        <w:rPr>
          <w:rFonts w:ascii="Arial" w:cs="Arial" w:eastAsia="Arial" w:hAnsi="Arial"/>
          <w:sz w:val="16"/>
          <w:szCs w:val="16"/>
          <w:color w:val="010101"/>
        </w:rPr>
        <w:t>.</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L/C Participants</w:t>
      </w:r>
      <w:r>
        <w:rPr>
          <w:rFonts w:ascii="Arial" w:cs="Arial" w:eastAsia="Arial" w:hAnsi="Arial"/>
          <w:sz w:val="16"/>
          <w:szCs w:val="16"/>
          <w:color w:val="010101"/>
        </w:rPr>
        <w:t>” means, with respect to any Letter of Credit, the collective reference to all the Lenders other than the applicable Issuing Lender.</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L/C Sublimit</w:t>
      </w:r>
      <w:r>
        <w:rPr>
          <w:rFonts w:ascii="Arial" w:cs="Arial" w:eastAsia="Arial" w:hAnsi="Arial"/>
          <w:sz w:val="16"/>
          <w:szCs w:val="16"/>
          <w:color w:val="010101"/>
        </w:rPr>
        <w:t>” means the lesser of (a) $20,000,000 and (b) the aggregate amount of the Commitments.</w:t>
      </w:r>
    </w:p>
    <w:p>
      <w:pPr>
        <w:spacing w:after="0" w:line="166" w:lineRule="exact"/>
        <w:rPr>
          <w:sz w:val="20"/>
          <w:szCs w:val="20"/>
          <w:color w:val="auto"/>
        </w:rPr>
      </w:pPr>
    </w:p>
    <w:p>
      <w:pPr>
        <w:ind w:left="20" w:right="20" w:firstLine="485"/>
        <w:spacing w:after="0" w:line="222"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Lenders</w:t>
      </w:r>
      <w:r>
        <w:rPr>
          <w:rFonts w:ascii="Arial" w:cs="Arial" w:eastAsia="Arial" w:hAnsi="Arial"/>
          <w:sz w:val="16"/>
          <w:szCs w:val="16"/>
          <w:color w:val="010101"/>
        </w:rPr>
        <w:t xml:space="preserve">” means the </w:t>
      </w:r>
      <w:r>
        <w:rPr>
          <w:rFonts w:ascii="Arial" w:cs="Arial" w:eastAsia="Arial" w:hAnsi="Arial"/>
          <w:sz w:val="16"/>
          <w:szCs w:val="16"/>
          <w:color w:val="FF0000"/>
          <w:strike w:val="1"/>
        </w:rPr>
        <w:t>Initial</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Lenders,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e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Lenders,</w:t>
      </w:r>
      <w:r>
        <w:rPr>
          <w:rFonts w:ascii="Arial" w:cs="Arial" w:eastAsia="Arial" w:hAnsi="Arial"/>
          <w:sz w:val="16"/>
          <w:szCs w:val="16"/>
          <w:color w:val="010101"/>
        </w:rPr>
        <w:t xml:space="preserve"> each Assuming Lender that shall become a party hereto pursuant to either Section 2.05(b) or Section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010101"/>
        </w:rPr>
        <w:t>2.17 and each Person that shall become a party hereto pursuant to Section 2.19(b) or Section 9.07.</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1" w:right="499" w:bottom="1440" w:gutter="0" w:footer="0" w:header="0"/>
        </w:sectPr>
      </w:pPr>
    </w:p>
    <w:bookmarkStart w:id="87" w:name="page88"/>
    <w:bookmarkEnd w:id="87"/>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Letter of Credit Application</w:t>
      </w:r>
      <w:r>
        <w:rPr>
          <w:rFonts w:ascii="Arial" w:cs="Arial" w:eastAsia="Arial" w:hAnsi="Arial"/>
          <w:sz w:val="16"/>
          <w:szCs w:val="16"/>
          <w:color w:val="010101"/>
        </w:rPr>
        <w:t>” means an application requesting the applicable Issuing Lender to issue a Letter of Credit in the form specified by the applicable Issuing Lender from time to time.</w:t>
      </w:r>
    </w:p>
    <w:p>
      <w:pPr>
        <w:spacing w:after="0" w:line="149" w:lineRule="exact"/>
        <w:rPr>
          <w:sz w:val="20"/>
          <w:szCs w:val="20"/>
          <w:color w:val="auto"/>
        </w:rPr>
      </w:pPr>
    </w:p>
    <w:p>
      <w:pPr>
        <w:jc w:val="both"/>
        <w:ind w:left="20" w:right="6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Letter of Credit Documents</w:t>
      </w:r>
      <w:r>
        <w:rPr>
          <w:rFonts w:ascii="Arial" w:cs="Arial" w:eastAsia="Arial" w:hAnsi="Arial"/>
          <w:sz w:val="16"/>
          <w:szCs w:val="16"/>
          <w:color w:val="010101"/>
        </w:rPr>
        <w:t>” means with respect to any Letter of Credit, such Letter of Credit, the Letter of Credit Application, a letter of credit agreement or reimbursement agreement and any other document, agreement and instrument required by the applicable Issuing Lender and relating to such Letter of Credit, in each case in the form specified by the applicable Issuing Lender from time to time and acceptable to the Company.</w:t>
      </w:r>
    </w:p>
    <w:p>
      <w:pPr>
        <w:spacing w:after="0" w:line="148"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Letters of Credit</w:t>
      </w:r>
      <w:r>
        <w:rPr>
          <w:rFonts w:ascii="Arial" w:cs="Arial" w:eastAsia="Arial" w:hAnsi="Arial"/>
          <w:sz w:val="16"/>
          <w:szCs w:val="16"/>
          <w:color w:val="010101"/>
        </w:rPr>
        <w:t xml:space="preserve">” means the collective reference to letters of credit issued pursuant to </w:t>
      </w:r>
      <w:r>
        <w:rPr>
          <w:rFonts w:ascii="Arial" w:cs="Arial" w:eastAsia="Arial" w:hAnsi="Arial"/>
          <w:sz w:val="16"/>
          <w:szCs w:val="16"/>
          <w:u w:val="single" w:color="auto"/>
          <w:color w:val="010101"/>
        </w:rPr>
        <w:t>Section 10.01</w:t>
      </w:r>
      <w:r>
        <w:rPr>
          <w:rFonts w:ascii="Arial" w:cs="Arial" w:eastAsia="Arial" w:hAnsi="Arial"/>
          <w:sz w:val="16"/>
          <w:szCs w:val="16"/>
          <w:color w:val="010101"/>
        </w:rPr>
        <w:t xml:space="preserve"> and the Existing Letters of Credit. A Letter of Credit may be issued in US Dollars or in any Foreign Currency.</w:t>
      </w:r>
    </w:p>
    <w:p>
      <w:pPr>
        <w:spacing w:after="0" w:line="139"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Lien</w:t>
      </w:r>
      <w:r>
        <w:rPr>
          <w:rFonts w:ascii="Arial" w:cs="Arial" w:eastAsia="Arial" w:hAnsi="Arial"/>
          <w:sz w:val="16"/>
          <w:szCs w:val="16"/>
          <w:color w:val="010101"/>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45" w:lineRule="exact"/>
        <w:rPr>
          <w:sz w:val="20"/>
          <w:szCs w:val="20"/>
          <w:color w:val="auto"/>
        </w:rPr>
      </w:pPr>
    </w:p>
    <w:p>
      <w:pPr>
        <w:jc w:val="both"/>
        <w:ind w:left="20" w:right="40" w:firstLine="485"/>
        <w:spacing w:after="0" w:line="244"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Loan Documents</w:t>
      </w:r>
      <w:r>
        <w:rPr>
          <w:rFonts w:ascii="Arial" w:cs="Arial" w:eastAsia="Arial" w:hAnsi="Arial"/>
          <w:sz w:val="16"/>
          <w:szCs w:val="16"/>
          <w:color w:val="010101"/>
        </w:rPr>
        <w:t>” means this Agreement</w:t>
      </w:r>
      <w:r>
        <w:rPr>
          <w:rFonts w:ascii="Arial" w:cs="Arial" w:eastAsia="Arial" w:hAnsi="Arial"/>
          <w:sz w:val="16"/>
          <w:szCs w:val="16"/>
          <w:b w:val="1"/>
          <w:bCs w:val="1"/>
          <w:u w:val="single" w:color="auto"/>
          <w:color w:val="0000FF"/>
        </w:rPr>
        <w:t>, th</w:t>
      </w:r>
      <w:r>
        <w:rPr>
          <w:rFonts w:ascii="Arial" w:cs="Arial" w:eastAsia="Arial" w:hAnsi="Arial"/>
          <w:sz w:val="16"/>
          <w:szCs w:val="16"/>
          <w:b w:val="1"/>
          <w:bCs w:val="1"/>
          <w:color w:val="0000FF"/>
        </w:rPr>
        <w:t>e F</w:t>
      </w:r>
      <w:r>
        <w:rPr>
          <w:rFonts w:ascii="Arial" w:cs="Arial" w:eastAsia="Arial" w:hAnsi="Arial"/>
          <w:sz w:val="16"/>
          <w:szCs w:val="16"/>
          <w:b w:val="1"/>
          <w:bCs w:val="1"/>
          <w:u w:val="single" w:color="auto"/>
          <w:color w:val="0000FF"/>
        </w:rPr>
        <w:t>irs</w:t>
      </w:r>
      <w:r>
        <w:rPr>
          <w:rFonts w:ascii="Arial" w:cs="Arial" w:eastAsia="Arial" w:hAnsi="Arial"/>
          <w:sz w:val="16"/>
          <w:szCs w:val="16"/>
          <w:b w:val="1"/>
          <w:bCs w:val="1"/>
          <w:color w:val="0000FF"/>
        </w:rPr>
        <w:t>t Amendment</w:t>
      </w:r>
      <w:r>
        <w:rPr>
          <w:rFonts w:ascii="Arial" w:cs="Arial" w:eastAsia="Arial" w:hAnsi="Arial"/>
          <w:sz w:val="16"/>
          <w:szCs w:val="16"/>
          <w:color w:val="010101"/>
        </w:rPr>
        <w:t>, the Letter of Credit Documents and the Notes (excluding, for the avoidance of doubt, any Guaranteed Hedge Agreement and any Guaranteed Cash Management Agreement).</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London Banking Day</w:t>
      </w:r>
      <w:r>
        <w:rPr>
          <w:rFonts w:ascii="Arial" w:cs="Arial" w:eastAsia="Arial" w:hAnsi="Arial"/>
          <w:sz w:val="15"/>
          <w:szCs w:val="15"/>
          <w:color w:val="010101"/>
        </w:rPr>
        <w:t>” means any day on which dealings in US Dollar deposits are conducted by and between banks in the London interbank market.</w:t>
      </w:r>
    </w:p>
    <w:p>
      <w:pPr>
        <w:spacing w:after="0" w:line="171"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Margin Stock</w:t>
      </w:r>
      <w:r>
        <w:rPr>
          <w:rFonts w:ascii="Arial" w:cs="Arial" w:eastAsia="Arial" w:hAnsi="Arial"/>
          <w:sz w:val="16"/>
          <w:szCs w:val="16"/>
          <w:color w:val="010101"/>
        </w:rPr>
        <w:t>” has the meaning assigned to such term under Regulation U of the Board of Governors of the Federal Reserve System of the United States as from time to time in effect and all official rulings and interpretations thereunder or thereof.</w:t>
      </w:r>
    </w:p>
    <w:p>
      <w:pPr>
        <w:spacing w:after="0" w:line="149" w:lineRule="exact"/>
        <w:rPr>
          <w:sz w:val="20"/>
          <w:szCs w:val="20"/>
          <w:color w:val="auto"/>
        </w:rPr>
      </w:pPr>
    </w:p>
    <w:p>
      <w:pPr>
        <w:jc w:val="both"/>
        <w:ind w:left="20" w:right="40" w:firstLine="485"/>
        <w:spacing w:after="0" w:line="230"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Material Adverse Effect</w:t>
      </w:r>
      <w:r>
        <w:rPr>
          <w:rFonts w:ascii="Arial" w:cs="Arial" w:eastAsia="Arial" w:hAnsi="Arial"/>
          <w:sz w:val="16"/>
          <w:szCs w:val="16"/>
          <w:color w:val="010101"/>
        </w:rPr>
        <w:t>” means a material adverse effect on (a) the business, financial condition or results of operations of the Company and its Subsidiaries taken as a whole, (b) the rights and remedies of the Administrative Agent or any Lender under this Agreement or any other Loan Document or (c) the ability of any Credit Party to perform its obligations under this Agreement or any other Loan Document.</w:t>
      </w:r>
    </w:p>
    <w:p>
      <w:pPr>
        <w:spacing w:after="0" w:line="148" w:lineRule="exact"/>
        <w:rPr>
          <w:sz w:val="20"/>
          <w:szCs w:val="20"/>
          <w:color w:val="auto"/>
        </w:rPr>
      </w:pPr>
    </w:p>
    <w:p>
      <w:pPr>
        <w:jc w:val="both"/>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Material Contract</w:t>
      </w:r>
      <w:r>
        <w:rPr>
          <w:rFonts w:ascii="Arial" w:cs="Arial" w:eastAsia="Arial" w:hAnsi="Arial"/>
          <w:sz w:val="16"/>
          <w:szCs w:val="16"/>
          <w:color w:val="010101"/>
        </w:rPr>
        <w:t>” means any contract or other arrangement to which the Company or any of its Subsidiaries is a party that is required to be filed with the Securities and Exchange Commission (other than any such contract or other arrangement that is related to employee benefits or compensation).</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Material Debt</w:t>
      </w:r>
      <w:r>
        <w:rPr>
          <w:rFonts w:ascii="Arial" w:cs="Arial" w:eastAsia="Arial" w:hAnsi="Arial"/>
          <w:sz w:val="16"/>
          <w:szCs w:val="16"/>
          <w:color w:val="010101"/>
        </w:rPr>
        <w:t>” has the meaning specified in Section 6.01(d).</w:t>
      </w:r>
    </w:p>
    <w:p>
      <w:pPr>
        <w:spacing w:after="0" w:line="170" w:lineRule="exact"/>
        <w:rPr>
          <w:sz w:val="20"/>
          <w:szCs w:val="20"/>
          <w:color w:val="auto"/>
        </w:rPr>
      </w:pPr>
    </w:p>
    <w:p>
      <w:pPr>
        <w:jc w:val="both"/>
        <w:ind w:left="20" w:firstLine="485"/>
        <w:spacing w:after="0" w:line="248"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Material Domestic Subsidiary</w:t>
      </w:r>
      <w:r>
        <w:rPr>
          <w:rFonts w:ascii="Arial" w:cs="Arial" w:eastAsia="Arial" w:hAnsi="Arial"/>
          <w:sz w:val="15"/>
          <w:szCs w:val="15"/>
          <w:color w:val="010101"/>
        </w:rPr>
        <w:t>” means, as of any date of determination, any Wholly-Owned Domestic Subsidiary of the Company that, together with its Subsidiaries, (</w:t>
      </w:r>
      <w:r>
        <w:rPr>
          <w:rFonts w:ascii="Arial" w:cs="Arial" w:eastAsia="Arial" w:hAnsi="Arial"/>
          <w:sz w:val="15"/>
          <w:szCs w:val="15"/>
          <w:color w:val="FF0000"/>
          <w:strike w:val="1"/>
        </w:rPr>
        <w:t>a</w:t>
      </w:r>
      <w:r>
        <w:rPr>
          <w:rFonts w:ascii="Arial" w:cs="Arial" w:eastAsia="Arial" w:hAnsi="Arial"/>
          <w:sz w:val="15"/>
          <w:szCs w:val="15"/>
          <w:b w:val="1"/>
          <w:bCs w:val="1"/>
          <w:u w:val="single" w:color="auto"/>
          <w:color w:val="0000FF"/>
        </w:rPr>
        <w:t>a</w:t>
      </w:r>
      <w:r>
        <w:rPr>
          <w:rFonts w:ascii="Arial" w:cs="Arial" w:eastAsia="Arial" w:hAnsi="Arial"/>
          <w:sz w:val="15"/>
          <w:szCs w:val="15"/>
          <w:color w:val="010101"/>
        </w:rPr>
        <w:t>) generated more than 7.5% of the Consolidated revenues of the Company and its Subsidiaries for the four fiscal quarter period most recently ended on or prior to such date or (</w:t>
      </w:r>
      <w:r>
        <w:rPr>
          <w:rFonts w:ascii="Arial" w:cs="Arial" w:eastAsia="Arial" w:hAnsi="Arial"/>
          <w:sz w:val="15"/>
          <w:szCs w:val="15"/>
          <w:color w:val="FF0000"/>
          <w:strike w:val="1"/>
        </w:rPr>
        <w:t>b</w:t>
      </w:r>
      <w:r>
        <w:rPr>
          <w:rFonts w:ascii="Arial" w:cs="Arial" w:eastAsia="Arial" w:hAnsi="Arial"/>
          <w:sz w:val="15"/>
          <w:szCs w:val="15"/>
          <w:b w:val="1"/>
          <w:bCs w:val="1"/>
          <w:u w:val="single" w:color="auto"/>
          <w:color w:val="0000FF"/>
        </w:rPr>
        <w:t>b</w:t>
      </w:r>
      <w:r>
        <w:rPr>
          <w:rFonts w:ascii="Arial" w:cs="Arial" w:eastAsia="Arial" w:hAnsi="Arial"/>
          <w:sz w:val="15"/>
          <w:szCs w:val="15"/>
          <w:color w:val="010101"/>
        </w:rPr>
        <w:t>) owns more than 7.5% of the Consolidated Assets as of the last day of the most recently ended fiscal quarter of the Company.</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083" w:right="479" w:bottom="1440" w:gutter="0" w:footer="0" w:header="0"/>
        </w:sectPr>
      </w:pPr>
    </w:p>
    <w:bookmarkStart w:id="88" w:name="page89"/>
    <w:bookmarkEnd w:id="88"/>
    <w:p>
      <w:pPr>
        <w:jc w:val="both"/>
        <w:ind w:left="20" w:firstLine="485"/>
        <w:spacing w:after="0" w:line="22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Minimum Collateral Amount</w:t>
      </w:r>
      <w:r>
        <w:rPr>
          <w:rFonts w:ascii="Arial" w:cs="Arial" w:eastAsia="Arial" w:hAnsi="Arial"/>
          <w:sz w:val="16"/>
          <w:szCs w:val="16"/>
          <w:color w:val="010101"/>
        </w:rPr>
        <w:t>” means, at any time, (a) with respect to Cash Collateral consisting of cash or deposit account balances provided to reduce or eliminate Fronting Exposure during the existence of a Defaulting Lender, an amount equal to the Dollar Equivalent of 103% of the Fronting Exposure of each of the Issuing Lenders with respect to Letters of Credit issued by it and outstanding at such time, (b) with respect to Cash Collateral consisting of cash or deposit account balances provided in accordance with the provisions of Section 10.2(b), an amount equal to the Dollar Equivalent of 103% of the aggregate outstanding amount of all L/C Obligations and (c) otherwise, an amount determined by the Administrative Agent and each of the applicable Issuing Lenders that is entitled to Cash Collateral hereunder at such time in their sole discretion.</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Moody’s</w:t>
      </w:r>
      <w:r>
        <w:rPr>
          <w:rFonts w:ascii="Arial" w:cs="Arial" w:eastAsia="Arial" w:hAnsi="Arial"/>
          <w:sz w:val="16"/>
          <w:szCs w:val="16"/>
          <w:color w:val="010101"/>
        </w:rPr>
        <w:t>” means Moody’s Investors Service, Inc.</w:t>
      </w:r>
    </w:p>
    <w:p>
      <w:pPr>
        <w:spacing w:after="0" w:line="170" w:lineRule="exact"/>
        <w:rPr>
          <w:sz w:val="20"/>
          <w:szCs w:val="20"/>
          <w:color w:val="auto"/>
        </w:rPr>
      </w:pPr>
    </w:p>
    <w:p>
      <w:pPr>
        <w:jc w:val="both"/>
        <w:ind w:left="20" w:right="40" w:firstLine="485"/>
        <w:spacing w:after="0" w:line="271" w:lineRule="auto"/>
        <w:rPr>
          <w:sz w:val="20"/>
          <w:szCs w:val="20"/>
          <w:color w:val="auto"/>
        </w:rPr>
      </w:pPr>
      <w:r>
        <w:rPr>
          <w:rFonts w:ascii="Arial" w:cs="Arial" w:eastAsia="Arial" w:hAnsi="Arial"/>
          <w:sz w:val="15"/>
          <w:szCs w:val="15"/>
          <w:color w:val="010101"/>
        </w:rPr>
        <w:t xml:space="preserve">“ </w:t>
      </w:r>
      <w:r>
        <w:rPr>
          <w:rFonts w:ascii="Arial" w:cs="Arial" w:eastAsia="Arial" w:hAnsi="Arial"/>
          <w:sz w:val="15"/>
          <w:szCs w:val="15"/>
          <w:u w:val="single" w:color="auto"/>
          <w:color w:val="010101"/>
        </w:rPr>
        <w:t>Multiemployer Plan</w:t>
      </w:r>
      <w:r>
        <w:rPr>
          <w:rFonts w:ascii="Arial" w:cs="Arial" w:eastAsia="Arial" w:hAnsi="Arial"/>
          <w:sz w:val="15"/>
          <w:szCs w:val="15"/>
          <w:color w:val="010101"/>
        </w:rPr>
        <w:t>” means a multiemployer plan, as defined in Section 4001(a)(3) of ERISA, to which any Credit Party or any ERISA Affiliate is making or accruing an obligation to make contributions, or has within any of the preceding five plan years made or accrued an obligation to make contributions.</w:t>
      </w:r>
    </w:p>
    <w:p>
      <w:pPr>
        <w:spacing w:after="0" w:line="116" w:lineRule="exact"/>
        <w:rPr>
          <w:sz w:val="20"/>
          <w:szCs w:val="20"/>
          <w:color w:val="auto"/>
        </w:rPr>
      </w:pPr>
    </w:p>
    <w:p>
      <w:pPr>
        <w:jc w:val="both"/>
        <w:ind w:left="20" w:right="40" w:firstLine="485"/>
        <w:spacing w:after="0" w:line="248"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Multiple Employer Plan</w:t>
      </w:r>
      <w:r>
        <w:rPr>
          <w:rFonts w:ascii="Arial" w:cs="Arial" w:eastAsia="Arial" w:hAnsi="Arial"/>
          <w:sz w:val="15"/>
          <w:szCs w:val="15"/>
          <w:color w:val="010101"/>
        </w:rPr>
        <w:t xml:space="preserve"> ” means a single employer plan, as defined in Section 4001(a)(15) of ERISA, that (a) is maintained for employees of any Credit Party or any ERISA Affiliate and at least one Person other than such Credit Party or such ERISA Affiliate or (b) was so maintained and in respect of which such Credit Party or such ERISA Affiliate could have liability under Section 4064 or 4069 of ERISA in the event such plan has been or were to be terminated.</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National Currency Unit</w:t>
      </w:r>
      <w:r>
        <w:rPr>
          <w:rFonts w:ascii="Arial" w:cs="Arial" w:eastAsia="Arial" w:hAnsi="Arial"/>
          <w:sz w:val="15"/>
          <w:szCs w:val="15"/>
          <w:color w:val="010101"/>
        </w:rPr>
        <w:t>” means a fraction or multiple of one Euro Unit expressed in units of the former national currency of a Participating Member State.</w:t>
      </w:r>
    </w:p>
    <w:p>
      <w:pPr>
        <w:spacing w:after="0" w:line="181" w:lineRule="exact"/>
        <w:rPr>
          <w:sz w:val="20"/>
          <w:szCs w:val="20"/>
          <w:color w:val="auto"/>
        </w:rPr>
      </w:pPr>
    </w:p>
    <w:p>
      <w:pPr>
        <w:jc w:val="both"/>
        <w:ind w:left="20" w:right="4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Non-Consenting Lender</w:t>
      </w:r>
      <w:r>
        <w:rPr>
          <w:rFonts w:ascii="Arial" w:cs="Arial" w:eastAsia="Arial" w:hAnsi="Arial"/>
          <w:sz w:val="16"/>
          <w:szCs w:val="16"/>
          <w:color w:val="010101"/>
        </w:rPr>
        <w:t xml:space="preserve">” means any Lender that (a) does not approve any consent, waiver, amendment, modification or termination that (i) requires the approval of all Lenders or all affected Lenders in accordance with the terms of Section 12.2 and (ii) has been approved by the Required Lenders, or (b) does not consent to an extension of the Termination </w:t>
      </w:r>
      <w:r>
        <w:rPr>
          <w:rFonts w:ascii="Arial" w:cs="Arial" w:eastAsia="Arial" w:hAnsi="Arial"/>
          <w:sz w:val="16"/>
          <w:szCs w:val="16"/>
          <w:b w:val="1"/>
          <w:bCs w:val="1"/>
          <w:u w:val="single" w:color="auto"/>
          <w:color w:val="0000FF"/>
        </w:rPr>
        <w:t>Dat</w:t>
      </w:r>
      <w:r>
        <w:rPr>
          <w:rFonts w:ascii="Arial" w:cs="Arial" w:eastAsia="Arial" w:hAnsi="Arial"/>
          <w:sz w:val="16"/>
          <w:szCs w:val="16"/>
          <w:b w:val="1"/>
          <w:bCs w:val="1"/>
          <w:color w:val="0000FF"/>
        </w:rPr>
        <w:t>e or the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m</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 Maturity</w:t>
      </w:r>
      <w:r>
        <w:rPr>
          <w:rFonts w:ascii="Arial" w:cs="Arial" w:eastAsia="Arial" w:hAnsi="Arial"/>
          <w:sz w:val="16"/>
          <w:szCs w:val="16"/>
          <w:color w:val="010101"/>
        </w:rPr>
        <w:t xml:space="preserve"> Date pursuant to Section 2.17.</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Non-Defaulting Lender</w:t>
      </w:r>
      <w:r>
        <w:rPr>
          <w:rFonts w:ascii="Arial" w:cs="Arial" w:eastAsia="Arial" w:hAnsi="Arial"/>
          <w:sz w:val="16"/>
          <w:szCs w:val="16"/>
          <w:color w:val="010101"/>
        </w:rPr>
        <w:t>” means, at any time, each Lender that is not a Defaulting Lender at such time.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Non-Guarantor Subsidiary</w:t>
      </w:r>
      <w:r>
        <w:rPr>
          <w:rFonts w:ascii="Arial" w:cs="Arial" w:eastAsia="Arial" w:hAnsi="Arial"/>
          <w:sz w:val="16"/>
          <w:szCs w:val="16"/>
          <w:color w:val="010101"/>
        </w:rPr>
        <w:t>” means any Subsidiary of the Company that is not a Guarantor.</w:t>
      </w:r>
    </w:p>
    <w:p>
      <w:pPr>
        <w:spacing w:after="0" w:line="170" w:lineRule="exact"/>
        <w:rPr>
          <w:sz w:val="20"/>
          <w:szCs w:val="20"/>
          <w:color w:val="auto"/>
        </w:rPr>
      </w:pPr>
    </w:p>
    <w:p>
      <w:pPr>
        <w:jc w:val="both"/>
        <w:ind w:left="20" w:right="40" w:firstLine="485"/>
        <w:spacing w:after="0" w:line="222"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Non-Recourse Debt</w:t>
      </w:r>
      <w:r>
        <w:rPr>
          <w:rFonts w:ascii="Arial" w:cs="Arial" w:eastAsia="Arial" w:hAnsi="Arial"/>
          <w:sz w:val="16"/>
          <w:szCs w:val="16"/>
          <w:color w:val="010101"/>
        </w:rPr>
        <w:t>” means Debt of the Company or its Subsidiaries incurred (a) as to which neither the Company nor any of its Subsidiaries (i) provides credit support (including any undertaking, agreement or instrument which would constitute Debt), other than as described in clause (b) below,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083" w:right="479" w:bottom="1440" w:gutter="0" w:footer="0" w:header="0"/>
        </w:sectPr>
      </w:pPr>
    </w:p>
    <w:bookmarkStart w:id="89" w:name="page90"/>
    <w:bookmarkEnd w:id="89"/>
    <w:p>
      <w:pPr>
        <w:jc w:val="both"/>
        <w:ind w:left="20" w:right="20"/>
        <w:spacing w:after="0" w:line="239" w:lineRule="auto"/>
        <w:rPr>
          <w:sz w:val="20"/>
          <w:szCs w:val="20"/>
          <w:color w:val="auto"/>
        </w:rPr>
      </w:pPr>
      <w:r>
        <w:rPr>
          <w:rFonts w:ascii="Arial" w:cs="Arial" w:eastAsia="Arial" w:hAnsi="Arial"/>
          <w:sz w:val="16"/>
          <w:szCs w:val="16"/>
          <w:color w:val="010101"/>
        </w:rPr>
        <w:t>Adverse Effect) for repayment of the principal of and interest on such Debt and any fees, indemnities, expenses, reimbursements or other amounts of whatever nature accrued or payable in connection with such Debt.</w:t>
      </w:r>
    </w:p>
    <w:p>
      <w:pPr>
        <w:spacing w:after="0" w:line="200" w:lineRule="exact"/>
        <w:rPr>
          <w:sz w:val="20"/>
          <w:szCs w:val="20"/>
          <w:color w:val="auto"/>
        </w:rPr>
      </w:pPr>
    </w:p>
    <w:p>
      <w:pPr>
        <w:spacing w:after="0" w:line="232"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Note</w:t>
      </w:r>
      <w:r>
        <w:rPr>
          <w:rFonts w:ascii="Arial" w:cs="Arial" w:eastAsia="Arial" w:hAnsi="Arial"/>
          <w:sz w:val="16"/>
          <w:szCs w:val="16"/>
          <w:color w:val="010101"/>
        </w:rPr>
        <w:t xml:space="preserve">” means a </w:t>
      </w:r>
      <w:r>
        <w:rPr>
          <w:rFonts w:ascii="Arial" w:cs="Arial" w:eastAsia="Arial" w:hAnsi="Arial"/>
          <w:sz w:val="16"/>
          <w:szCs w:val="16"/>
          <w:color w:val="FF0000"/>
          <w:strike w:val="1"/>
        </w:rPr>
        <w:t>promissory note of the applicable Borrower (bearing an original or facsimile signature) payable to any Lender, delivered pursuant to a request by</w:t>
      </w:r>
      <w:r>
        <w:rPr>
          <w:rFonts w:ascii="Arial" w:cs="Arial" w:eastAsia="Arial" w:hAnsi="Arial"/>
          <w:sz w:val="16"/>
          <w:szCs w:val="16"/>
          <w:color w:val="010101"/>
        </w:rPr>
        <w:t xml:space="preserve"> </w:t>
      </w:r>
      <w:r>
        <w:rPr>
          <w:rFonts w:ascii="Arial" w:cs="Arial" w:eastAsia="Arial" w:hAnsi="Arial"/>
          <w:sz w:val="16"/>
          <w:szCs w:val="16"/>
          <w:color w:val="FF0000"/>
          <w:strike w:val="1"/>
        </w:rPr>
        <w:t>any Lender, in substantially the form of Exhibit A hereto, evidencing the aggregate indebtedness of the applicable Borrower to such Lender resulting from the Advances made by such Lender</w:t>
      </w:r>
      <w:r>
        <w:rPr>
          <w:rFonts w:ascii="Arial" w:cs="Arial" w:eastAsia="Arial" w:hAnsi="Arial"/>
          <w:sz w:val="16"/>
          <w:szCs w:val="16"/>
          <w:b w:val="1"/>
          <w:bCs w:val="1"/>
          <w:u w:val="single" w:color="auto"/>
          <w:color w:val="0000FF"/>
          <w:strike w:val="1"/>
        </w:rPr>
        <w:t>Revolvin</w:t>
      </w:r>
      <w:r>
        <w:rPr>
          <w:rFonts w:ascii="Arial" w:cs="Arial" w:eastAsia="Arial" w:hAnsi="Arial"/>
          <w:sz w:val="16"/>
          <w:szCs w:val="16"/>
          <w:b w:val="1"/>
          <w:bCs w:val="1"/>
          <w:color w:val="0000FF"/>
          <w:strike w:val="1"/>
        </w:rPr>
        <w:t>g</w:t>
      </w:r>
      <w:r>
        <w:rPr>
          <w:rFonts w:ascii="Arial" w:cs="Arial" w:eastAsia="Arial" w:hAnsi="Arial"/>
          <w:sz w:val="16"/>
          <w:szCs w:val="16"/>
          <w:color w:val="FF0000"/>
          <w:strike w:val="1"/>
        </w:rPr>
        <w:t xml:space="preserve"> </w:t>
      </w:r>
      <w:r>
        <w:rPr>
          <w:rFonts w:ascii="Arial" w:cs="Arial" w:eastAsia="Arial" w:hAnsi="Arial"/>
          <w:sz w:val="16"/>
          <w:szCs w:val="16"/>
          <w:b w:val="1"/>
          <w:bCs w:val="1"/>
          <w:u w:val="single" w:color="auto"/>
          <w:color w:val="0000FF"/>
          <w:strike w:val="1"/>
        </w:rPr>
        <w:t>Not</w:t>
      </w:r>
      <w:r>
        <w:rPr>
          <w:rFonts w:ascii="Arial" w:cs="Arial" w:eastAsia="Arial" w:hAnsi="Arial"/>
          <w:sz w:val="16"/>
          <w:szCs w:val="16"/>
          <w:b w:val="1"/>
          <w:bCs w:val="1"/>
          <w:color w:val="0000FF"/>
          <w:strike w:val="1"/>
        </w:rPr>
        <w:t>e</w:t>
      </w:r>
      <w:r>
        <w:rPr>
          <w:rFonts w:ascii="Arial" w:cs="Arial" w:eastAsia="Arial" w:hAnsi="Arial"/>
          <w:sz w:val="16"/>
          <w:szCs w:val="16"/>
          <w:color w:val="FF0000"/>
          <w:strike w:val="1"/>
        </w:rPr>
        <w:t xml:space="preserve"> </w:t>
      </w:r>
      <w:r>
        <w:rPr>
          <w:rFonts w:ascii="Arial" w:cs="Arial" w:eastAsia="Arial" w:hAnsi="Arial"/>
          <w:sz w:val="16"/>
          <w:szCs w:val="16"/>
          <w:b w:val="1"/>
          <w:bCs w:val="1"/>
          <w:u w:val="single" w:color="auto"/>
          <w:color w:val="0000FF"/>
          <w:strike w:val="1"/>
        </w:rPr>
        <w:t>o</w:t>
      </w:r>
      <w:r>
        <w:rPr>
          <w:rFonts w:ascii="Arial" w:cs="Arial" w:eastAsia="Arial" w:hAnsi="Arial"/>
          <w:sz w:val="16"/>
          <w:szCs w:val="16"/>
          <w:b w:val="1"/>
          <w:bCs w:val="1"/>
          <w:color w:val="0000FF"/>
          <w:strike w:val="1"/>
        </w:rPr>
        <w:t>r a</w:t>
      </w:r>
      <w:r>
        <w:rPr>
          <w:rFonts w:ascii="Arial" w:cs="Arial" w:eastAsia="Arial" w:hAnsi="Arial"/>
          <w:sz w:val="16"/>
          <w:szCs w:val="16"/>
          <w:color w:val="FF0000"/>
          <w:strike w:val="1"/>
        </w:rPr>
        <w:t xml:space="preserve"> </w:t>
      </w:r>
      <w:r>
        <w:rPr>
          <w:rFonts w:ascii="Arial" w:cs="Arial" w:eastAsia="Arial" w:hAnsi="Arial"/>
          <w:sz w:val="16"/>
          <w:szCs w:val="16"/>
          <w:b w:val="1"/>
          <w:bCs w:val="1"/>
          <w:u w:val="single" w:color="auto"/>
          <w:color w:val="0000FF"/>
          <w:strike w:val="1"/>
        </w:rPr>
        <w:t>Ter</w:t>
      </w:r>
      <w:r>
        <w:rPr>
          <w:rFonts w:ascii="Arial" w:cs="Arial" w:eastAsia="Arial" w:hAnsi="Arial"/>
          <w:sz w:val="16"/>
          <w:szCs w:val="16"/>
          <w:b w:val="1"/>
          <w:bCs w:val="1"/>
          <w:color w:val="0000FF"/>
          <w:strike w:val="1"/>
        </w:rPr>
        <w:t>m</w:t>
      </w:r>
      <w:r>
        <w:rPr>
          <w:rFonts w:ascii="Arial" w:cs="Arial" w:eastAsia="Arial" w:hAnsi="Arial"/>
          <w:sz w:val="16"/>
          <w:szCs w:val="16"/>
          <w:color w:val="FF0000"/>
          <w:strike w:val="1"/>
        </w:rPr>
        <w:t xml:space="preserve"> </w:t>
      </w:r>
      <w:r>
        <w:rPr>
          <w:rFonts w:ascii="Arial" w:cs="Arial" w:eastAsia="Arial" w:hAnsi="Arial"/>
          <w:sz w:val="16"/>
          <w:szCs w:val="16"/>
          <w:b w:val="1"/>
          <w:bCs w:val="1"/>
          <w:u w:val="single" w:color="auto"/>
          <w:color w:val="0000FF"/>
          <w:strike w:val="1"/>
        </w:rPr>
        <w:t>Loa</w:t>
      </w:r>
      <w:r>
        <w:rPr>
          <w:rFonts w:ascii="Arial" w:cs="Arial" w:eastAsia="Arial" w:hAnsi="Arial"/>
          <w:sz w:val="16"/>
          <w:szCs w:val="16"/>
          <w:b w:val="1"/>
          <w:bCs w:val="1"/>
          <w:color w:val="0000FF"/>
          <w:strike w:val="1"/>
        </w:rPr>
        <w:t>n Note</w:t>
      </w:r>
      <w:r>
        <w:rPr>
          <w:rFonts w:ascii="Arial" w:cs="Arial" w:eastAsia="Arial" w:hAnsi="Arial"/>
          <w:sz w:val="16"/>
          <w:szCs w:val="16"/>
          <w:color w:val="010101"/>
          <w:strike w:val="1"/>
        </w:rPr>
        <w: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Notice of Borrowing</w:t>
      </w:r>
      <w:r>
        <w:rPr>
          <w:rFonts w:ascii="Arial" w:cs="Arial" w:eastAsia="Arial" w:hAnsi="Arial"/>
          <w:sz w:val="16"/>
          <w:szCs w:val="16"/>
          <w:color w:val="010101"/>
        </w:rPr>
        <w:t>” has the meaning specified in Section 2.02(a)(i).</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Notice of Continuation/Conversion</w:t>
      </w:r>
      <w:r>
        <w:rPr>
          <w:rFonts w:ascii="Arial" w:cs="Arial" w:eastAsia="Arial" w:hAnsi="Arial"/>
          <w:sz w:val="15"/>
          <w:szCs w:val="15"/>
          <w:color w:val="010101"/>
        </w:rPr>
        <w:t>” has the meaning specified in Section 2.09. “</w:t>
      </w:r>
      <w:r>
        <w:rPr>
          <w:rFonts w:ascii="Arial" w:cs="Arial" w:eastAsia="Arial" w:hAnsi="Arial"/>
          <w:sz w:val="15"/>
          <w:szCs w:val="15"/>
          <w:u w:val="single" w:color="auto"/>
          <w:color w:val="010101"/>
        </w:rPr>
        <w:t>OFAC</w:t>
      </w:r>
      <w:r>
        <w:rPr>
          <w:rFonts w:ascii="Arial" w:cs="Arial" w:eastAsia="Arial" w:hAnsi="Arial"/>
          <w:sz w:val="15"/>
          <w:szCs w:val="15"/>
          <w:color w:val="010101"/>
        </w:rPr>
        <w:t>” means the U.S. Department of the Treasury’s Office of Foreign Assets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Control. “</w:t>
      </w:r>
      <w:r>
        <w:rPr>
          <w:rFonts w:ascii="Arial" w:cs="Arial" w:eastAsia="Arial" w:hAnsi="Arial"/>
          <w:sz w:val="16"/>
          <w:szCs w:val="16"/>
          <w:u w:val="single" w:color="auto"/>
          <w:color w:val="010101"/>
        </w:rPr>
        <w:t>Other Connection Taxes</w:t>
      </w:r>
      <w:r>
        <w:rPr>
          <w:rFonts w:ascii="Arial" w:cs="Arial" w:eastAsia="Arial" w:hAnsi="Arial"/>
          <w:sz w:val="16"/>
          <w:szCs w:val="16"/>
          <w:color w:val="010101"/>
        </w:rPr>
        <w:t>” means, with respect to any Recipient, Taxes imposed as a</w:t>
      </w:r>
    </w:p>
    <w:p>
      <w:pPr>
        <w:spacing w:after="0" w:line="109" w:lineRule="exact"/>
        <w:rPr>
          <w:sz w:val="20"/>
          <w:szCs w:val="20"/>
          <w:color w:val="auto"/>
        </w:rPr>
      </w:pPr>
    </w:p>
    <w:p>
      <w:pPr>
        <w:jc w:val="both"/>
        <w:ind w:left="20" w:right="20"/>
        <w:spacing w:after="0" w:line="230" w:lineRule="auto"/>
        <w:rPr>
          <w:sz w:val="20"/>
          <w:szCs w:val="20"/>
          <w:color w:val="auto"/>
        </w:rPr>
      </w:pPr>
      <w:r>
        <w:rPr>
          <w:rFonts w:ascii="Arial" w:cs="Arial" w:eastAsia="Arial" w:hAnsi="Arial"/>
          <w:sz w:val="16"/>
          <w:szCs w:val="16"/>
          <w:color w:val="010101"/>
        </w:rPr>
        <w:t>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Other Parties</w:t>
      </w:r>
      <w:r>
        <w:rPr>
          <w:rFonts w:ascii="Arial" w:cs="Arial" w:eastAsia="Arial" w:hAnsi="Arial"/>
          <w:sz w:val="14"/>
          <w:szCs w:val="14"/>
          <w:color w:val="010101"/>
        </w:rPr>
        <w:t>” has the meaning assigned to such term in clause (c) of Section 8.07. “</w:t>
      </w:r>
      <w:r>
        <w:rPr>
          <w:rFonts w:ascii="Arial" w:cs="Arial" w:eastAsia="Arial" w:hAnsi="Arial"/>
          <w:sz w:val="14"/>
          <w:szCs w:val="14"/>
          <w:u w:val="single" w:color="auto"/>
          <w:color w:val="010101"/>
        </w:rPr>
        <w:t>Other Taxes</w:t>
      </w:r>
      <w:r>
        <w:rPr>
          <w:rFonts w:ascii="Arial" w:cs="Arial" w:eastAsia="Arial" w:hAnsi="Arial"/>
          <w:sz w:val="14"/>
          <w:szCs w:val="14"/>
          <w:color w:val="010101"/>
        </w:rPr>
        <w:t>” means all present or future stamp or documentary Taxes or any</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other</w:t>
      </w:r>
    </w:p>
    <w:p>
      <w:pPr>
        <w:spacing w:after="0" w:line="99" w:lineRule="exact"/>
        <w:rPr>
          <w:sz w:val="20"/>
          <w:szCs w:val="20"/>
          <w:color w:val="auto"/>
        </w:rPr>
      </w:pPr>
    </w:p>
    <w:p>
      <w:pPr>
        <w:jc w:val="both"/>
        <w:ind w:left="20"/>
        <w:spacing w:after="0" w:line="230" w:lineRule="auto"/>
        <w:rPr>
          <w:sz w:val="20"/>
          <w:szCs w:val="20"/>
          <w:color w:val="auto"/>
        </w:rPr>
      </w:pPr>
      <w:r>
        <w:rPr>
          <w:rFonts w:ascii="Arial" w:cs="Arial" w:eastAsia="Arial" w:hAnsi="Arial"/>
          <w:sz w:val="16"/>
          <w:szCs w:val="16"/>
          <w:color w:val="010101"/>
        </w:rPr>
        <w:t>excise or property Taxes, charges or similar levies that arise from any payment made hereunder or from the execution, delivery or registration of, performing under, or otherwise with respect to, this Agreement, except any such Taxes that are Other Connection Taxes imposed with respect to an assignment (other than an assignment requested by the Company pursuant to Section 2.19(b)).</w:t>
      </w:r>
    </w:p>
    <w:p>
      <w:pPr>
        <w:spacing w:after="0" w:line="138" w:lineRule="exact"/>
        <w:rPr>
          <w:sz w:val="20"/>
          <w:szCs w:val="20"/>
          <w:color w:val="auto"/>
        </w:rPr>
      </w:pPr>
    </w:p>
    <w:p>
      <w:pPr>
        <w:jc w:val="both"/>
        <w:ind w:left="20" w:right="20" w:firstLine="485"/>
        <w:spacing w:after="0" w:line="237"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Overnight Rate</w:t>
      </w:r>
      <w:r>
        <w:rPr>
          <w:rFonts w:ascii="Arial" w:cs="Arial" w:eastAsia="Arial" w:hAnsi="Arial"/>
          <w:sz w:val="15"/>
          <w:szCs w:val="15"/>
          <w:color w:val="010101"/>
        </w:rPr>
        <w:t>” means, for any day, (a) with respect to any amount denominated in US Dollars, the greater of (i) the Federal Funds Rate and (ii) an overnight rate determined by the Administrative Agent (or to the extent payable to an Issuing Lender, such Issuing Lender with notice to the Administrative Agent) to be customary in the place of disbursement or payment for the settlement of international banking transactions, and (b) with respect to any amount denominated in a Foreign Currency, an overnight rate determined by the Administrative Agent (or to the extent payable to an Issuing Lender, such Issuing Lender with notice to the Administrative Agent) to be customary in the place of disbursement or payment for the settlement of international banking transactions.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Participant</w:t>
      </w:r>
      <w:r>
        <w:rPr>
          <w:rFonts w:ascii="Arial" w:cs="Arial" w:eastAsia="Arial" w:hAnsi="Arial"/>
          <w:sz w:val="14"/>
          <w:szCs w:val="14"/>
          <w:color w:val="010101"/>
        </w:rPr>
        <w:t>” has the meaning assigned to such term in clause (d) of Section 9.07. “</w:t>
      </w:r>
      <w:r>
        <w:rPr>
          <w:rFonts w:ascii="Arial" w:cs="Arial" w:eastAsia="Arial" w:hAnsi="Arial"/>
          <w:sz w:val="14"/>
          <w:szCs w:val="14"/>
          <w:u w:val="single" w:color="auto"/>
          <w:color w:val="010101"/>
        </w:rPr>
        <w:t>Participant Register</w:t>
      </w:r>
      <w:r>
        <w:rPr>
          <w:rFonts w:ascii="Arial" w:cs="Arial" w:eastAsia="Arial" w:hAnsi="Arial"/>
          <w:sz w:val="14"/>
          <w:szCs w:val="14"/>
          <w:color w:val="010101"/>
        </w:rPr>
        <w:t>” has the meaning assigned to such term in clause (d) of</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Section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010101"/>
        </w:rPr>
        <w:t>9.07.</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90" w:name="page91"/>
    <w:bookmarkEnd w:id="90"/>
    <w:p>
      <w:pPr>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Participating Member State</w:t>
      </w:r>
      <w:r>
        <w:rPr>
          <w:rFonts w:ascii="Arial" w:cs="Arial" w:eastAsia="Arial" w:hAnsi="Arial"/>
          <w:sz w:val="16"/>
          <w:szCs w:val="16"/>
          <w:color w:val="010101"/>
        </w:rPr>
        <w:t>” means any member state of the European Union that has the Euro as its lawful currency in accordance with legislation of the European Union relating to Economic and Monetary Union.</w:t>
      </w:r>
    </w:p>
    <w:p>
      <w:pPr>
        <w:spacing w:after="0" w:line="240" w:lineRule="exact"/>
        <w:rPr>
          <w:sz w:val="20"/>
          <w:szCs w:val="20"/>
          <w:color w:val="auto"/>
        </w:rPr>
      </w:pPr>
    </w:p>
    <w:p>
      <w:pPr>
        <w:ind w:left="500" w:right="680"/>
        <w:spacing w:after="0" w:line="39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Payment Recipient</w:t>
      </w:r>
      <w:r>
        <w:rPr>
          <w:rFonts w:ascii="Arial" w:cs="Arial" w:eastAsia="Arial" w:hAnsi="Arial"/>
          <w:sz w:val="16"/>
          <w:szCs w:val="16"/>
          <w:color w:val="010101"/>
        </w:rPr>
        <w:t>” has the meaning assigned to such term in Section 7.11(a). “</w:t>
      </w:r>
      <w:r>
        <w:rPr>
          <w:rFonts w:ascii="Arial" w:cs="Arial" w:eastAsia="Arial" w:hAnsi="Arial"/>
          <w:sz w:val="16"/>
          <w:szCs w:val="16"/>
          <w:u w:val="single" w:color="auto"/>
          <w:color w:val="010101"/>
        </w:rPr>
        <w:t>PBGC</w:t>
      </w:r>
      <w:r>
        <w:rPr>
          <w:rFonts w:ascii="Arial" w:cs="Arial" w:eastAsia="Arial" w:hAnsi="Arial"/>
          <w:sz w:val="16"/>
          <w:szCs w:val="16"/>
          <w:color w:val="010101"/>
        </w:rPr>
        <w:t>” means the Pension Benefit Guaranty Corporation (or any successor).</w:t>
      </w:r>
    </w:p>
    <w:p>
      <w:pPr>
        <w:spacing w:after="0" w:line="1" w:lineRule="exact"/>
        <w:rPr>
          <w:sz w:val="20"/>
          <w:szCs w:val="20"/>
          <w:color w:val="auto"/>
        </w:rPr>
      </w:pPr>
    </w:p>
    <w:p>
      <w:pPr>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Performance Level</w:t>
      </w:r>
      <w:r>
        <w:rPr>
          <w:rFonts w:ascii="Arial" w:cs="Arial" w:eastAsia="Arial" w:hAnsi="Arial"/>
          <w:sz w:val="16"/>
          <w:szCs w:val="16"/>
          <w:color w:val="010101"/>
        </w:rPr>
        <w:t>” means, as of any date of the determination, the level set forth below as then in effect, as determined in accordance with the following provisions of this definition:</w:t>
      </w:r>
    </w:p>
    <w:p>
      <w:pPr>
        <w:spacing w:after="0" w:line="149" w:lineRule="exact"/>
        <w:rPr>
          <w:sz w:val="20"/>
          <w:szCs w:val="20"/>
          <w:color w:val="auto"/>
        </w:rPr>
      </w:pPr>
    </w:p>
    <w:p>
      <w:pPr>
        <w:ind w:left="500"/>
        <w:spacing w:after="0"/>
        <w:tabs>
          <w:tab w:leader="none" w:pos="1160" w:val="left"/>
        </w:tabs>
        <w:rPr>
          <w:sz w:val="20"/>
          <w:szCs w:val="20"/>
          <w:color w:val="auto"/>
        </w:rPr>
      </w:pPr>
      <w:r>
        <w:rPr>
          <w:rFonts w:ascii="Arial" w:cs="Arial" w:eastAsia="Arial" w:hAnsi="Arial"/>
          <w:sz w:val="16"/>
          <w:szCs w:val="16"/>
          <w:color w:val="010101"/>
        </w:rPr>
        <w:t>Level I:</w:t>
      </w:r>
      <w:r>
        <w:rPr>
          <w:sz w:val="20"/>
          <w:szCs w:val="20"/>
          <w:color w:val="auto"/>
        </w:rPr>
        <w:tab/>
      </w:r>
      <w:r>
        <w:rPr>
          <w:rFonts w:ascii="Arial" w:cs="Arial" w:eastAsia="Arial" w:hAnsi="Arial"/>
          <w:sz w:val="14"/>
          <w:szCs w:val="14"/>
          <w:color w:val="010101"/>
        </w:rPr>
        <w:t>Total Net Leverage Ratio of less than 1.00 to 1.00.</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Level II: Total Net Leverage Ratio of greater than or equal to 1.00 to 1.00 but less than 2.00 to 1.00.</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Level III: Total Net Leverage Ratio of greater than or equal to 2.00 to 1.00 but less than 3.00 to 1.00.</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Level IV: Total Net Leverage Ratio of greater than or equal to 3.00 to 1.00. “</w:t>
      </w:r>
      <w:r>
        <w:rPr>
          <w:rFonts w:ascii="Arial" w:cs="Arial" w:eastAsia="Arial" w:hAnsi="Arial"/>
          <w:sz w:val="16"/>
          <w:szCs w:val="16"/>
          <w:u w:val="single" w:color="auto"/>
          <w:color w:val="010101"/>
        </w:rPr>
        <w:t>Permitted Investments</w:t>
      </w:r>
      <w:r>
        <w:rPr>
          <w:rFonts w:ascii="Arial" w:cs="Arial" w:eastAsia="Arial" w:hAnsi="Arial"/>
          <w:sz w:val="16"/>
          <w:szCs w:val="16"/>
          <w:color w:val="010101"/>
        </w:rPr>
        <w:t>” means:</w:t>
      </w:r>
    </w:p>
    <w:p>
      <w:pPr>
        <w:spacing w:after="0" w:line="79" w:lineRule="exact"/>
        <w:rPr>
          <w:sz w:val="20"/>
          <w:szCs w:val="20"/>
          <w:color w:val="auto"/>
        </w:rPr>
      </w:pPr>
    </w:p>
    <w:p>
      <w:pPr>
        <w:jc w:val="both"/>
        <w:ind w:left="20" w:right="20" w:firstLine="487"/>
        <w:spacing w:after="0" w:line="230" w:lineRule="auto"/>
        <w:tabs>
          <w:tab w:leader="none" w:pos="910" w:val="left"/>
        </w:tabs>
        <w:numPr>
          <w:ilvl w:val="0"/>
          <w:numId w:val="38"/>
        </w:numPr>
        <w:rPr>
          <w:rFonts w:ascii="Arial" w:cs="Arial" w:eastAsia="Arial" w:hAnsi="Arial"/>
          <w:sz w:val="16"/>
          <w:szCs w:val="16"/>
          <w:color w:val="010101"/>
        </w:rPr>
      </w:pPr>
      <w:r>
        <w:rPr>
          <w:rFonts w:ascii="Arial" w:cs="Arial" w:eastAsia="Arial" w:hAnsi="Arial"/>
          <w:sz w:val="16"/>
          <w:szCs w:val="16"/>
          <w:color w:val="010101"/>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37" w:lineRule="exact"/>
        <w:rPr>
          <w:rFonts w:ascii="Arial" w:cs="Arial" w:eastAsia="Arial" w:hAnsi="Arial"/>
          <w:sz w:val="16"/>
          <w:szCs w:val="16"/>
          <w:color w:val="010101"/>
        </w:rPr>
      </w:pPr>
    </w:p>
    <w:p>
      <w:pPr>
        <w:ind w:left="20" w:right="20" w:firstLine="487"/>
        <w:spacing w:after="0" w:line="239" w:lineRule="auto"/>
        <w:tabs>
          <w:tab w:leader="none" w:pos="909" w:val="left"/>
        </w:tabs>
        <w:numPr>
          <w:ilvl w:val="0"/>
          <w:numId w:val="38"/>
        </w:numPr>
        <w:rPr>
          <w:rFonts w:ascii="Arial" w:cs="Arial" w:eastAsia="Arial" w:hAnsi="Arial"/>
          <w:sz w:val="16"/>
          <w:szCs w:val="16"/>
          <w:color w:val="010101"/>
        </w:rPr>
      </w:pPr>
      <w:r>
        <w:rPr>
          <w:rFonts w:ascii="Arial" w:cs="Arial" w:eastAsia="Arial" w:hAnsi="Arial"/>
          <w:sz w:val="16"/>
          <w:szCs w:val="16"/>
          <w:color w:val="010101"/>
        </w:rPr>
        <w:t>investments in commercial paper maturing within 270 days from the date of acquisition thereof and having, at such date of acquisition, a rating of A1 (or higher) by S&amp;P or P1 (or higher) by Moody’s;</w:t>
      </w:r>
    </w:p>
    <w:p>
      <w:pPr>
        <w:spacing w:after="0" w:line="148" w:lineRule="exact"/>
        <w:rPr>
          <w:rFonts w:ascii="Arial" w:cs="Arial" w:eastAsia="Arial" w:hAnsi="Arial"/>
          <w:sz w:val="16"/>
          <w:szCs w:val="16"/>
          <w:color w:val="010101"/>
        </w:rPr>
      </w:pPr>
    </w:p>
    <w:p>
      <w:pPr>
        <w:jc w:val="both"/>
        <w:ind w:left="20" w:firstLine="487"/>
        <w:spacing w:after="0" w:line="274" w:lineRule="auto"/>
        <w:tabs>
          <w:tab w:leader="none" w:pos="910" w:val="left"/>
        </w:tabs>
        <w:numPr>
          <w:ilvl w:val="0"/>
          <w:numId w:val="38"/>
        </w:numPr>
        <w:rPr>
          <w:rFonts w:ascii="Arial" w:cs="Arial" w:eastAsia="Arial" w:hAnsi="Arial"/>
          <w:sz w:val="14"/>
          <w:szCs w:val="14"/>
          <w:color w:val="010101"/>
        </w:rPr>
      </w:pPr>
      <w:r>
        <w:rPr>
          <w:rFonts w:ascii="Arial" w:cs="Arial" w:eastAsia="Arial" w:hAnsi="Arial"/>
          <w:sz w:val="14"/>
          <w:szCs w:val="14"/>
          <w:color w:val="010101"/>
        </w:rPr>
        <w:t>investments in certificates of deposit, banker’s acceptances and demand or time deposits, in each case maturing within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25" w:lineRule="exact"/>
        <w:rPr>
          <w:rFonts w:ascii="Arial" w:cs="Arial" w:eastAsia="Arial" w:hAnsi="Arial"/>
          <w:sz w:val="14"/>
          <w:szCs w:val="14"/>
          <w:color w:val="010101"/>
        </w:rPr>
      </w:pPr>
    </w:p>
    <w:p>
      <w:pPr>
        <w:ind w:left="20" w:right="20" w:firstLine="487"/>
        <w:spacing w:after="0" w:line="239" w:lineRule="auto"/>
        <w:tabs>
          <w:tab w:leader="none" w:pos="909" w:val="left"/>
        </w:tabs>
        <w:numPr>
          <w:ilvl w:val="0"/>
          <w:numId w:val="38"/>
        </w:numPr>
        <w:rPr>
          <w:rFonts w:ascii="Arial" w:cs="Arial" w:eastAsia="Arial" w:hAnsi="Arial"/>
          <w:sz w:val="16"/>
          <w:szCs w:val="16"/>
          <w:color w:val="010101"/>
        </w:rPr>
      </w:pPr>
      <w:r>
        <w:rPr>
          <w:rFonts w:ascii="Arial" w:cs="Arial" w:eastAsia="Arial" w:hAnsi="Arial"/>
          <w:sz w:val="16"/>
          <w:szCs w:val="16"/>
          <w:color w:val="010101"/>
        </w:rPr>
        <w:t>fully collateralized repurchase agreements with a term of not more than 30 days for securities described in clause (a) above and entered into with a financial institution satisfying the criteria described in clause (c) above;</w:t>
      </w:r>
    </w:p>
    <w:p>
      <w:pPr>
        <w:spacing w:after="0" w:line="138" w:lineRule="exact"/>
        <w:rPr>
          <w:rFonts w:ascii="Arial" w:cs="Arial" w:eastAsia="Arial" w:hAnsi="Arial"/>
          <w:sz w:val="16"/>
          <w:szCs w:val="16"/>
          <w:color w:val="010101"/>
        </w:rPr>
      </w:pPr>
    </w:p>
    <w:p>
      <w:pPr>
        <w:ind w:left="20" w:right="20" w:firstLine="487"/>
        <w:spacing w:after="0" w:line="239" w:lineRule="auto"/>
        <w:tabs>
          <w:tab w:leader="none" w:pos="910" w:val="left"/>
        </w:tabs>
        <w:numPr>
          <w:ilvl w:val="0"/>
          <w:numId w:val="38"/>
        </w:numPr>
        <w:rPr>
          <w:rFonts w:ascii="Arial" w:cs="Arial" w:eastAsia="Arial" w:hAnsi="Arial"/>
          <w:sz w:val="16"/>
          <w:szCs w:val="16"/>
          <w:color w:val="010101"/>
        </w:rPr>
      </w:pPr>
      <w:r>
        <w:rPr>
          <w:rFonts w:ascii="Arial" w:cs="Arial" w:eastAsia="Arial" w:hAnsi="Arial"/>
          <w:sz w:val="16"/>
          <w:szCs w:val="16"/>
          <w:color w:val="010101"/>
        </w:rPr>
        <w:t>“money market funds” that (i) comply with the criteria set forth in Rule 2a-7 of the Investment Company Act, (ii) are rated AAA by S&amp;P and Aaa by Moody’s and (iii) have portfolio assets of at least $5,000,000,000; and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29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91" w:name="page92"/>
    <w:bookmarkEnd w:id="91"/>
    <w:p>
      <w:pPr>
        <w:ind w:left="20" w:right="20" w:firstLine="487"/>
        <w:spacing w:after="0" w:line="239" w:lineRule="auto"/>
        <w:tabs>
          <w:tab w:leader="none" w:pos="909" w:val="left"/>
        </w:tabs>
        <w:numPr>
          <w:ilvl w:val="0"/>
          <w:numId w:val="39"/>
        </w:numPr>
        <w:rPr>
          <w:rFonts w:ascii="Arial" w:cs="Arial" w:eastAsia="Arial" w:hAnsi="Arial"/>
          <w:sz w:val="16"/>
          <w:szCs w:val="16"/>
          <w:color w:val="010101"/>
        </w:rPr>
      </w:pPr>
      <w:r>
        <w:rPr>
          <w:rFonts w:ascii="Arial" w:cs="Arial" w:eastAsia="Arial" w:hAnsi="Arial"/>
          <w:sz w:val="16"/>
          <w:szCs w:val="16"/>
          <w:color w:val="010101"/>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Permitted Liens</w:t>
      </w:r>
      <w:r>
        <w:rPr>
          <w:rFonts w:ascii="Arial" w:cs="Arial" w:eastAsia="Arial" w:hAnsi="Arial"/>
          <w:sz w:val="16"/>
          <w:szCs w:val="16"/>
          <w:color w:val="010101"/>
        </w:rPr>
        <w:t>” means any of the following:</w:t>
      </w:r>
    </w:p>
    <w:p>
      <w:pPr>
        <w:spacing w:after="0" w:line="170" w:lineRule="exact"/>
        <w:rPr>
          <w:sz w:val="20"/>
          <w:szCs w:val="20"/>
          <w:color w:val="auto"/>
        </w:rPr>
      </w:pPr>
    </w:p>
    <w:p>
      <w:pPr>
        <w:ind w:left="920" w:hanging="413"/>
        <w:spacing w:after="0"/>
        <w:tabs>
          <w:tab w:leader="none" w:pos="920" w:val="left"/>
        </w:tabs>
        <w:numPr>
          <w:ilvl w:val="0"/>
          <w:numId w:val="40"/>
        </w:numPr>
        <w:rPr>
          <w:rFonts w:ascii="Arial" w:cs="Arial" w:eastAsia="Arial" w:hAnsi="Arial"/>
          <w:sz w:val="16"/>
          <w:szCs w:val="16"/>
          <w:color w:val="010101"/>
        </w:rPr>
      </w:pPr>
      <w:r>
        <w:rPr>
          <w:rFonts w:ascii="Arial" w:cs="Arial" w:eastAsia="Arial" w:hAnsi="Arial"/>
          <w:sz w:val="16"/>
          <w:szCs w:val="16"/>
          <w:color w:val="010101"/>
        </w:rPr>
        <w:t>Liens for taxes, assessments and governmental charges or levies to the extent not required to be paid under Section 5.01(b) hereof;</w:t>
      </w:r>
    </w:p>
    <w:p>
      <w:pPr>
        <w:spacing w:after="0" w:line="159" w:lineRule="exact"/>
        <w:rPr>
          <w:rFonts w:ascii="Arial" w:cs="Arial" w:eastAsia="Arial" w:hAnsi="Arial"/>
          <w:sz w:val="16"/>
          <w:szCs w:val="16"/>
          <w:color w:val="010101"/>
        </w:rPr>
      </w:pPr>
    </w:p>
    <w:p>
      <w:pPr>
        <w:jc w:val="both"/>
        <w:ind w:left="20" w:right="20" w:firstLine="487"/>
        <w:spacing w:after="0" w:line="230" w:lineRule="auto"/>
        <w:tabs>
          <w:tab w:leader="none" w:pos="909" w:val="left"/>
        </w:tabs>
        <w:numPr>
          <w:ilvl w:val="0"/>
          <w:numId w:val="40"/>
        </w:numPr>
        <w:rPr>
          <w:rFonts w:ascii="Arial" w:cs="Arial" w:eastAsia="Arial" w:hAnsi="Arial"/>
          <w:sz w:val="16"/>
          <w:szCs w:val="16"/>
          <w:color w:val="010101"/>
        </w:rPr>
      </w:pPr>
      <w:r>
        <w:rPr>
          <w:rFonts w:ascii="Arial" w:cs="Arial" w:eastAsia="Arial" w:hAnsi="Arial"/>
          <w:sz w:val="16"/>
          <w:szCs w:val="16"/>
          <w:color w:val="010101"/>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48" w:lineRule="exact"/>
        <w:rPr>
          <w:rFonts w:ascii="Arial" w:cs="Arial" w:eastAsia="Arial" w:hAnsi="Arial"/>
          <w:sz w:val="16"/>
          <w:szCs w:val="16"/>
          <w:color w:val="010101"/>
        </w:rPr>
      </w:pPr>
    </w:p>
    <w:p>
      <w:pPr>
        <w:ind w:left="920" w:hanging="413"/>
        <w:spacing w:after="0"/>
        <w:tabs>
          <w:tab w:leader="none" w:pos="920" w:val="left"/>
        </w:tabs>
        <w:numPr>
          <w:ilvl w:val="0"/>
          <w:numId w:val="40"/>
        </w:numPr>
        <w:rPr>
          <w:rFonts w:ascii="Arial" w:cs="Arial" w:eastAsia="Arial" w:hAnsi="Arial"/>
          <w:sz w:val="16"/>
          <w:szCs w:val="16"/>
          <w:color w:val="010101"/>
        </w:rPr>
      </w:pPr>
      <w:r>
        <w:rPr>
          <w:rFonts w:ascii="Arial" w:cs="Arial" w:eastAsia="Arial" w:hAnsi="Arial"/>
          <w:sz w:val="16"/>
          <w:szCs w:val="16"/>
          <w:color w:val="010101"/>
        </w:rPr>
        <w:t>pledges or deposits to secure obligations under workers’ compensation laws or similar legislation or to secure public or statutory obligations;</w:t>
      </w:r>
    </w:p>
    <w:p>
      <w:pPr>
        <w:spacing w:after="0" w:line="169" w:lineRule="exact"/>
        <w:rPr>
          <w:rFonts w:ascii="Arial" w:cs="Arial" w:eastAsia="Arial" w:hAnsi="Arial"/>
          <w:sz w:val="16"/>
          <w:szCs w:val="16"/>
          <w:color w:val="010101"/>
        </w:rPr>
      </w:pPr>
    </w:p>
    <w:p>
      <w:pPr>
        <w:ind w:left="20" w:right="20" w:firstLine="487"/>
        <w:spacing w:after="0" w:line="239" w:lineRule="auto"/>
        <w:tabs>
          <w:tab w:leader="none" w:pos="909" w:val="left"/>
        </w:tabs>
        <w:numPr>
          <w:ilvl w:val="0"/>
          <w:numId w:val="40"/>
        </w:numPr>
        <w:rPr>
          <w:rFonts w:ascii="Arial" w:cs="Arial" w:eastAsia="Arial" w:hAnsi="Arial"/>
          <w:sz w:val="16"/>
          <w:szCs w:val="16"/>
          <w:color w:val="010101"/>
        </w:rPr>
      </w:pPr>
      <w:r>
        <w:rPr>
          <w:rFonts w:ascii="Arial" w:cs="Arial" w:eastAsia="Arial" w:hAnsi="Arial"/>
          <w:sz w:val="16"/>
          <w:szCs w:val="16"/>
          <w:color w:val="010101"/>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38" w:lineRule="exact"/>
        <w:rPr>
          <w:rFonts w:ascii="Arial" w:cs="Arial" w:eastAsia="Arial" w:hAnsi="Arial"/>
          <w:sz w:val="16"/>
          <w:szCs w:val="16"/>
          <w:color w:val="010101"/>
        </w:rPr>
      </w:pPr>
    </w:p>
    <w:p>
      <w:pPr>
        <w:ind w:left="920" w:hanging="413"/>
        <w:spacing w:after="0"/>
        <w:tabs>
          <w:tab w:leader="none" w:pos="920" w:val="left"/>
        </w:tabs>
        <w:numPr>
          <w:ilvl w:val="0"/>
          <w:numId w:val="40"/>
        </w:numPr>
        <w:rPr>
          <w:rFonts w:ascii="Arial" w:cs="Arial" w:eastAsia="Arial" w:hAnsi="Arial"/>
          <w:sz w:val="15"/>
          <w:szCs w:val="15"/>
          <w:color w:val="010101"/>
        </w:rPr>
      </w:pPr>
      <w:r>
        <w:rPr>
          <w:rFonts w:ascii="Arial" w:cs="Arial" w:eastAsia="Arial" w:hAnsi="Arial"/>
          <w:sz w:val="15"/>
          <w:szCs w:val="15"/>
          <w:color w:val="010101"/>
        </w:rPr>
        <w:t>easements, rights of way and other encumbrances on title to real property that do not materially adversely affect the use of such property for its present</w:t>
      </w:r>
    </w:p>
    <w:p>
      <w:pPr>
        <w:spacing w:after="0" w:line="3" w:lineRule="exact"/>
        <w:rPr>
          <w:rFonts w:ascii="Arial" w:cs="Arial" w:eastAsia="Arial" w:hAnsi="Arial"/>
          <w:sz w:val="15"/>
          <w:szCs w:val="15"/>
          <w:color w:val="010101"/>
        </w:rPr>
      </w:pPr>
    </w:p>
    <w:p>
      <w:pPr>
        <w:ind w:left="20"/>
        <w:spacing w:after="0"/>
        <w:rPr>
          <w:rFonts w:ascii="Arial" w:cs="Arial" w:eastAsia="Arial" w:hAnsi="Arial"/>
          <w:sz w:val="15"/>
          <w:szCs w:val="15"/>
          <w:color w:val="010101"/>
        </w:rPr>
      </w:pPr>
      <w:r>
        <w:rPr>
          <w:rFonts w:ascii="Arial" w:cs="Arial" w:eastAsia="Arial" w:hAnsi="Arial"/>
          <w:sz w:val="16"/>
          <w:szCs w:val="16"/>
          <w:color w:val="010101"/>
        </w:rPr>
        <w:t>purposes.</w:t>
      </w:r>
    </w:p>
    <w:p>
      <w:pPr>
        <w:spacing w:after="0" w:line="156"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Person</w:t>
      </w:r>
      <w:r>
        <w:rPr>
          <w:rFonts w:ascii="Arial" w:cs="Arial" w:eastAsia="Arial" w:hAnsi="Arial"/>
          <w:sz w:val="16"/>
          <w:szCs w:val="16"/>
          <w:color w:val="010101"/>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49"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Plan</w:t>
      </w:r>
      <w:r>
        <w:rPr>
          <w:rFonts w:ascii="Arial" w:cs="Arial" w:eastAsia="Arial" w:hAnsi="Arial"/>
          <w:sz w:val="16"/>
          <w:szCs w:val="16"/>
          <w:color w:val="010101"/>
        </w:rPr>
        <w:t>” means a Single Employer Plan or a Multiple Employer Plan subject to the provisions of Title IV of ERISA or Section 412 of the Internal Revenue Code or Section 302 of ERISA.</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Platform</w:t>
      </w:r>
      <w:r>
        <w:rPr>
          <w:rFonts w:ascii="Arial" w:cs="Arial" w:eastAsia="Arial" w:hAnsi="Arial"/>
          <w:sz w:val="16"/>
          <w:szCs w:val="16"/>
          <w:color w:val="010101"/>
        </w:rPr>
        <w:t>” has the meaning specified in Section 9.02(d)(ii).</w:t>
      </w:r>
    </w:p>
    <w:p>
      <w:pPr>
        <w:spacing w:after="0" w:line="170"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Prime Rate</w:t>
      </w:r>
      <w:r>
        <w:rPr>
          <w:rFonts w:ascii="Arial" w:cs="Arial" w:eastAsia="Arial" w:hAnsi="Arial"/>
          <w:sz w:val="16"/>
          <w:szCs w:val="16"/>
          <w:color w:val="010101"/>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49" w:lineRule="exact"/>
        <w:rPr>
          <w:sz w:val="20"/>
          <w:szCs w:val="20"/>
          <w:color w:val="auto"/>
        </w:rPr>
      </w:pPr>
    </w:p>
    <w:p>
      <w:pPr>
        <w:ind w:left="20" w:firstLine="485"/>
        <w:spacing w:after="0" w:line="271"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Pro Forma Basis</w:t>
      </w:r>
      <w:r>
        <w:rPr>
          <w:rFonts w:ascii="Arial" w:cs="Arial" w:eastAsia="Arial" w:hAnsi="Arial"/>
          <w:sz w:val="15"/>
          <w:szCs w:val="15"/>
          <w:color w:val="010101"/>
        </w:rPr>
        <w:t>” means, with respect to any transaction, that such transaction shall be deemed to have occurred as of the first day of the four-quarter period (or twelve month period, as applicable) ending as of the most recent quarter end (or month end, as applicable) preceding the date of such transaction.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Properties</w:t>
      </w:r>
      <w:r>
        <w:rPr>
          <w:rFonts w:ascii="Arial" w:cs="Arial" w:eastAsia="Arial" w:hAnsi="Arial"/>
          <w:sz w:val="16"/>
          <w:szCs w:val="16"/>
          <w:color w:val="010101"/>
        </w:rPr>
        <w:t>” has the meaning ascribed to such term in clause (o) of Section 4.01.</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92" w:name="page93"/>
    <w:bookmarkEnd w:id="92"/>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PTE</w:t>
      </w:r>
      <w:r>
        <w:rPr>
          <w:rFonts w:ascii="Arial" w:cs="Arial" w:eastAsia="Arial" w:hAnsi="Arial"/>
          <w:sz w:val="15"/>
          <w:szCs w:val="15"/>
          <w:color w:val="010101"/>
        </w:rPr>
        <w:t>” means a prohibited transaction class exemption issued by the U.S. Department of Labor, as any such exemption may be amended from time to time.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QFC</w:t>
      </w:r>
      <w:r>
        <w:rPr>
          <w:rFonts w:ascii="Arial" w:cs="Arial" w:eastAsia="Arial" w:hAnsi="Arial"/>
          <w:sz w:val="16"/>
          <w:szCs w:val="16"/>
          <w:color w:val="010101"/>
        </w:rPr>
        <w:t>” has the meaning specified in Section 9.20(b).</w:t>
      </w:r>
    </w:p>
    <w:p>
      <w:pPr>
        <w:spacing w:after="0" w:line="156" w:lineRule="exact"/>
        <w:rPr>
          <w:sz w:val="20"/>
          <w:szCs w:val="20"/>
          <w:color w:val="auto"/>
        </w:rPr>
      </w:pPr>
    </w:p>
    <w:p>
      <w:pPr>
        <w:jc w:val="both"/>
        <w:ind w:left="20" w:firstLine="485"/>
        <w:spacing w:after="0" w:line="226"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Rate Determination Date</w:t>
      </w:r>
      <w:r>
        <w:rPr>
          <w:rFonts w:ascii="Arial" w:cs="Arial" w:eastAsia="Arial" w:hAnsi="Arial"/>
          <w:sz w:val="16"/>
          <w:szCs w:val="16"/>
          <w:color w:val="010101"/>
        </w:rPr>
        <w:t xml:space="preserve">” means, with respect to any Interest Period, two Eurocurrency </w:t>
      </w:r>
      <w:r>
        <w:rPr>
          <w:rFonts w:ascii="Arial" w:cs="Arial" w:eastAsia="Arial" w:hAnsi="Arial"/>
          <w:sz w:val="16"/>
          <w:szCs w:val="16"/>
          <w:color w:val="FF0000"/>
          <w:strike w:val="1"/>
        </w:rPr>
        <w:t>Bank</w:t>
      </w:r>
      <w:r>
        <w:rPr>
          <w:rFonts w:ascii="Arial" w:cs="Arial" w:eastAsia="Arial" w:hAnsi="Arial"/>
          <w:sz w:val="16"/>
          <w:szCs w:val="16"/>
          <w:b w:val="1"/>
          <w:bCs w:val="1"/>
          <w:u w:val="single" w:color="auto"/>
          <w:color w:val="0000FF"/>
        </w:rPr>
        <w:t>Banking</w:t>
      </w:r>
      <w:r>
        <w:rPr>
          <w:rFonts w:ascii="Arial" w:cs="Arial" w:eastAsia="Arial" w:hAnsi="Arial"/>
          <w:sz w:val="16"/>
          <w:szCs w:val="16"/>
          <w:color w:val="010101"/>
        </w:rPr>
        <w:t xml:space="preserve"> Days prior to the commencement of such Interest Period (or such other day as is generally treated as the rate fixing day by market practice in the applicable interbank market, as determined by the Administrative Agent;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to the extent that such market practice is not administratively feasible for the Administrative Agent, such other day as otherwise reasonably determined by the Administrative Agent).</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Recipient</w:t>
      </w:r>
      <w:r>
        <w:rPr>
          <w:rFonts w:ascii="Arial" w:cs="Arial" w:eastAsia="Arial" w:hAnsi="Arial"/>
          <w:sz w:val="16"/>
          <w:szCs w:val="16"/>
          <w:color w:val="010101"/>
        </w:rPr>
        <w:t>” means (a) the Administrative Agent and (b) any Lender.</w:t>
      </w:r>
    </w:p>
    <w:p>
      <w:pPr>
        <w:spacing w:after="0" w:line="160" w:lineRule="exact"/>
        <w:rPr>
          <w:sz w:val="20"/>
          <w:szCs w:val="20"/>
          <w:color w:val="auto"/>
        </w:rPr>
      </w:pPr>
    </w:p>
    <w:p>
      <w:pPr>
        <w:jc w:val="both"/>
        <w:ind w:left="20" w:firstLine="485"/>
        <w:spacing w:after="0" w:line="247"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u w:val="single" w:color="auto"/>
          <w:color w:val="auto"/>
        </w:rPr>
        <w:t>Reference Time</w:t>
      </w:r>
      <w:r>
        <w:rPr>
          <w:rFonts w:ascii="Arial" w:cs="Arial" w:eastAsia="Arial" w:hAnsi="Arial"/>
          <w:sz w:val="14"/>
          <w:szCs w:val="14"/>
          <w:color w:val="auto"/>
        </w:rPr>
        <w:t xml:space="preserve">” with respect to any setting of the then-current Benchmark for any Currency means (a) if such Benchmark is a Daily Simple RFR, (i) if the RFR for such Benchmark is SOFR, then </w:t>
      </w:r>
      <w:r>
        <w:rPr>
          <w:rFonts w:ascii="Arial" w:cs="Arial" w:eastAsia="Arial" w:hAnsi="Arial"/>
          <w:sz w:val="14"/>
          <w:szCs w:val="14"/>
          <w:color w:val="010101"/>
        </w:rPr>
        <w:t>four RFR Business Days prior to (A) if the date of such setting is an RFR Business Day, such date or (B) if the date of such setting is</w:t>
      </w:r>
      <w:r>
        <w:rPr>
          <w:rFonts w:ascii="Arial" w:cs="Arial" w:eastAsia="Arial" w:hAnsi="Arial"/>
          <w:sz w:val="14"/>
          <w:szCs w:val="14"/>
          <w:color w:val="auto"/>
        </w:rPr>
        <w:t xml:space="preserve"> </w:t>
      </w:r>
      <w:r>
        <w:rPr>
          <w:rFonts w:ascii="Arial" w:cs="Arial" w:eastAsia="Arial" w:hAnsi="Arial"/>
          <w:sz w:val="14"/>
          <w:szCs w:val="14"/>
          <w:color w:val="010101"/>
        </w:rPr>
        <w:t>not an RFR Business Day, the RFR Business Day immediately preceding such date, (ii) if the RFR for such Benchmark is SONIA, then four RFR Business Days prior to</w:t>
      </w:r>
    </w:p>
    <w:p>
      <w:pPr>
        <w:spacing w:after="0" w:line="2" w:lineRule="exact"/>
        <w:rPr>
          <w:sz w:val="20"/>
          <w:szCs w:val="20"/>
          <w:color w:val="auto"/>
        </w:rPr>
      </w:pPr>
    </w:p>
    <w:p>
      <w:pPr>
        <w:jc w:val="both"/>
        <w:ind w:left="20" w:firstLine="2"/>
        <w:spacing w:after="0" w:line="230" w:lineRule="auto"/>
        <w:tabs>
          <w:tab w:leader="none" w:pos="299" w:val="left"/>
        </w:tabs>
        <w:numPr>
          <w:ilvl w:val="0"/>
          <w:numId w:val="41"/>
        </w:numPr>
        <w:rPr>
          <w:rFonts w:ascii="Arial" w:cs="Arial" w:eastAsia="Arial" w:hAnsi="Arial"/>
          <w:sz w:val="15"/>
          <w:szCs w:val="15"/>
          <w:color w:val="010101"/>
        </w:rPr>
      </w:pPr>
      <w:r>
        <w:rPr>
          <w:rFonts w:ascii="Arial" w:cs="Arial" w:eastAsia="Arial" w:hAnsi="Arial"/>
          <w:sz w:val="15"/>
          <w:szCs w:val="15"/>
          <w:color w:val="010101"/>
        </w:rPr>
        <w:t xml:space="preserve">if the date of such setting is an RFR Business Day, such date or (B) if the date of such setting is not an RFR Business Day, the RFR Business Day immediately preceding such date, and (iii) </w:t>
      </w:r>
      <w:r>
        <w:rPr>
          <w:rFonts w:ascii="Arial" w:cs="Arial" w:eastAsia="Arial" w:hAnsi="Arial"/>
          <w:sz w:val="15"/>
          <w:szCs w:val="15"/>
          <w:color w:val="000000"/>
        </w:rPr>
        <w:t>if the RFR for such Benchmark is SORA, then</w:t>
      </w:r>
      <w:r>
        <w:rPr>
          <w:rFonts w:ascii="Arial" w:cs="Arial" w:eastAsia="Arial" w:hAnsi="Arial"/>
          <w:sz w:val="15"/>
          <w:szCs w:val="15"/>
          <w:color w:val="010101"/>
        </w:rPr>
        <w:t xml:space="preserve"> five RFR Business Days prior to (A) if the date of such setting is an RFR Business Day, such date or (B) if the date of such setting is not an RFR Business Day, the RFR Business Day immediately preceding such date, (b) if such Benchmark is an Adjusted Eurocurrency Rate, </w:t>
      </w:r>
      <w:r>
        <w:rPr>
          <w:rFonts w:ascii="Arial" w:cs="Arial" w:eastAsia="Arial" w:hAnsi="Arial"/>
          <w:sz w:val="15"/>
          <w:szCs w:val="15"/>
          <w:color w:val="000000"/>
        </w:rPr>
        <w:t>(i)</w:t>
      </w:r>
      <w:r>
        <w:rPr>
          <w:rFonts w:ascii="Arial" w:cs="Arial" w:eastAsia="Arial" w:hAnsi="Arial"/>
          <w:sz w:val="15"/>
          <w:szCs w:val="15"/>
          <w:color w:val="010101"/>
        </w:rPr>
        <w:t xml:space="preserve"> if the applicable Adjusted Eurocurrency Rate for such Benchmark is based upon Term SOFR, then 11:00 a.m. (London time) on the day that is two Eurocurrency Banking Days preceding the date of such setting, and (ii) if the applicable Adjusted Eurocurrency Rate for such Benchmark is based upon EURIBOR, then 11:00 a.m. (Brussels time) on the day that is two Eurocurrency Banking Days preceding the date of such setting, and (c) if otherwise, then the time determined by the Administrative Agent, including in accordance with the Conforming Changes.</w:t>
      </w:r>
    </w:p>
    <w:p>
      <w:pPr>
        <w:spacing w:after="0" w:line="153"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Reimbursement Obligation</w:t>
      </w:r>
      <w:r>
        <w:rPr>
          <w:rFonts w:ascii="Arial" w:cs="Arial" w:eastAsia="Arial" w:hAnsi="Arial"/>
          <w:sz w:val="16"/>
          <w:szCs w:val="16"/>
          <w:color w:val="010101"/>
        </w:rPr>
        <w:t>” means the obligation of the Borrowers to reimburse any Issuing Lender pursuant to Section 10.05 for amounts drawn under Letters of Credit issued by such Issuing Lender.</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Reinstated Letter of Credit</w:t>
      </w:r>
      <w:r>
        <w:rPr>
          <w:rFonts w:ascii="Arial" w:cs="Arial" w:eastAsia="Arial" w:hAnsi="Arial"/>
          <w:sz w:val="16"/>
          <w:szCs w:val="16"/>
          <w:color w:val="010101"/>
        </w:rPr>
        <w:t>” has the meaning specified in Section 10.12(e). “</w:t>
      </w:r>
      <w:r>
        <w:rPr>
          <w:rFonts w:ascii="Arial" w:cs="Arial" w:eastAsia="Arial" w:hAnsi="Arial"/>
          <w:sz w:val="16"/>
          <w:szCs w:val="16"/>
          <w:u w:val="single" w:color="auto"/>
          <w:color w:val="010101"/>
        </w:rPr>
        <w:t>Register</w:t>
      </w:r>
      <w:r>
        <w:rPr>
          <w:rFonts w:ascii="Arial" w:cs="Arial" w:eastAsia="Arial" w:hAnsi="Arial"/>
          <w:sz w:val="16"/>
          <w:szCs w:val="16"/>
          <w:color w:val="010101"/>
        </w:rPr>
        <w:t>” has the meaning specified in Section 9.07(d).</w:t>
      </w:r>
    </w:p>
    <w:p>
      <w:pPr>
        <w:spacing w:after="0" w:line="69"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Related Parties</w:t>
      </w:r>
      <w:r>
        <w:rPr>
          <w:rFonts w:ascii="Arial" w:cs="Arial" w:eastAsia="Arial" w:hAnsi="Arial"/>
          <w:sz w:val="16"/>
          <w:szCs w:val="16"/>
          <w:color w:val="010101"/>
        </w:rPr>
        <w:t>” means, with respect to any Person, such Person’s Affiliates and the partners, directors, officers, employees, agents, trustees, administrators, managers, advisors and representatives of such Person and of such Person’s Affiliates.</w:t>
      </w:r>
    </w:p>
    <w:p>
      <w:pPr>
        <w:spacing w:after="0" w:line="149" w:lineRule="exact"/>
        <w:rPr>
          <w:sz w:val="20"/>
          <w:szCs w:val="20"/>
          <w:color w:val="auto"/>
        </w:rPr>
      </w:pPr>
    </w:p>
    <w:p>
      <w:pPr>
        <w:jc w:val="both"/>
        <w:ind w:left="20" w:firstLine="485"/>
        <w:spacing w:after="0" w:line="230"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Relevant Governmental Body</w:t>
      </w:r>
      <w:r>
        <w:rPr>
          <w:rFonts w:ascii="Arial" w:cs="Arial" w:eastAsia="Arial" w:hAnsi="Arial"/>
          <w:sz w:val="16"/>
          <w:szCs w:val="16"/>
          <w:color w:val="010101"/>
        </w:rPr>
        <w:t>” means (a) with respect to a Benchmark Replacement in respect of Borrower Obligations, interest, fees, commissions or other amounts denominated in, or calculated with respect to, US Dollars, the FRB or the Federal Reserve Bank of New York, or a committee officially endorsed or convened by the FRB or the Federal Reserve Bank of New</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93" w:name="page94"/>
    <w:bookmarkEnd w:id="93"/>
    <w:p>
      <w:pPr>
        <w:jc w:val="both"/>
        <w:ind w:left="20"/>
        <w:spacing w:after="0" w:line="233" w:lineRule="auto"/>
        <w:rPr>
          <w:sz w:val="20"/>
          <w:szCs w:val="20"/>
          <w:color w:val="auto"/>
        </w:rPr>
      </w:pPr>
      <w:r>
        <w:rPr>
          <w:rFonts w:ascii="Arial" w:cs="Arial" w:eastAsia="Arial" w:hAnsi="Arial"/>
          <w:sz w:val="15"/>
          <w:szCs w:val="15"/>
          <w:color w:val="010101"/>
        </w:rPr>
        <w:t>York, or any successor thereto and (b) with respect to a Benchmark Replacement in respect of Borrower Obligations, interest, fees, commissions or other amounts denominated in, or calculated with respect to, any Foreign Currency, (1) the central bank for the Currency in which such Borrower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Borrower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51" w:lineRule="exact"/>
        <w:rPr>
          <w:sz w:val="20"/>
          <w:szCs w:val="20"/>
          <w:color w:val="auto"/>
        </w:rPr>
      </w:pPr>
    </w:p>
    <w:p>
      <w:pPr>
        <w:jc w:val="both"/>
        <w:ind w:left="20" w:right="20" w:firstLine="485"/>
        <w:spacing w:after="0" w:line="222"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Required Lenders</w:t>
      </w:r>
      <w:r>
        <w:rPr>
          <w:rFonts w:ascii="Arial" w:cs="Arial" w:eastAsia="Arial" w:hAnsi="Arial"/>
          <w:sz w:val="16"/>
          <w:szCs w:val="16"/>
          <w:color w:val="010101"/>
        </w:rPr>
        <w:t xml:space="preserve">” means (a) if there are fewer than three Lenders at such time, all Non-Defaulting Lenders, and (b) if there are three or more Lenders at such time, Lenders having more than 50% of the </w:t>
      </w:r>
      <w:r>
        <w:rPr>
          <w:rFonts w:ascii="Arial" w:cs="Arial" w:eastAsia="Arial" w:hAnsi="Arial"/>
          <w:sz w:val="16"/>
          <w:szCs w:val="16"/>
          <w:b w:val="1"/>
          <w:bCs w:val="1"/>
          <w:u w:val="single" w:color="auto"/>
          <w:color w:val="0000FF"/>
        </w:rPr>
        <w:t>Unused</w:t>
      </w:r>
      <w:r>
        <w:rPr>
          <w:rFonts w:ascii="Arial" w:cs="Arial" w:eastAsia="Arial" w:hAnsi="Arial"/>
          <w:sz w:val="16"/>
          <w:szCs w:val="16"/>
          <w:color w:val="010101"/>
        </w:rPr>
        <w:t xml:space="preserve"> Commitments </w:t>
      </w:r>
      <w:r>
        <w:rPr>
          <w:rFonts w:ascii="Arial" w:cs="Arial" w:eastAsia="Arial" w:hAnsi="Arial"/>
          <w:sz w:val="16"/>
          <w:szCs w:val="16"/>
          <w:b w:val="1"/>
          <w:bCs w:val="1"/>
          <w:u w:val="single" w:color="auto"/>
          <w:color w:val="0000FF"/>
        </w:rPr>
        <w:t>an</w:t>
      </w:r>
      <w:r>
        <w:rPr>
          <w:rFonts w:ascii="Arial" w:cs="Arial" w:eastAsia="Arial" w:hAnsi="Arial"/>
          <w:sz w:val="16"/>
          <w:szCs w:val="16"/>
          <w:b w:val="1"/>
          <w:bCs w:val="1"/>
          <w:color w:val="0000FF"/>
        </w:rPr>
        <w:t>d o</w:t>
      </w:r>
      <w:r>
        <w:rPr>
          <w:rFonts w:ascii="Arial" w:cs="Arial" w:eastAsia="Arial" w:hAnsi="Arial"/>
          <w:sz w:val="16"/>
          <w:szCs w:val="16"/>
          <w:b w:val="1"/>
          <w:bCs w:val="1"/>
          <w:u w:val="single" w:color="auto"/>
          <w:color w:val="0000FF"/>
        </w:rPr>
        <w:t>utstandin</w:t>
      </w:r>
      <w:r>
        <w:rPr>
          <w:rFonts w:ascii="Arial" w:cs="Arial" w:eastAsia="Arial" w:hAnsi="Arial"/>
          <w:sz w:val="16"/>
          <w:szCs w:val="16"/>
          <w:color w:val="010101"/>
        </w:rPr>
        <w:t xml:space="preserve"> </w:t>
      </w:r>
      <w:r>
        <w:rPr>
          <w:rFonts w:ascii="Arial" w:cs="Arial" w:eastAsia="Arial" w:hAnsi="Arial"/>
          <w:sz w:val="16"/>
          <w:szCs w:val="16"/>
          <w:b w:val="1"/>
          <w:bCs w:val="1"/>
          <w:color w:val="0000FF"/>
        </w:rPr>
        <w:t>g Advances</w:t>
      </w:r>
      <w:r>
        <w:rPr>
          <w:rFonts w:ascii="Arial" w:cs="Arial" w:eastAsia="Arial" w:hAnsi="Arial"/>
          <w:sz w:val="16"/>
          <w:szCs w:val="16"/>
          <w:color w:val="010101"/>
        </w:rPr>
        <w:t xml:space="preserve"> or, if the Commitments have been terminated, Lenders holding at least a majority of the then aggregate Revolving Credit Exposure </w:t>
      </w:r>
      <w:r>
        <w:rPr>
          <w:rFonts w:ascii="Arial" w:cs="Arial" w:eastAsia="Arial" w:hAnsi="Arial"/>
          <w:sz w:val="16"/>
          <w:szCs w:val="16"/>
          <w:b w:val="1"/>
          <w:bCs w:val="1"/>
          <w:u w:val="single" w:color="auto"/>
          <w:color w:val="0000FF"/>
        </w:rPr>
        <w:t>an</w:t>
      </w:r>
      <w:r>
        <w:rPr>
          <w:rFonts w:ascii="Arial" w:cs="Arial" w:eastAsia="Arial" w:hAnsi="Arial"/>
          <w:sz w:val="16"/>
          <w:szCs w:val="16"/>
          <w:b w:val="1"/>
          <w:bCs w:val="1"/>
          <w:color w:val="0000FF"/>
        </w:rPr>
        <w:t>d o</w:t>
      </w:r>
      <w:r>
        <w:rPr>
          <w:rFonts w:ascii="Arial" w:cs="Arial" w:eastAsia="Arial" w:hAnsi="Arial"/>
          <w:sz w:val="16"/>
          <w:szCs w:val="16"/>
          <w:b w:val="1"/>
          <w:bCs w:val="1"/>
          <w:u w:val="single" w:color="auto"/>
          <w:color w:val="0000FF"/>
        </w:rPr>
        <w:t>utstandin</w:t>
      </w:r>
      <w:r>
        <w:rPr>
          <w:rFonts w:ascii="Arial" w:cs="Arial" w:eastAsia="Arial" w:hAnsi="Arial"/>
          <w:sz w:val="16"/>
          <w:szCs w:val="16"/>
          <w:b w:val="1"/>
          <w:bCs w:val="1"/>
          <w:color w:val="0000FF"/>
        </w:rPr>
        <w:t>g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Loans</w:t>
      </w:r>
      <w:r>
        <w:rPr>
          <w:rFonts w:ascii="Arial" w:cs="Arial" w:eastAsia="Arial" w:hAnsi="Arial"/>
          <w:sz w:val="16"/>
          <w:szCs w:val="16"/>
          <w:color w:val="010101"/>
        </w:rPr>
        <w:t xml:space="preserve"> of all Lenders;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if any Lender shall be a Defaulting Lender at such time, there shall be excluded from the determination of Required Lenders at such time the Commitments </w:t>
      </w:r>
      <w:r>
        <w:rPr>
          <w:rFonts w:ascii="Arial" w:cs="Arial" w:eastAsia="Arial" w:hAnsi="Arial"/>
          <w:sz w:val="16"/>
          <w:szCs w:val="16"/>
          <w:color w:val="FF0000"/>
        </w:rPr>
        <w:t>and</w:t>
      </w:r>
      <w:r>
        <w:rPr>
          <w:rFonts w:ascii="Arial" w:cs="Arial" w:eastAsia="Arial" w:hAnsi="Arial"/>
          <w:sz w:val="16"/>
          <w:szCs w:val="16"/>
          <w:b w:val="1"/>
          <w:bCs w:val="1"/>
          <w:color w:val="0000FF"/>
        </w:rPr>
        <w:t>,</w:t>
      </w:r>
      <w:r>
        <w:rPr>
          <w:rFonts w:ascii="Arial" w:cs="Arial" w:eastAsia="Arial" w:hAnsi="Arial"/>
          <w:sz w:val="16"/>
          <w:szCs w:val="16"/>
          <w:color w:val="010101"/>
        </w:rPr>
        <w:t xml:space="preserve"> Revolving Credit Exposure </w:t>
      </w:r>
      <w:r>
        <w:rPr>
          <w:rFonts w:ascii="Arial" w:cs="Arial" w:eastAsia="Arial" w:hAnsi="Arial"/>
          <w:sz w:val="16"/>
          <w:szCs w:val="16"/>
          <w:b w:val="1"/>
          <w:bCs w:val="1"/>
          <w:u w:val="single" w:color="auto"/>
          <w:color w:val="0000FF"/>
        </w:rPr>
        <w:t>an</w:t>
      </w:r>
      <w:r>
        <w:rPr>
          <w:rFonts w:ascii="Arial" w:cs="Arial" w:eastAsia="Arial" w:hAnsi="Arial"/>
          <w:sz w:val="16"/>
          <w:szCs w:val="16"/>
          <w:b w:val="1"/>
          <w:bCs w:val="1"/>
          <w:color w:val="0000FF"/>
        </w:rPr>
        <w:t>d Term</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Loans</w:t>
      </w:r>
      <w:r>
        <w:rPr>
          <w:rFonts w:ascii="Arial" w:cs="Arial" w:eastAsia="Arial" w:hAnsi="Arial"/>
          <w:sz w:val="16"/>
          <w:szCs w:val="16"/>
          <w:color w:val="010101"/>
        </w:rPr>
        <w:t xml:space="preserve"> of such Defaulting Lender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-163195</wp:posOffset>
            </wp:positionV>
            <wp:extent cx="18478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184785" cy="6350"/>
                    </a:xfrm>
                    <a:prstGeom prst="rect">
                      <a:avLst/>
                    </a:prstGeom>
                    <a:noFill/>
                  </pic:spPr>
                </pic:pic>
              </a:graphicData>
            </a:graphic>
          </wp:anchor>
        </w:drawing>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Resolution Authority</w:t>
      </w:r>
      <w:r>
        <w:rPr>
          <w:rFonts w:ascii="Arial" w:cs="Arial" w:eastAsia="Arial" w:hAnsi="Arial"/>
          <w:sz w:val="16"/>
          <w:szCs w:val="16"/>
          <w:color w:val="010101"/>
        </w:rPr>
        <w:t>” means an EEA Resolution Authority or, with respect to any UK Financial Institution, a UK Resolution Authority.</w:t>
      </w:r>
    </w:p>
    <w:p>
      <w:pPr>
        <w:spacing w:after="0" w:line="160"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Restricted Payment</w:t>
      </w:r>
      <w:r>
        <w:rPr>
          <w:rFonts w:ascii="Arial" w:cs="Arial" w:eastAsia="Arial" w:hAnsi="Arial"/>
          <w:sz w:val="16"/>
          <w:szCs w:val="16"/>
          <w:color w:val="010101"/>
        </w:rPr>
        <w:t>” means any dividend or other distribution (whether in cash, securities or other property) with respect to any Equity Interest of the Company, or any payment (whether in cash, securities or other property), including any sinking fund or similar deposit, on account of the purchase, redemption, retirement, acquisition, cancellation or termination of any such Equity Interest, or on account of any return of capital to the parent of the Company’s stockholders, partners or members.</w:t>
      </w:r>
    </w:p>
    <w:p>
      <w:pPr>
        <w:spacing w:after="0" w:line="145" w:lineRule="exact"/>
        <w:rPr>
          <w:sz w:val="20"/>
          <w:szCs w:val="20"/>
          <w:color w:val="auto"/>
        </w:rPr>
      </w:pPr>
    </w:p>
    <w:p>
      <w:pPr>
        <w:jc w:val="both"/>
        <w:ind w:left="20" w:right="20" w:firstLine="485"/>
        <w:spacing w:after="0" w:line="233"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Revaluation Date</w:t>
      </w:r>
      <w:r>
        <w:rPr>
          <w:rFonts w:ascii="Arial" w:cs="Arial" w:eastAsia="Arial" w:hAnsi="Arial"/>
          <w:sz w:val="15"/>
          <w:szCs w:val="15"/>
          <w:color w:val="010101"/>
        </w:rPr>
        <w:t>” means</w:t>
      </w:r>
      <w:r>
        <w:rPr>
          <w:rFonts w:ascii="Arial" w:cs="Arial" w:eastAsia="Arial" w:hAnsi="Arial"/>
          <w:sz w:val="15"/>
          <w:szCs w:val="15"/>
          <w:b w:val="1"/>
          <w:bCs w:val="1"/>
          <w:u w:val="single" w:color="auto"/>
          <w:color w:val="0000FF"/>
        </w:rPr>
        <w:t>, subjec</w:t>
      </w:r>
      <w:r>
        <w:rPr>
          <w:rFonts w:ascii="Arial" w:cs="Arial" w:eastAsia="Arial" w:hAnsi="Arial"/>
          <w:sz w:val="15"/>
          <w:szCs w:val="15"/>
          <w:b w:val="1"/>
          <w:bCs w:val="1"/>
          <w:color w:val="0000FF"/>
        </w:rPr>
        <w:t>t to S</w:t>
      </w:r>
      <w:r>
        <w:rPr>
          <w:rFonts w:ascii="Arial" w:cs="Arial" w:eastAsia="Arial" w:hAnsi="Arial"/>
          <w:sz w:val="15"/>
          <w:szCs w:val="15"/>
          <w:b w:val="1"/>
          <w:bCs w:val="1"/>
          <w:u w:val="single" w:color="auto"/>
          <w:color w:val="0000FF"/>
        </w:rPr>
        <w:t>ectio</w:t>
      </w:r>
      <w:r>
        <w:rPr>
          <w:rFonts w:ascii="Arial" w:cs="Arial" w:eastAsia="Arial" w:hAnsi="Arial"/>
          <w:sz w:val="15"/>
          <w:szCs w:val="15"/>
          <w:b w:val="1"/>
          <w:bCs w:val="1"/>
          <w:color w:val="0000FF"/>
        </w:rPr>
        <w:t>n 1.05,</w:t>
      </w:r>
      <w:r>
        <w:rPr>
          <w:rFonts w:ascii="Arial" w:cs="Arial" w:eastAsia="Arial" w:hAnsi="Arial"/>
          <w:sz w:val="15"/>
          <w:szCs w:val="15"/>
          <w:color w:val="010101"/>
        </w:rPr>
        <w:t xml:space="preserve"> (a) with respect to any Advance denominated in a Foreign Currency, each of the following: (i) the date of the borrowing of such Advance (including any borrowing or deemed borrowing </w:t>
      </w:r>
      <w:r>
        <w:rPr>
          <w:rFonts w:ascii="Arial" w:cs="Arial" w:eastAsia="Arial" w:hAnsi="Arial"/>
          <w:sz w:val="15"/>
          <w:szCs w:val="15"/>
          <w:color w:val="FF0000"/>
          <w:strike w:val="1"/>
        </w:rPr>
        <w:t>that results from the</w:t>
      </w:r>
      <w:r>
        <w:rPr>
          <w:rFonts w:ascii="Arial" w:cs="Arial" w:eastAsia="Arial" w:hAnsi="Arial"/>
          <w:sz w:val="15"/>
          <w:szCs w:val="15"/>
          <w:b w:val="1"/>
          <w:bCs w:val="1"/>
          <w:u w:val="single" w:color="auto"/>
          <w:color w:val="0000FF"/>
        </w:rPr>
        <w:t>i</w:t>
      </w:r>
      <w:r>
        <w:rPr>
          <w:rFonts w:ascii="Arial" w:cs="Arial" w:eastAsia="Arial" w:hAnsi="Arial"/>
          <w:sz w:val="15"/>
          <w:szCs w:val="15"/>
          <w:b w:val="1"/>
          <w:bCs w:val="1"/>
          <w:color w:val="0000FF"/>
        </w:rPr>
        <w:t>n r</w:t>
      </w:r>
      <w:r>
        <w:rPr>
          <w:rFonts w:ascii="Arial" w:cs="Arial" w:eastAsia="Arial" w:hAnsi="Arial"/>
          <w:sz w:val="15"/>
          <w:szCs w:val="15"/>
          <w:b w:val="1"/>
          <w:bCs w:val="1"/>
          <w:u w:val="single" w:color="auto"/>
          <w:color w:val="0000FF"/>
        </w:rPr>
        <w:t>espec</w:t>
      </w:r>
      <w:r>
        <w:rPr>
          <w:rFonts w:ascii="Arial" w:cs="Arial" w:eastAsia="Arial" w:hAnsi="Arial"/>
          <w:sz w:val="15"/>
          <w:szCs w:val="15"/>
          <w:b w:val="1"/>
          <w:bCs w:val="1"/>
          <w:color w:val="0000FF"/>
        </w:rPr>
        <w:t>t of any</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unreimburse</w:t>
      </w:r>
      <w:r>
        <w:rPr>
          <w:rFonts w:ascii="Arial" w:cs="Arial" w:eastAsia="Arial" w:hAnsi="Arial"/>
          <w:sz w:val="15"/>
          <w:szCs w:val="15"/>
          <w:color w:val="010101"/>
        </w:rPr>
        <w:t xml:space="preserve"> </w:t>
      </w:r>
      <w:r>
        <w:rPr>
          <w:rFonts w:ascii="Arial" w:cs="Arial" w:eastAsia="Arial" w:hAnsi="Arial"/>
          <w:sz w:val="15"/>
          <w:szCs w:val="15"/>
          <w:b w:val="1"/>
          <w:bCs w:val="1"/>
          <w:color w:val="0000FF"/>
        </w:rPr>
        <w:t>d p</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ortio</w:t>
      </w:r>
      <w:r>
        <w:rPr>
          <w:rFonts w:ascii="Arial" w:cs="Arial" w:eastAsia="Arial" w:hAnsi="Arial"/>
          <w:sz w:val="15"/>
          <w:szCs w:val="15"/>
          <w:b w:val="1"/>
          <w:bCs w:val="1"/>
          <w:color w:val="0000FF"/>
        </w:rPr>
        <w:t>n of any</w:t>
      </w:r>
      <w:r>
        <w:rPr>
          <w:rFonts w:ascii="Arial" w:cs="Arial" w:eastAsia="Arial" w:hAnsi="Arial"/>
          <w:sz w:val="15"/>
          <w:szCs w:val="15"/>
          <w:color w:val="010101"/>
        </w:rPr>
        <w:t xml:space="preserve"> payment by the applicable Issuing Lender under any Letter of Credit denominated in a Foreign Currency) but only as to the amounts so borrowed on such date,</w:t>
      </w:r>
    </w:p>
    <w:p>
      <w:pPr>
        <w:spacing w:after="0" w:line="1" w:lineRule="exact"/>
        <w:rPr>
          <w:sz w:val="20"/>
          <w:szCs w:val="20"/>
          <w:color w:val="auto"/>
        </w:rPr>
      </w:pPr>
    </w:p>
    <w:p>
      <w:pPr>
        <w:jc w:val="both"/>
        <w:ind w:left="20" w:right="20" w:firstLine="2"/>
        <w:spacing w:after="0" w:line="241" w:lineRule="auto"/>
        <w:tabs>
          <w:tab w:leader="none" w:pos="424" w:val="left"/>
        </w:tabs>
        <w:numPr>
          <w:ilvl w:val="0"/>
          <w:numId w:val="42"/>
        </w:numPr>
        <w:rPr>
          <w:rFonts w:ascii="Arial" w:cs="Arial" w:eastAsia="Arial" w:hAnsi="Arial"/>
          <w:sz w:val="14"/>
          <w:szCs w:val="14"/>
          <w:color w:val="010101"/>
        </w:rPr>
      </w:pPr>
      <w:r>
        <w:rPr>
          <w:rFonts w:ascii="Arial" w:cs="Arial" w:eastAsia="Arial" w:hAnsi="Arial"/>
          <w:sz w:val="14"/>
          <w:szCs w:val="14"/>
          <w:color w:val="010101"/>
        </w:rPr>
        <w:t>each date of a continuation of any Advance pursuant to the terms of this Agreement, but only as to the amounts so continued on such date, (iii) the last Business Day of each calendar month and (iv) such additional dates as the Administrative Agent shall reasonably determine or the Required Lenders shall reasonably require; and</w:t>
      </w:r>
    </w:p>
    <w:p>
      <w:pPr>
        <w:jc w:val="both"/>
        <w:ind w:left="20" w:right="20" w:firstLine="2"/>
        <w:spacing w:after="0" w:line="220" w:lineRule="auto"/>
        <w:tabs>
          <w:tab w:leader="none" w:pos="259" w:val="left"/>
        </w:tabs>
        <w:numPr>
          <w:ilvl w:val="0"/>
          <w:numId w:val="43"/>
        </w:numPr>
        <w:rPr>
          <w:rFonts w:ascii="Arial" w:cs="Arial" w:eastAsia="Arial" w:hAnsi="Arial"/>
          <w:sz w:val="16"/>
          <w:szCs w:val="16"/>
          <w:color w:val="010101"/>
        </w:rPr>
      </w:pPr>
      <w:r>
        <w:rPr>
          <w:rFonts w:ascii="Arial" w:cs="Arial" w:eastAsia="Arial" w:hAnsi="Arial"/>
          <w:sz w:val="16"/>
          <w:szCs w:val="16"/>
          <w:color w:val="010101"/>
        </w:rPr>
        <w:t xml:space="preserve">with respect to any Letter of Credit denominated in a Foreign Currency, each of the following: (i) each date of issuance of such Letter of Credit, but only as to the </w:t>
      </w:r>
      <w:r>
        <w:rPr>
          <w:rFonts w:ascii="Arial" w:cs="Arial" w:eastAsia="Arial" w:hAnsi="Arial"/>
          <w:sz w:val="16"/>
          <w:szCs w:val="16"/>
          <w:b w:val="1"/>
          <w:bCs w:val="1"/>
          <w:u w:val="single" w:color="auto"/>
          <w:color w:val="0000FF"/>
        </w:rPr>
        <w:t>state</w:t>
      </w:r>
      <w:r>
        <w:rPr>
          <w:rFonts w:ascii="Arial" w:cs="Arial" w:eastAsia="Arial" w:hAnsi="Arial"/>
          <w:sz w:val="16"/>
          <w:szCs w:val="16"/>
          <w:b w:val="1"/>
          <w:bCs w:val="1"/>
          <w:color w:val="0000FF"/>
        </w:rPr>
        <w:t>d am</w:t>
      </w:r>
      <w:r>
        <w:rPr>
          <w:rFonts w:ascii="Arial" w:cs="Arial" w:eastAsia="Arial" w:hAnsi="Arial"/>
          <w:sz w:val="16"/>
          <w:szCs w:val="16"/>
          <w:b w:val="1"/>
          <w:bCs w:val="1"/>
          <w:u w:val="single" w:color="auto"/>
          <w:color w:val="0000FF"/>
        </w:rPr>
        <w:t>oun</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f the </w:t>
      </w:r>
      <w:r>
        <w:rPr>
          <w:rFonts w:ascii="Arial" w:cs="Arial" w:eastAsia="Arial" w:hAnsi="Arial"/>
          <w:sz w:val="16"/>
          <w:szCs w:val="16"/>
          <w:color w:val="010101"/>
        </w:rPr>
        <w:t>Letter of Credit so issued on such date, (ii</w:t>
      </w:r>
      <w:r>
        <w:rPr>
          <w:rFonts w:ascii="Arial" w:cs="Arial" w:eastAsia="Arial" w:hAnsi="Arial"/>
          <w:sz w:val="16"/>
          <w:szCs w:val="16"/>
          <w:color w:val="FF0000"/>
          <w:strike w:val="1"/>
        </w:rPr>
        <w:t>) each date such Letter of Credit is amended to increase the face amount of such Letter of Credit but only</w:t>
      </w:r>
      <w:r>
        <w:rPr>
          <w:rFonts w:ascii="Arial" w:cs="Arial" w:eastAsia="Arial" w:hAnsi="Arial"/>
          <w:sz w:val="16"/>
          <w:szCs w:val="16"/>
          <w:b w:val="1"/>
          <w:bCs w:val="1"/>
          <w:color w:val="0000FF"/>
        </w:rPr>
        <w:t xml:space="preserve"> </w:t>
      </w:r>
      <w:r>
        <w:rPr>
          <w:rFonts w:ascii="Arial" w:cs="Arial" w:eastAsia="Arial" w:hAnsi="Arial"/>
          <w:sz w:val="16"/>
          <w:szCs w:val="16"/>
          <w:color w:val="FF0000"/>
          <w:strike w:val="1"/>
        </w:rPr>
        <w:t>as to the amount of such increase, (iii</w:t>
      </w:r>
      <w:r>
        <w:rPr>
          <w:rFonts w:ascii="Arial" w:cs="Arial" w:eastAsia="Arial" w:hAnsi="Arial"/>
          <w:sz w:val="16"/>
          <w:szCs w:val="16"/>
          <w:color w:val="010101"/>
        </w:rPr>
        <w:t>) in the case of all Existing Letters of Credit denominated in Foreign Currencies, the Effective Date, but only as to such Existing</w:t>
      </w:r>
      <w:r>
        <w:rPr>
          <w:rFonts w:ascii="Arial" w:cs="Arial" w:eastAsia="Arial" w:hAnsi="Arial"/>
          <w:sz w:val="16"/>
          <w:szCs w:val="16"/>
          <w:color w:val="FF0000"/>
        </w:rPr>
        <w:t xml:space="preserve"> </w:t>
      </w:r>
      <w:r>
        <w:rPr>
          <w:rFonts w:ascii="Arial" w:cs="Arial" w:eastAsia="Arial" w:hAnsi="Arial"/>
          <w:sz w:val="16"/>
          <w:szCs w:val="16"/>
          <w:color w:val="010101"/>
        </w:rPr>
        <w:t>Letters of Credit</w:t>
      </w:r>
      <w:r>
        <w:rPr>
          <w:rFonts w:ascii="Arial" w:cs="Arial" w:eastAsia="Arial" w:hAnsi="Arial"/>
          <w:sz w:val="16"/>
          <w:szCs w:val="16"/>
          <w:color w:val="FF0000"/>
          <w:strike w:val="1"/>
        </w:rPr>
        <w:t>, (iv) the last Business Day of each calendar month</w:t>
      </w:r>
      <w:r>
        <w:rPr>
          <w:rFonts w:ascii="Arial" w:cs="Arial" w:eastAsia="Arial" w:hAnsi="Arial"/>
          <w:sz w:val="16"/>
          <w:szCs w:val="16"/>
          <w:color w:val="010101"/>
        </w:rPr>
        <w:t xml:space="preserve"> and (</w:t>
      </w:r>
      <w:r>
        <w:rPr>
          <w:rFonts w:ascii="Arial" w:cs="Arial" w:eastAsia="Arial" w:hAnsi="Arial"/>
          <w:sz w:val="16"/>
          <w:szCs w:val="16"/>
          <w:color w:val="FF0000"/>
          <w:strike w:val="1"/>
        </w:rPr>
        <w:t>v</w:t>
      </w:r>
      <w:r>
        <w:rPr>
          <w:rFonts w:ascii="Arial" w:cs="Arial" w:eastAsia="Arial" w:hAnsi="Arial"/>
          <w:sz w:val="16"/>
          <w:szCs w:val="16"/>
          <w:b w:val="1"/>
          <w:bCs w:val="1"/>
          <w:u w:val="single" w:color="auto"/>
          <w:color w:val="0000FF"/>
        </w:rPr>
        <w:t>iii</w:t>
      </w:r>
      <w:r>
        <w:rPr>
          <w:rFonts w:ascii="Arial" w:cs="Arial" w:eastAsia="Arial" w:hAnsi="Arial"/>
          <w:sz w:val="16"/>
          <w:szCs w:val="16"/>
          <w:color w:val="010101"/>
        </w:rPr>
        <w:t>) such additional</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94" w:name="page95"/>
    <w:bookmarkEnd w:id="94"/>
    <w:p>
      <w:pPr>
        <w:ind w:left="20" w:right="40"/>
        <w:spacing w:after="0" w:line="239" w:lineRule="auto"/>
        <w:rPr>
          <w:sz w:val="20"/>
          <w:szCs w:val="20"/>
          <w:color w:val="auto"/>
        </w:rPr>
      </w:pPr>
      <w:r>
        <w:rPr>
          <w:rFonts w:ascii="Arial" w:cs="Arial" w:eastAsia="Arial" w:hAnsi="Arial"/>
          <w:sz w:val="16"/>
          <w:szCs w:val="16"/>
          <w:color w:val="010101"/>
        </w:rPr>
        <w:t xml:space="preserve">dates as the Administrative Agent </w:t>
      </w:r>
      <w:r>
        <w:rPr>
          <w:rFonts w:ascii="Arial" w:cs="Arial" w:eastAsia="Arial" w:hAnsi="Arial"/>
          <w:sz w:val="16"/>
          <w:szCs w:val="16"/>
          <w:color w:val="FF0000"/>
          <w:strike w:val="1"/>
        </w:rPr>
        <w:t>or the applicable Issuing Lender (with notice thereof to the Administrative Agent)</w:t>
      </w:r>
      <w:r>
        <w:rPr>
          <w:rFonts w:ascii="Arial" w:cs="Arial" w:eastAsia="Arial" w:hAnsi="Arial"/>
          <w:sz w:val="16"/>
          <w:szCs w:val="16"/>
          <w:color w:val="010101"/>
        </w:rPr>
        <w:t xml:space="preserve"> shall reasonably determine </w:t>
      </w:r>
      <w:r>
        <w:rPr>
          <w:rFonts w:ascii="Arial" w:cs="Arial" w:eastAsia="Arial" w:hAnsi="Arial"/>
          <w:sz w:val="16"/>
          <w:szCs w:val="16"/>
          <w:color w:val="FF0000"/>
        </w:rPr>
        <w:t>or the Required Lenders</w:t>
      </w:r>
      <w:r>
        <w:rPr>
          <w:rFonts w:ascii="Arial" w:cs="Arial" w:eastAsia="Arial" w:hAnsi="Arial"/>
          <w:sz w:val="16"/>
          <w:szCs w:val="16"/>
          <w:color w:val="010101"/>
        </w:rPr>
        <w:t xml:space="preserve"> </w:t>
      </w:r>
      <w:r>
        <w:rPr>
          <w:rFonts w:ascii="Arial" w:cs="Arial" w:eastAsia="Arial" w:hAnsi="Arial"/>
          <w:sz w:val="16"/>
          <w:szCs w:val="16"/>
          <w:color w:val="FF0000"/>
          <w:strike w:val="1"/>
        </w:rPr>
        <w:t>shall reasonably require</w:t>
      </w:r>
      <w:r>
        <w:rPr>
          <w:rFonts w:ascii="Arial" w:cs="Arial" w:eastAsia="Arial" w:hAnsi="Arial"/>
          <w:sz w:val="16"/>
          <w:szCs w:val="16"/>
          <w:b w:val="1"/>
          <w:bCs w:val="1"/>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5961380</wp:posOffset>
            </wp:positionH>
            <wp:positionV relativeFrom="paragraph">
              <wp:posOffset>-163830</wp:posOffset>
            </wp:positionV>
            <wp:extent cx="103314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1033145" cy="6350"/>
                    </a:xfrm>
                    <a:prstGeom prst="rect">
                      <a:avLst/>
                    </a:prstGeom>
                    <a:noFill/>
                  </pic:spPr>
                </pic:pic>
              </a:graphicData>
            </a:graphic>
          </wp:anchor>
        </w:drawing>
      </w:r>
    </w:p>
    <w:p>
      <w:pPr>
        <w:spacing w:after="0" w:line="125" w:lineRule="exact"/>
        <w:rPr>
          <w:sz w:val="20"/>
          <w:szCs w:val="20"/>
          <w:color w:val="auto"/>
        </w:rPr>
      </w:pPr>
    </w:p>
    <w:p>
      <w:pPr>
        <w:ind w:left="20" w:right="40" w:firstLine="485"/>
        <w:spacing w:after="0" w:line="244" w:lineRule="auto"/>
        <w:rPr>
          <w:sz w:val="20"/>
          <w:szCs w:val="20"/>
          <w:color w:val="auto"/>
        </w:rPr>
      </w:pPr>
      <w:r>
        <w:rPr>
          <w:rFonts w:ascii="Arial" w:cs="Arial" w:eastAsia="Arial" w:hAnsi="Arial"/>
          <w:sz w:val="16"/>
          <w:szCs w:val="16"/>
          <w:b w:val="1"/>
          <w:bCs w:val="1"/>
          <w:u w:val="single" w:color="auto"/>
          <w:color w:val="0000FF"/>
        </w:rPr>
        <w:t>“Revolving Advance” means an advance made by a Revolving Lender to a Borrower in US Dollars or any Foreign Currency as part of a Borrowing pursuant to Sectio</w:t>
      </w:r>
      <w:r>
        <w:rPr>
          <w:rFonts w:ascii="Arial" w:cs="Arial" w:eastAsia="Arial" w:hAnsi="Arial"/>
          <w:sz w:val="16"/>
          <w:szCs w:val="16"/>
          <w:b w:val="1"/>
          <w:bCs w:val="1"/>
          <w:color w:val="0000FF"/>
        </w:rPr>
        <w:t>n 2.01(a)</w:t>
      </w:r>
      <w:r>
        <w:rPr>
          <w:rFonts w:ascii="Arial" w:cs="Arial" w:eastAsia="Arial" w:hAnsi="Arial"/>
          <w:sz w:val="16"/>
          <w:szCs w:val="16"/>
          <w:color w:val="010101"/>
        </w:rPr>
        <w:t>.</w:t>
      </w:r>
    </w:p>
    <w:p>
      <w:pPr>
        <w:spacing w:after="0" w:line="145" w:lineRule="exact"/>
        <w:rPr>
          <w:sz w:val="20"/>
          <w:szCs w:val="20"/>
          <w:color w:val="auto"/>
        </w:rPr>
      </w:pPr>
    </w:p>
    <w:p>
      <w:pPr>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Revolving Credit Exposure</w:t>
      </w:r>
      <w:r>
        <w:rPr>
          <w:rFonts w:ascii="Arial" w:cs="Arial" w:eastAsia="Arial" w:hAnsi="Arial"/>
          <w:sz w:val="16"/>
          <w:szCs w:val="16"/>
          <w:color w:val="010101"/>
        </w:rPr>
        <w:t xml:space="preserve">” means, as to any Lender at any time, the Dollar Equivalent of the aggregate principal amount at such time of its outstanding </w:t>
      </w:r>
      <w:r>
        <w:rPr>
          <w:rFonts w:ascii="Arial" w:cs="Arial" w:eastAsia="Arial" w:hAnsi="Arial"/>
          <w:sz w:val="16"/>
          <w:szCs w:val="16"/>
          <w:b w:val="1"/>
          <w:bCs w:val="1"/>
          <w:u w:val="single" w:color="auto"/>
          <w:color w:val="0000FF"/>
        </w:rPr>
        <w:t>Revolving</w:t>
      </w:r>
      <w:r>
        <w:rPr>
          <w:rFonts w:ascii="Arial" w:cs="Arial" w:eastAsia="Arial" w:hAnsi="Arial"/>
          <w:sz w:val="16"/>
          <w:szCs w:val="16"/>
          <w:b w:val="1"/>
          <w:bCs w:val="1"/>
          <w:color w:val="0000FF"/>
        </w:rPr>
        <w:t xml:space="preserve"> </w:t>
      </w:r>
      <w:r>
        <w:rPr>
          <w:rFonts w:ascii="Arial" w:cs="Arial" w:eastAsia="Arial" w:hAnsi="Arial"/>
          <w:sz w:val="16"/>
          <w:szCs w:val="16"/>
          <w:color w:val="010101"/>
        </w:rPr>
        <w:t>Advances and such Lender’s participation in L/C Obligations at such time.</w:t>
      </w:r>
    </w:p>
    <w:p>
      <w:pPr>
        <w:spacing w:after="0" w:line="135" w:lineRule="exact"/>
        <w:rPr>
          <w:sz w:val="20"/>
          <w:szCs w:val="20"/>
          <w:color w:val="auto"/>
        </w:rPr>
      </w:pPr>
    </w:p>
    <w:p>
      <w:pPr>
        <w:jc w:val="both"/>
        <w:ind w:left="20" w:firstLine="485"/>
        <w:spacing w:after="0" w:line="221"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Revolving Credit Outstandings</w:t>
      </w:r>
      <w:r>
        <w:rPr>
          <w:rFonts w:ascii="Arial" w:cs="Arial" w:eastAsia="Arial" w:hAnsi="Arial"/>
          <w:sz w:val="16"/>
          <w:szCs w:val="16"/>
          <w:color w:val="010101"/>
        </w:rPr>
        <w:t xml:space="preserve">” means the </w:t>
      </w:r>
      <w:r>
        <w:rPr>
          <w:rFonts w:ascii="Arial" w:cs="Arial" w:eastAsia="Arial" w:hAnsi="Arial"/>
          <w:sz w:val="16"/>
          <w:szCs w:val="16"/>
          <w:u w:val="single" w:color="auto"/>
          <w:color w:val="010101"/>
        </w:rPr>
        <w:t>sum</w:t>
      </w:r>
      <w:r>
        <w:rPr>
          <w:rFonts w:ascii="Arial" w:cs="Arial" w:eastAsia="Arial" w:hAnsi="Arial"/>
          <w:sz w:val="16"/>
          <w:szCs w:val="16"/>
          <w:color w:val="010101"/>
        </w:rPr>
        <w:t xml:space="preserve"> of (a) with respect to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Advances on any date </w:t>
      </w:r>
      <w:r>
        <w:rPr>
          <w:rFonts w:ascii="Arial" w:cs="Arial" w:eastAsia="Arial" w:hAnsi="Arial"/>
          <w:sz w:val="16"/>
          <w:szCs w:val="16"/>
          <w:b w:val="1"/>
          <w:bCs w:val="1"/>
          <w:u w:val="single" w:color="auto"/>
          <w:color w:val="0000FF"/>
        </w:rPr>
        <w:t>(but</w:t>
      </w:r>
      <w:r>
        <w:rPr>
          <w:rFonts w:ascii="Arial" w:cs="Arial" w:eastAsia="Arial" w:hAnsi="Arial"/>
          <w:sz w:val="16"/>
          <w:szCs w:val="16"/>
          <w:b w:val="1"/>
          <w:bCs w:val="1"/>
          <w:color w:val="0000FF"/>
        </w:rPr>
        <w:t>, f</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a</w:t>
      </w:r>
      <w:r>
        <w:rPr>
          <w:rFonts w:ascii="Arial" w:cs="Arial" w:eastAsia="Arial" w:hAnsi="Arial"/>
          <w:sz w:val="16"/>
          <w:szCs w:val="16"/>
          <w:b w:val="1"/>
          <w:bCs w:val="1"/>
          <w:u w:val="single" w:color="auto"/>
          <w:color w:val="0000FF"/>
        </w:rPr>
        <w:t>voidanc</w:t>
      </w:r>
      <w:r>
        <w:rPr>
          <w:rFonts w:ascii="Arial" w:cs="Arial" w:eastAsia="Arial" w:hAnsi="Arial"/>
          <w:sz w:val="16"/>
          <w:szCs w:val="16"/>
          <w:b w:val="1"/>
          <w:bCs w:val="1"/>
          <w:color w:val="0000FF"/>
        </w:rPr>
        <w:t>e of d</w:t>
      </w:r>
      <w:r>
        <w:rPr>
          <w:rFonts w:ascii="Arial" w:cs="Arial" w:eastAsia="Arial" w:hAnsi="Arial"/>
          <w:sz w:val="16"/>
          <w:szCs w:val="16"/>
          <w:b w:val="1"/>
          <w:bCs w:val="1"/>
          <w:u w:val="single" w:color="auto"/>
          <w:color w:val="0000FF"/>
        </w:rPr>
        <w:t>oubt</w:t>
      </w:r>
      <w:r>
        <w:rPr>
          <w:rFonts w:ascii="Arial" w:cs="Arial" w:eastAsia="Arial" w:hAnsi="Arial"/>
          <w:sz w:val="16"/>
          <w:szCs w:val="16"/>
          <w:b w:val="1"/>
          <w:bCs w:val="1"/>
          <w:color w:val="0000FF"/>
        </w:rPr>
        <w:t>, n</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t i</w:t>
      </w:r>
      <w:r>
        <w:rPr>
          <w:rFonts w:ascii="Arial" w:cs="Arial" w:eastAsia="Arial" w:hAnsi="Arial"/>
          <w:sz w:val="16"/>
          <w:szCs w:val="16"/>
          <w:b w:val="1"/>
          <w:bCs w:val="1"/>
          <w:u w:val="single" w:color="auto"/>
          <w:color w:val="0000FF"/>
        </w:rPr>
        <w:t>ncludin</w:t>
      </w:r>
      <w:r>
        <w:rPr>
          <w:rFonts w:ascii="Arial" w:cs="Arial" w:eastAsia="Arial" w:hAnsi="Arial"/>
          <w:sz w:val="16"/>
          <w:szCs w:val="16"/>
          <w:b w:val="1"/>
          <w:bCs w:val="1"/>
          <w:color w:val="0000FF"/>
        </w:rPr>
        <w:t>g a</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n</w:t>
      </w:r>
      <w:r>
        <w:rPr>
          <w:rFonts w:ascii="Arial" w:cs="Arial" w:eastAsia="Arial" w:hAnsi="Arial"/>
          <w:sz w:val="16"/>
          <w:szCs w:val="16"/>
          <w:b w:val="1"/>
          <w:bCs w:val="1"/>
          <w:color w:val="0000FF"/>
        </w:rPr>
        <w:t>y</w:t>
      </w:r>
      <w:r>
        <w:rPr>
          <w:rFonts w:ascii="Arial" w:cs="Arial" w:eastAsia="Arial" w:hAnsi="Arial"/>
          <w:sz w:val="16"/>
          <w:szCs w:val="16"/>
          <w:color w:val="010101"/>
        </w:rPr>
        <w:t xml:space="preserve"> </w:t>
      </w:r>
      <w:r>
        <w:rPr>
          <w:rFonts w:ascii="Arial" w:cs="Arial" w:eastAsia="Arial" w:hAnsi="Arial"/>
          <w:sz w:val="16"/>
          <w:szCs w:val="16"/>
          <w:b w:val="1"/>
          <w:bCs w:val="1"/>
          <w:color w:val="0000FF"/>
        </w:rPr>
        <w:t>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Loans)</w:t>
      </w:r>
      <w:r>
        <w:rPr>
          <w:rFonts w:ascii="Arial" w:cs="Arial" w:eastAsia="Arial" w:hAnsi="Arial"/>
          <w:sz w:val="16"/>
          <w:szCs w:val="16"/>
          <w:color w:val="010101"/>
        </w:rPr>
        <w:t>, the Dollar Equivalent of the aggregate outstanding principal amount thereof after giving effect to any borrowings and prepayments or repayments of</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Revolving</w:t>
      </w:r>
      <w:r>
        <w:rPr>
          <w:rFonts w:ascii="Arial" w:cs="Arial" w:eastAsia="Arial" w:hAnsi="Arial"/>
          <w:sz w:val="16"/>
          <w:szCs w:val="16"/>
          <w:b w:val="1"/>
          <w:bCs w:val="1"/>
          <w:color w:val="0000FF"/>
        </w:rPr>
        <w:t xml:space="preserve"> </w:t>
      </w:r>
      <w:r>
        <w:rPr>
          <w:rFonts w:ascii="Arial" w:cs="Arial" w:eastAsia="Arial" w:hAnsi="Arial"/>
          <w:sz w:val="16"/>
          <w:szCs w:val="16"/>
          <w:color w:val="010101"/>
        </w:rPr>
        <w:t>Advances, as the case may be, occurring on such date;</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10101"/>
        </w:rPr>
        <w:t>plus</w:t>
      </w:r>
      <w:r>
        <w:rPr>
          <w:rFonts w:ascii="Arial" w:cs="Arial" w:eastAsia="Arial" w:hAnsi="Arial"/>
          <w:sz w:val="16"/>
          <w:szCs w:val="16"/>
          <w:b w:val="1"/>
          <w:bCs w:val="1"/>
          <w:color w:val="0000FF"/>
        </w:rPr>
        <w:t xml:space="preserve"> </w:t>
      </w:r>
      <w:r>
        <w:rPr>
          <w:rFonts w:ascii="Arial" w:cs="Arial" w:eastAsia="Arial" w:hAnsi="Arial"/>
          <w:sz w:val="16"/>
          <w:szCs w:val="16"/>
          <w:color w:val="010101"/>
        </w:rPr>
        <w:t>(b) with respect to any L/C Obligations on any date, the Dollar Equivalent of the aggregate</w:t>
      </w:r>
      <w:r>
        <w:rPr>
          <w:rFonts w:ascii="Arial" w:cs="Arial" w:eastAsia="Arial" w:hAnsi="Arial"/>
          <w:sz w:val="16"/>
          <w:szCs w:val="16"/>
          <w:b w:val="1"/>
          <w:bCs w:val="1"/>
          <w:color w:val="0000FF"/>
        </w:rPr>
        <w:t xml:space="preserve"> </w:t>
      </w:r>
      <w:r>
        <w:rPr>
          <w:rFonts w:ascii="Arial" w:cs="Arial" w:eastAsia="Arial" w:hAnsi="Arial"/>
          <w:sz w:val="16"/>
          <w:szCs w:val="16"/>
          <w:color w:val="010101"/>
        </w:rPr>
        <w:t>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6"/>
          <w:szCs w:val="16"/>
          <w:b w:val="1"/>
          <w:bCs w:val="1"/>
          <w:u w:val="single" w:color="auto"/>
          <w:color w:val="0000FF"/>
        </w:rPr>
        <w:t>“Revolving Lender” means any Lender with a Commitment and/or outstanding Revolvin</w:t>
      </w:r>
      <w:r>
        <w:rPr>
          <w:rFonts w:ascii="Arial" w:cs="Arial" w:eastAsia="Arial" w:hAnsi="Arial"/>
          <w:sz w:val="16"/>
          <w:szCs w:val="16"/>
          <w:b w:val="1"/>
          <w:bCs w:val="1"/>
          <w:color w:val="0000FF"/>
        </w:rPr>
        <w:t xml:space="preserve">g </w:t>
      </w:r>
      <w:r>
        <w:rPr>
          <w:rFonts w:ascii="Arial" w:cs="Arial" w:eastAsia="Arial" w:hAnsi="Arial"/>
          <w:sz w:val="16"/>
          <w:szCs w:val="16"/>
          <w:b w:val="1"/>
          <w:bCs w:val="1"/>
          <w:u w:val="single" w:color="auto"/>
          <w:color w:val="0000FF"/>
        </w:rPr>
        <w:t>Credi</w:t>
      </w:r>
      <w:r>
        <w:rPr>
          <w:rFonts w:ascii="Arial" w:cs="Arial" w:eastAsia="Arial" w:hAnsi="Arial"/>
          <w:sz w:val="16"/>
          <w:szCs w:val="16"/>
          <w:b w:val="1"/>
          <w:bCs w:val="1"/>
          <w:color w:val="0000FF"/>
        </w:rPr>
        <w:t>t Exposure.</w:t>
      </w:r>
    </w:p>
    <w:p>
      <w:pPr>
        <w:spacing w:after="0" w:line="170" w:lineRule="exact"/>
        <w:rPr>
          <w:sz w:val="20"/>
          <w:szCs w:val="20"/>
          <w:color w:val="auto"/>
        </w:rPr>
      </w:pPr>
    </w:p>
    <w:p>
      <w:pPr>
        <w:jc w:val="both"/>
        <w:ind w:left="20" w:right="40" w:firstLine="485"/>
        <w:spacing w:after="0" w:line="231" w:lineRule="auto"/>
        <w:rPr>
          <w:sz w:val="20"/>
          <w:szCs w:val="20"/>
          <w:color w:val="auto"/>
        </w:rPr>
      </w:pPr>
      <w:r>
        <w:rPr>
          <w:rFonts w:ascii="Arial" w:cs="Arial" w:eastAsia="Arial" w:hAnsi="Arial"/>
          <w:sz w:val="16"/>
          <w:szCs w:val="16"/>
          <w:b w:val="1"/>
          <w:bCs w:val="1"/>
          <w:u w:val="single" w:color="auto"/>
          <w:color w:val="0000FF"/>
        </w:rPr>
        <w:t>“Revolving Note” means a promissory note made by the applicable Borrowers in favor of a Revolving Lender evidencing the portion of the Revolving Loans made by such Revolving Lender, substantially in the form attached as</w:t>
      </w:r>
      <w:r>
        <w:rPr>
          <w:rFonts w:ascii="Arial" w:cs="Arial" w:eastAsia="Arial" w:hAnsi="Arial"/>
          <w:sz w:val="16"/>
          <w:szCs w:val="16"/>
          <w:b w:val="1"/>
          <w:bCs w:val="1"/>
          <w:color w:val="0000FF"/>
        </w:rPr>
        <w:t xml:space="preserve"> </w:t>
      </w:r>
      <w:r>
        <w:rPr>
          <w:rFonts w:ascii="Arial" w:cs="Arial" w:eastAsia="Arial" w:hAnsi="Arial"/>
          <w:sz w:val="16"/>
          <w:szCs w:val="16"/>
          <w:b w:val="1"/>
          <w:bCs w:val="1"/>
          <w:i w:val="1"/>
          <w:iCs w:val="1"/>
          <w:color w:val="0000FF"/>
        </w:rPr>
        <w:t>Exhibit A-1</w:t>
      </w:r>
      <w:r>
        <w:rPr>
          <w:rFonts w:ascii="Arial" w:cs="Arial" w:eastAsia="Arial" w:hAnsi="Arial"/>
          <w:sz w:val="16"/>
          <w:szCs w:val="16"/>
          <w:b w:val="1"/>
          <w:bCs w:val="1"/>
          <w:u w:val="single" w:color="auto"/>
          <w:color w:val="0000FF"/>
        </w:rPr>
        <w:t>, and any substitutes therefor, and any replacements, restatements,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renewals or extension thereof, in whole or in part.</w:t>
      </w:r>
    </w:p>
    <w:p>
      <w:pPr>
        <w:spacing w:after="0" w:line="200" w:lineRule="exact"/>
        <w:rPr>
          <w:sz w:val="20"/>
          <w:szCs w:val="20"/>
          <w:color w:val="auto"/>
        </w:rPr>
      </w:pPr>
    </w:p>
    <w:p>
      <w:pPr>
        <w:ind w:left="20" w:right="4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RFR</w:t>
      </w:r>
      <w:r>
        <w:rPr>
          <w:rFonts w:ascii="Arial" w:cs="Arial" w:eastAsia="Arial" w:hAnsi="Arial"/>
          <w:sz w:val="16"/>
          <w:szCs w:val="16"/>
          <w:color w:val="010101"/>
        </w:rPr>
        <w:t>” means, for any Borrower Obligations, interest, fees, commissions or other amounts denominated in, or calculated with respect to, (a) US Dollars, SOFR, (b) Sterling, SONIA and (c) Singapore Dollars, SORA.</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RFR Advance</w:t>
      </w:r>
      <w:r>
        <w:rPr>
          <w:rFonts w:ascii="Arial" w:cs="Arial" w:eastAsia="Arial" w:hAnsi="Arial"/>
          <w:sz w:val="16"/>
          <w:szCs w:val="16"/>
          <w:color w:val="010101"/>
        </w:rPr>
        <w:t>” means a Daily Simple RFR Advance or a Term SOFR Advance, as the context may require.</w:t>
      </w:r>
    </w:p>
    <w:p>
      <w:pPr>
        <w:spacing w:after="0" w:line="170" w:lineRule="exact"/>
        <w:rPr>
          <w:sz w:val="20"/>
          <w:szCs w:val="20"/>
          <w:color w:val="auto"/>
        </w:rPr>
      </w:pPr>
    </w:p>
    <w:p>
      <w:pPr>
        <w:ind w:left="20" w:firstLine="485"/>
        <w:spacing w:after="0" w:line="22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RFR Business Day</w:t>
      </w:r>
      <w:r>
        <w:rPr>
          <w:rFonts w:ascii="Arial" w:cs="Arial" w:eastAsia="Arial" w:hAnsi="Arial"/>
          <w:sz w:val="16"/>
          <w:szCs w:val="16"/>
          <w:color w:val="010101"/>
        </w:rPr>
        <w:t>” means, for any Borrower Obligations, interest, fees, commissions or other amounts denominated in, or calculated with respect to, (a) US Dollars any day except for</w:t>
      </w:r>
    </w:p>
    <w:p>
      <w:pPr>
        <w:jc w:val="both"/>
        <w:ind w:left="20" w:right="40" w:firstLine="2"/>
        <w:spacing w:after="0" w:line="224" w:lineRule="auto"/>
        <w:tabs>
          <w:tab w:leader="none" w:pos="231" w:val="left"/>
        </w:tabs>
        <w:numPr>
          <w:ilvl w:val="0"/>
          <w:numId w:val="44"/>
        </w:numPr>
        <w:rPr>
          <w:rFonts w:ascii="Arial" w:cs="Arial" w:eastAsia="Arial" w:hAnsi="Arial"/>
          <w:sz w:val="15"/>
          <w:szCs w:val="15"/>
          <w:color w:val="010101"/>
        </w:rPr>
      </w:pPr>
      <w:r>
        <w:rPr>
          <w:rFonts w:ascii="Arial" w:cs="Arial" w:eastAsia="Arial" w:hAnsi="Arial"/>
          <w:sz w:val="15"/>
          <w:szCs w:val="15"/>
          <w:color w:val="010101"/>
        </w:rPr>
        <w:t>a Saturday, (ii) a Sunday or (iii) a day on which the Securities Industry and Financial Markets Association recommends that the fixed income departments of its members be closed for the entire day for purposes of trading in United States government securities, (b) Sterling, any day except for (i) a Saturday, (ii) a Sunday or (iii) a day on which banks are closed for general business in London and (c) Singapore Dollars, any day except for (i) a Saturday, (ii) a Sunday or</w:t>
      </w:r>
    </w:p>
    <w:p>
      <w:pPr>
        <w:spacing w:after="0" w:line="2" w:lineRule="exact"/>
        <w:rPr>
          <w:rFonts w:ascii="Arial" w:cs="Arial" w:eastAsia="Arial" w:hAnsi="Arial"/>
          <w:sz w:val="15"/>
          <w:szCs w:val="15"/>
          <w:color w:val="010101"/>
        </w:rPr>
      </w:pPr>
    </w:p>
    <w:p>
      <w:pPr>
        <w:ind w:left="340" w:hanging="319"/>
        <w:spacing w:after="0"/>
        <w:tabs>
          <w:tab w:leader="none" w:pos="340" w:val="left"/>
        </w:tabs>
        <w:numPr>
          <w:ilvl w:val="0"/>
          <w:numId w:val="45"/>
        </w:numPr>
        <w:rPr>
          <w:rFonts w:ascii="Arial" w:cs="Arial" w:eastAsia="Arial" w:hAnsi="Arial"/>
          <w:sz w:val="16"/>
          <w:szCs w:val="16"/>
          <w:color w:val="010101"/>
        </w:rPr>
      </w:pPr>
      <w:r>
        <w:rPr>
          <w:rFonts w:ascii="Arial" w:cs="Arial" w:eastAsia="Arial" w:hAnsi="Arial"/>
          <w:sz w:val="16"/>
          <w:szCs w:val="16"/>
          <w:color w:val="010101"/>
        </w:rPr>
        <w:t>a day on which banks are closed for the settlement of payments and foreign exchange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95" w:name="page96"/>
    <w:bookmarkEnd w:id="95"/>
    <w:p>
      <w:pPr>
        <w:ind w:left="20"/>
        <w:spacing w:after="0"/>
        <w:rPr>
          <w:sz w:val="20"/>
          <w:szCs w:val="20"/>
          <w:color w:val="auto"/>
        </w:rPr>
      </w:pPr>
      <w:r>
        <w:rPr>
          <w:rFonts w:ascii="Arial" w:cs="Arial" w:eastAsia="Arial" w:hAnsi="Arial"/>
          <w:sz w:val="14"/>
          <w:szCs w:val="14"/>
          <w:color w:val="010101"/>
        </w:rPr>
        <w:t xml:space="preserve">transactions in Singapore;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for purposes of notice requirements in </w:t>
      </w:r>
      <w:r>
        <w:rPr>
          <w:rFonts w:ascii="Arial" w:cs="Arial" w:eastAsia="Arial" w:hAnsi="Arial"/>
          <w:sz w:val="14"/>
          <w:szCs w:val="14"/>
          <w:u w:val="single" w:color="auto"/>
          <w:color w:val="010101"/>
        </w:rPr>
        <w:t>Sections 2.02</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2.05</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2.06</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2.09</w:t>
      </w:r>
      <w:r>
        <w:rPr>
          <w:rFonts w:ascii="Arial" w:cs="Arial" w:eastAsia="Arial" w:hAnsi="Arial"/>
          <w:sz w:val="14"/>
          <w:szCs w:val="14"/>
          <w:color w:val="010101"/>
        </w:rPr>
        <w:t xml:space="preserve">, and </w:t>
      </w:r>
      <w:r>
        <w:rPr>
          <w:rFonts w:ascii="Arial" w:cs="Arial" w:eastAsia="Arial" w:hAnsi="Arial"/>
          <w:sz w:val="14"/>
          <w:szCs w:val="14"/>
          <w:u w:val="single" w:color="auto"/>
          <w:color w:val="010101"/>
        </w:rPr>
        <w:t>2.10</w:t>
      </w:r>
      <w:r>
        <w:rPr>
          <w:rFonts w:ascii="Arial" w:cs="Arial" w:eastAsia="Arial" w:hAnsi="Arial"/>
          <w:sz w:val="14"/>
          <w:szCs w:val="14"/>
          <w:color w:val="010101"/>
        </w:rPr>
        <w:t>, in each case, such day is also a Business Day.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RFR Rate Day</w:t>
      </w:r>
      <w:r>
        <w:rPr>
          <w:rFonts w:ascii="Arial" w:cs="Arial" w:eastAsia="Arial" w:hAnsi="Arial"/>
          <w:sz w:val="16"/>
          <w:szCs w:val="16"/>
          <w:color w:val="010101"/>
        </w:rPr>
        <w:t>” means any day pursuant to which any calculation of Daily Simple RFR is made.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S&amp;P</w:t>
      </w:r>
      <w:r>
        <w:rPr>
          <w:rFonts w:ascii="Arial" w:cs="Arial" w:eastAsia="Arial" w:hAnsi="Arial"/>
          <w:sz w:val="16"/>
          <w:szCs w:val="16"/>
          <w:color w:val="010101"/>
        </w:rPr>
        <w:t>” means Standard &amp; Poor’s Ratings Group, a division of The McGraw-Hill Companies, Inc.</w:t>
      </w:r>
    </w:p>
    <w:p>
      <w:pPr>
        <w:spacing w:after="0" w:line="160" w:lineRule="exact"/>
        <w:rPr>
          <w:sz w:val="20"/>
          <w:szCs w:val="20"/>
          <w:color w:val="auto"/>
        </w:rPr>
      </w:pPr>
    </w:p>
    <w:p>
      <w:pPr>
        <w:jc w:val="both"/>
        <w:ind w:left="20" w:right="20" w:firstLine="485"/>
        <w:spacing w:after="0" w:line="248" w:lineRule="auto"/>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Sale/Leaseback Transaction</w:t>
      </w:r>
      <w:r>
        <w:rPr>
          <w:rFonts w:ascii="Arial" w:cs="Arial" w:eastAsia="Arial" w:hAnsi="Arial"/>
          <w:sz w:val="15"/>
          <w:szCs w:val="15"/>
          <w:color w:val="010101"/>
        </w:rPr>
        <w:t>” means an arrangement relating to real or tangible personal property owned by the Company or a Subsidiary on the Effective Date or thereafter acquired by the Company or a Subsidiary whereby the Company or a Subsidiary sells or otherwise transfers such property to a Person and the Company or a Subsidiary thereafter rents or leases it for substantially the same purpose or purposes as the property sold or transferred from such Person.</w:t>
      </w:r>
    </w:p>
    <w:p>
      <w:pPr>
        <w:spacing w:after="0" w:line="142"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Same Day Funds</w:t>
      </w:r>
      <w:r>
        <w:rPr>
          <w:rFonts w:ascii="Arial" w:cs="Arial" w:eastAsia="Arial" w:hAnsi="Arial"/>
          <w:sz w:val="16"/>
          <w:szCs w:val="16"/>
          <w:color w:val="010101"/>
        </w:rPr>
        <w:t>” means (a) with respect to disbursements and payments in US Dollars, immediately available funds, and (b) with respect to disbursements and payments in a Foreign Currency, same day or other funds as may be determined by the Administrative Agent to be customary in the place of disbursement or payment for the settlement of international banking transactions in the relevant Foreign Currency.</w:t>
      </w:r>
    </w:p>
    <w:p>
      <w:pPr>
        <w:spacing w:after="0" w:line="148" w:lineRule="exact"/>
        <w:rPr>
          <w:sz w:val="20"/>
          <w:szCs w:val="20"/>
          <w:color w:val="auto"/>
        </w:rPr>
      </w:pPr>
    </w:p>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Sanctioned Country</w:t>
      </w:r>
      <w:r>
        <w:rPr>
          <w:rFonts w:ascii="Arial" w:cs="Arial" w:eastAsia="Arial" w:hAnsi="Arial"/>
          <w:sz w:val="16"/>
          <w:szCs w:val="16"/>
          <w:color w:val="010101"/>
        </w:rPr>
        <w:t>” means at any time, a country, region or territory which is itself (or whose government is) the subject or target of any comprehensive Sanctions (including, as of the Effective Date, Cuba, Iran, North Korea, Syria, the Crimea region of Ukraine, the so-called Donetsk People’s Republic and the so-called Luhansk People’s Republic).</w:t>
      </w:r>
    </w:p>
    <w:p>
      <w:pPr>
        <w:spacing w:after="0" w:line="138" w:lineRule="exact"/>
        <w:rPr>
          <w:sz w:val="20"/>
          <w:szCs w:val="20"/>
          <w:color w:val="auto"/>
        </w:rPr>
      </w:pPr>
    </w:p>
    <w:p>
      <w:pPr>
        <w:jc w:val="both"/>
        <w:ind w:left="20" w:right="20" w:firstLine="485"/>
        <w:spacing w:after="0" w:line="22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Sanctioned Person</w:t>
      </w:r>
      <w:r>
        <w:rPr>
          <w:rFonts w:ascii="Arial" w:cs="Arial" w:eastAsia="Arial" w:hAnsi="Arial"/>
          <w:sz w:val="16"/>
          <w:szCs w:val="16"/>
          <w:color w:val="010101"/>
        </w:rPr>
        <w:t xml:space="preserve">”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or </w:t>
      </w:r>
      <w:r>
        <w:rPr>
          <w:rFonts w:ascii="Arial" w:cs="Arial" w:eastAsia="Arial" w:hAnsi="Arial"/>
          <w:sz w:val="16"/>
          <w:szCs w:val="16"/>
          <w:color w:val="FF0000"/>
          <w:strike w:val="1"/>
        </w:rPr>
        <w:t>Her</w:t>
      </w:r>
      <w:r>
        <w:rPr>
          <w:rFonts w:ascii="Arial" w:cs="Arial" w:eastAsia="Arial" w:hAnsi="Arial"/>
          <w:sz w:val="16"/>
          <w:szCs w:val="16"/>
          <w:b w:val="1"/>
          <w:bCs w:val="1"/>
          <w:u w:val="single" w:color="auto"/>
          <w:color w:val="0000FF"/>
        </w:rPr>
        <w:t>His</w:t>
      </w:r>
      <w:r>
        <w:rPr>
          <w:rFonts w:ascii="Arial" w:cs="Arial" w:eastAsia="Arial" w:hAnsi="Arial"/>
          <w:sz w:val="16"/>
          <w:szCs w:val="16"/>
          <w:color w:val="010101"/>
        </w:rPr>
        <w:t xml:space="preserve"> Majesty’s Treasury, or other relevant sanctions authority, (b) any Person organized or resident in a Sanctioned Country, (c) any Person owned 50% or more , directly or indirectly, or controlled by, or acting or purporting to act for or on behalf of, directly or indirectly, any such Person or Persons described in clauses (a) and (b) or (d) any Person otherwise a target of Sanctions, including vessels and aircraft, that are designated under any Sanctions program.</w:t>
      </w:r>
    </w:p>
    <w:p>
      <w:pPr>
        <w:spacing w:after="0" w:line="150" w:lineRule="exact"/>
        <w:rPr>
          <w:sz w:val="20"/>
          <w:szCs w:val="20"/>
          <w:color w:val="auto"/>
        </w:rPr>
      </w:pPr>
    </w:p>
    <w:p>
      <w:pPr>
        <w:jc w:val="both"/>
        <w:ind w:left="20" w:firstLine="485"/>
        <w:spacing w:after="0" w:line="222"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Sanctions</w:t>
      </w:r>
      <w:r>
        <w:rPr>
          <w:rFonts w:ascii="Arial" w:cs="Arial" w:eastAsia="Arial" w:hAnsi="Arial"/>
          <w:sz w:val="16"/>
          <w:szCs w:val="16"/>
          <w:color w:val="010101"/>
        </w:rPr>
        <w:t xml:space="preserve">” means any and all economic or financial sanctions, sectoral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w:t>
      </w:r>
      <w:r>
        <w:rPr>
          <w:rFonts w:ascii="Arial" w:cs="Arial" w:eastAsia="Arial" w:hAnsi="Arial"/>
          <w:sz w:val="16"/>
          <w:szCs w:val="16"/>
          <w:color w:val="FF0000"/>
          <w:strike w:val="1"/>
        </w:rPr>
        <w:t>Her</w:t>
      </w:r>
      <w:r>
        <w:rPr>
          <w:rFonts w:ascii="Arial" w:cs="Arial" w:eastAsia="Arial" w:hAnsi="Arial"/>
          <w:sz w:val="16"/>
          <w:szCs w:val="16"/>
          <w:b w:val="1"/>
          <w:bCs w:val="1"/>
          <w:u w:val="single" w:color="auto"/>
          <w:color w:val="0000FF"/>
        </w:rPr>
        <w:t>His</w:t>
      </w:r>
      <w:r>
        <w:rPr>
          <w:rFonts w:ascii="Arial" w:cs="Arial" w:eastAsia="Arial" w:hAnsi="Arial"/>
          <w:sz w:val="16"/>
          <w:szCs w:val="16"/>
          <w:color w:val="010101"/>
        </w:rPr>
        <w:t xml:space="preserve"> Majesty’s Treasury, or other relevant sanctions authority in any jurisdiction in which (a) the Company or any of its Subsidiaries is located or conducts business, (b) in which any of the proceeds of the Extensions of Credit will be used, or (c) from which repayment of the Extensions of Credit will be derived.</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Significant Subsidiary</w:t>
      </w:r>
      <w:r>
        <w:rPr>
          <w:rFonts w:ascii="Arial" w:cs="Arial" w:eastAsia="Arial" w:hAnsi="Arial"/>
          <w:sz w:val="16"/>
          <w:szCs w:val="16"/>
          <w:color w:val="010101"/>
        </w:rPr>
        <w:t>” means any Subsidiary that would be a “significant subsidiary” within the meaning of Rule 1-02 of the SEC’s Regulation S-X.</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96" w:name="page97"/>
    <w:bookmarkEnd w:id="96"/>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Singapore Dollar</w:t>
      </w:r>
      <w:r>
        <w:rPr>
          <w:rFonts w:ascii="Arial" w:cs="Arial" w:eastAsia="Arial" w:hAnsi="Arial"/>
          <w:sz w:val="16"/>
          <w:szCs w:val="16"/>
          <w:color w:val="010101"/>
        </w:rPr>
        <w:t>” or “</w:t>
      </w:r>
      <w:r>
        <w:rPr>
          <w:rFonts w:ascii="Arial" w:cs="Arial" w:eastAsia="Arial" w:hAnsi="Arial"/>
          <w:sz w:val="16"/>
          <w:szCs w:val="16"/>
          <w:u w:val="single" w:color="auto"/>
          <w:color w:val="010101"/>
        </w:rPr>
        <w:t>SGD</w:t>
      </w:r>
      <w:r>
        <w:rPr>
          <w:rFonts w:ascii="Arial" w:cs="Arial" w:eastAsia="Arial" w:hAnsi="Arial"/>
          <w:sz w:val="16"/>
          <w:szCs w:val="16"/>
          <w:color w:val="010101"/>
        </w:rPr>
        <w:t>” means the lawful currency of Singapore.</w:t>
      </w:r>
    </w:p>
    <w:p>
      <w:pPr>
        <w:spacing w:after="0" w:line="170" w:lineRule="exact"/>
        <w:rPr>
          <w:sz w:val="20"/>
          <w:szCs w:val="20"/>
          <w:color w:val="auto"/>
        </w:rPr>
      </w:pPr>
    </w:p>
    <w:p>
      <w:pPr>
        <w:jc w:val="both"/>
        <w:ind w:lef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Single Employer Plan</w:t>
      </w:r>
      <w:r>
        <w:rPr>
          <w:rFonts w:ascii="Arial" w:cs="Arial" w:eastAsia="Arial" w:hAnsi="Arial"/>
          <w:sz w:val="16"/>
          <w:szCs w:val="16"/>
          <w:color w:val="010101"/>
        </w:rPr>
        <w:t>” means a single employer plan, as defined in Section 4001(a)(15) of ERISA, that (a) is maintained for employees of any Borrower or any ERISA Affiliate and no Person other than the Borrowers and the ERISA Affiliates or (b) was so maintained and in respect of which any Borrower or any ERISA Affiliate could have liability under Section 4069 of ERISA in the event such plan has been or were to be terminated.</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SOFR</w:t>
      </w:r>
      <w:r>
        <w:rPr>
          <w:rFonts w:ascii="Arial" w:cs="Arial" w:eastAsia="Arial" w:hAnsi="Arial"/>
          <w:sz w:val="16"/>
          <w:szCs w:val="16"/>
          <w:color w:val="010101"/>
        </w:rPr>
        <w:t>” means a rate equal to the secured overnight financing rate as administered by the SOFR Administrator.</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SOFR Administrator</w:t>
      </w:r>
      <w:r>
        <w:rPr>
          <w:rFonts w:ascii="Arial" w:cs="Arial" w:eastAsia="Arial" w:hAnsi="Arial"/>
          <w:sz w:val="16"/>
          <w:szCs w:val="16"/>
          <w:color w:val="010101"/>
        </w:rPr>
        <w:t>” means the Federal Reserve Bank of New York (or a successor administrator of the secured overnight financing rate).</w:t>
      </w:r>
    </w:p>
    <w:p>
      <w:pPr>
        <w:spacing w:after="0" w:line="170"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SOFR Administrator’s Website</w:t>
      </w:r>
      <w:r>
        <w:rPr>
          <w:rFonts w:ascii="Arial" w:cs="Arial" w:eastAsia="Arial" w:hAnsi="Arial"/>
          <w:sz w:val="16"/>
          <w:szCs w:val="16"/>
          <w:color w:val="010101"/>
        </w:rPr>
        <w:t xml:space="preserve"> ” means the website of the Federal Reserve Bank of New York, currently at http://www.newyorkfed.org, or any successor source for the secured overnight financing rate identified as such by the SOFR Administrator from time to time.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SONIA</w:t>
      </w:r>
      <w:r>
        <w:rPr>
          <w:rFonts w:ascii="Arial" w:cs="Arial" w:eastAsia="Arial" w:hAnsi="Arial"/>
          <w:sz w:val="16"/>
          <w:szCs w:val="16"/>
          <w:color w:val="010101"/>
        </w:rPr>
        <w:t>” means a rate equal to the Sterling Overnight Index Average as administered by the SONIA Administrator.</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SONIA Administrator</w:t>
      </w:r>
      <w:r>
        <w:rPr>
          <w:rFonts w:ascii="Arial" w:cs="Arial" w:eastAsia="Arial" w:hAnsi="Arial"/>
          <w:sz w:val="16"/>
          <w:szCs w:val="16"/>
          <w:color w:val="010101"/>
        </w:rPr>
        <w:t>” means the Bank of England (or any successor administrator of the Sterling Overnight Index Average).</w:t>
      </w:r>
    </w:p>
    <w:p>
      <w:pPr>
        <w:spacing w:after="0" w:line="170"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SONIA Administrator’s Website</w:t>
      </w:r>
      <w:r>
        <w:rPr>
          <w:rFonts w:ascii="Arial" w:cs="Arial" w:eastAsia="Arial" w:hAnsi="Arial"/>
          <w:sz w:val="16"/>
          <w:szCs w:val="16"/>
          <w:color w:val="010101"/>
        </w:rPr>
        <w:t>” means the Bank of England’s website, currently at http://www.bankofengland.co.uk, or any successor source for the Sterling Overnight Index Average identified as such by the SONIA Administrator from time to time.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SORA</w:t>
      </w:r>
      <w:r>
        <w:rPr>
          <w:rFonts w:ascii="Arial" w:cs="Arial" w:eastAsia="Arial" w:hAnsi="Arial"/>
          <w:sz w:val="16"/>
          <w:szCs w:val="16"/>
          <w:color w:val="auto"/>
        </w:rPr>
        <w:t xml:space="preserve">” means a rate equal to the Singapore Overnight Rate Average </w:t>
      </w:r>
      <w:r>
        <w:rPr>
          <w:rFonts w:ascii="Arial" w:cs="Arial" w:eastAsia="Arial" w:hAnsi="Arial"/>
          <w:sz w:val="16"/>
          <w:szCs w:val="16"/>
          <w:color w:val="010101"/>
        </w:rPr>
        <w:t>as administered by the SORA Administrator.</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SORA Administrator</w:t>
      </w:r>
      <w:r>
        <w:rPr>
          <w:rFonts w:ascii="Arial" w:cs="Arial" w:eastAsia="Arial" w:hAnsi="Arial"/>
          <w:sz w:val="16"/>
          <w:szCs w:val="16"/>
          <w:color w:val="auto"/>
        </w:rPr>
        <w:t>” means the Monetary Authority of Singapore (or any successor administrator of the Singapore Overnight Rate Average).</w:t>
      </w:r>
    </w:p>
    <w:p>
      <w:pPr>
        <w:spacing w:after="0" w:line="170"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SORA Administrator’s Website</w:t>
      </w:r>
      <w:r>
        <w:rPr>
          <w:rFonts w:ascii="Arial" w:cs="Arial" w:eastAsia="Arial" w:hAnsi="Arial"/>
          <w:sz w:val="16"/>
          <w:szCs w:val="16"/>
          <w:color w:val="auto"/>
        </w:rPr>
        <w:t xml:space="preserve">” means the Monetary Authority of Singapore’s website, currently at </w:t>
      </w:r>
      <w:r>
        <w:rPr>
          <w:rFonts w:ascii="Arial" w:cs="Arial" w:eastAsia="Arial" w:hAnsi="Arial"/>
          <w:sz w:val="16"/>
          <w:szCs w:val="16"/>
          <w:color w:val="010101"/>
        </w:rPr>
        <w:t>https://eservices.mas.gov.sg</w:t>
      </w:r>
      <w:r>
        <w:rPr>
          <w:rFonts w:ascii="Arial" w:cs="Arial" w:eastAsia="Arial" w:hAnsi="Arial"/>
          <w:sz w:val="16"/>
          <w:szCs w:val="16"/>
          <w:color w:val="auto"/>
        </w:rPr>
        <w:t>, or any successor source for the Singapore Overnight Rate Average identified as such by the SORA Administrator from time to time.</w:t>
      </w:r>
    </w:p>
    <w:p>
      <w:pPr>
        <w:spacing w:after="0" w:line="149" w:lineRule="exact"/>
        <w:rPr>
          <w:sz w:val="20"/>
          <w:szCs w:val="20"/>
          <w:color w:val="auto"/>
        </w:rPr>
      </w:pPr>
    </w:p>
    <w:p>
      <w:pPr>
        <w:jc w:val="both"/>
        <w:ind w:left="20" w:right="20" w:firstLine="485"/>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Notice Currency</w:t>
      </w:r>
      <w:r>
        <w:rPr>
          <w:rFonts w:ascii="Arial" w:cs="Arial" w:eastAsia="Arial" w:hAnsi="Arial"/>
          <w:sz w:val="16"/>
          <w:szCs w:val="16"/>
          <w:color w:val="auto"/>
        </w:rPr>
        <w:t>” means, at any time, a Foreign Currency other than the currency of a country that is a member of the Organization for Economic Cooperation and Development at such time located in North America.</w:t>
      </w:r>
    </w:p>
    <w:p>
      <w:pPr>
        <w:spacing w:after="0" w:line="135" w:lineRule="exact"/>
        <w:rPr>
          <w:sz w:val="20"/>
          <w:szCs w:val="20"/>
          <w:color w:val="auto"/>
        </w:rPr>
      </w:pPr>
    </w:p>
    <w:p>
      <w:pPr>
        <w:jc w:val="both"/>
        <w:ind w:left="20" w:right="20" w:firstLine="485"/>
        <w:spacing w:after="0" w:line="226"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Spot Rate</w:t>
      </w:r>
      <w:r>
        <w:rPr>
          <w:rFonts w:ascii="Arial" w:cs="Arial" w:eastAsia="Arial" w:hAnsi="Arial"/>
          <w:sz w:val="16"/>
          <w:szCs w:val="16"/>
          <w:color w:val="010101"/>
        </w:rPr>
        <w:t xml:space="preserve">” means, </w:t>
      </w:r>
      <w:r>
        <w:rPr>
          <w:rFonts w:ascii="Arial" w:cs="Arial" w:eastAsia="Arial" w:hAnsi="Arial"/>
          <w:sz w:val="16"/>
          <w:szCs w:val="16"/>
          <w:b w:val="1"/>
          <w:bCs w:val="1"/>
          <w:u w:val="single" w:color="auto"/>
          <w:color w:val="0000FF"/>
        </w:rPr>
        <w:t>subjec</w:t>
      </w:r>
      <w:r>
        <w:rPr>
          <w:rFonts w:ascii="Arial" w:cs="Arial" w:eastAsia="Arial" w:hAnsi="Arial"/>
          <w:sz w:val="16"/>
          <w:szCs w:val="16"/>
          <w:b w:val="1"/>
          <w:bCs w:val="1"/>
          <w:color w:val="0000FF"/>
        </w:rPr>
        <w:t>t to S</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ectio</w:t>
      </w:r>
      <w:r>
        <w:rPr>
          <w:rFonts w:ascii="Arial" w:cs="Arial" w:eastAsia="Arial" w:hAnsi="Arial"/>
          <w:sz w:val="16"/>
          <w:szCs w:val="16"/>
          <w:b w:val="1"/>
          <w:bCs w:val="1"/>
          <w:color w:val="0000FF"/>
        </w:rPr>
        <w:t>n 1.05,</w:t>
      </w:r>
      <w:r>
        <w:rPr>
          <w:rFonts w:ascii="Arial" w:cs="Arial" w:eastAsia="Arial" w:hAnsi="Arial"/>
          <w:sz w:val="16"/>
          <w:szCs w:val="16"/>
          <w:color w:val="010101"/>
        </w:rPr>
        <w:t xml:space="preserve"> for a Currency, the rate provided (either by publication or otherwise provided or made available to the Administrative Agent </w:t>
      </w:r>
      <w:r>
        <w:rPr>
          <w:rFonts w:ascii="Arial" w:cs="Arial" w:eastAsia="Arial" w:hAnsi="Arial"/>
          <w:sz w:val="16"/>
          <w:szCs w:val="16"/>
          <w:color w:val="FF0000"/>
        </w:rPr>
        <w:t>or Issuing</w:t>
      </w:r>
      <w:r>
        <w:rPr>
          <w:rFonts w:ascii="Arial" w:cs="Arial" w:eastAsia="Arial" w:hAnsi="Arial"/>
          <w:sz w:val="16"/>
          <w:szCs w:val="16"/>
          <w:color w:val="010101"/>
        </w:rPr>
        <w:t xml:space="preserve"> </w:t>
      </w:r>
      <w:r>
        <w:rPr>
          <w:rFonts w:ascii="Arial" w:cs="Arial" w:eastAsia="Arial" w:hAnsi="Arial"/>
          <w:sz w:val="16"/>
          <w:szCs w:val="16"/>
          <w:color w:val="FF0000"/>
          <w:strike w:val="1"/>
        </w:rPr>
        <w:t>Lender, as applicable</w:t>
      </w:r>
      <w:r>
        <w:rPr>
          <w:rFonts w:ascii="Arial" w:cs="Arial" w:eastAsia="Arial" w:hAnsi="Arial"/>
          <w:sz w:val="16"/>
          <w:szCs w:val="16"/>
          <w:color w:val="010101"/>
        </w:rPr>
        <w:t>) by Thomson Reuters Corp. (or equivalent service chosen by the Administrative Agent in its reasonable discretion) as the spot rate for the purchase of such Currency with another currency at a time selected by the Administrative Agent</w:t>
      </w:r>
      <w:r>
        <w:rPr>
          <w:rFonts w:ascii="Arial" w:cs="Arial" w:eastAsia="Arial" w:hAnsi="Arial"/>
          <w:sz w:val="16"/>
          <w:szCs w:val="16"/>
          <w:color w:val="FF0000"/>
          <w:strike w:val="1"/>
        </w:rPr>
        <w:t>, or an Issuing Lender, as applicable, on the date of</w:t>
      </w:r>
      <w:r>
        <w:rPr>
          <w:rFonts w:ascii="Arial" w:cs="Arial" w:eastAsia="Arial" w:hAnsi="Arial"/>
          <w:sz w:val="16"/>
          <w:szCs w:val="16"/>
          <w:color w:val="010101"/>
        </w:rPr>
        <w:t xml:space="preserve"> </w:t>
      </w:r>
      <w:r>
        <w:rPr>
          <w:rFonts w:ascii="Arial" w:cs="Arial" w:eastAsia="Arial" w:hAnsi="Arial"/>
          <w:sz w:val="16"/>
          <w:szCs w:val="16"/>
          <w:color w:val="FF0000"/>
          <w:strike w:val="1"/>
        </w:rPr>
        <w:t>determination</w:t>
      </w:r>
      <w:r>
        <w:rPr>
          <w:rFonts w:ascii="Arial" w:cs="Arial" w:eastAsia="Arial" w:hAnsi="Arial"/>
          <w:sz w:val="16"/>
          <w:szCs w:val="16"/>
          <w:color w:val="FF0000"/>
        </w:rPr>
        <w:t xml:space="preserve"> </w:t>
      </w:r>
      <w:r>
        <w:rPr>
          <w:rFonts w:ascii="Arial" w:cs="Arial" w:eastAsia="Arial" w:hAnsi="Arial"/>
          <w:sz w:val="16"/>
          <w:szCs w:val="16"/>
          <w:b w:val="1"/>
          <w:bCs w:val="1"/>
          <w:color w:val="0000FF"/>
        </w:rPr>
        <w:t>in accordance w</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it</w:t>
      </w:r>
      <w:r>
        <w:rPr>
          <w:rFonts w:ascii="Arial" w:cs="Arial" w:eastAsia="Arial" w:hAnsi="Arial"/>
          <w:sz w:val="16"/>
          <w:szCs w:val="16"/>
          <w:b w:val="1"/>
          <w:bCs w:val="1"/>
          <w:color w:val="0000FF"/>
        </w:rPr>
        <w:t>h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-266065</wp:posOffset>
            </wp:positionV>
            <wp:extent cx="43561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435610" cy="6350"/>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-22225</wp:posOffset>
            </wp:positionV>
            <wp:extent cx="58737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97" w:name="page98"/>
    <w:bookmarkEnd w:id="97"/>
    <w:p>
      <w:pPr>
        <w:ind w:left="20"/>
        <w:spacing w:after="0"/>
        <w:rPr>
          <w:sz w:val="20"/>
          <w:szCs w:val="20"/>
          <w:color w:val="auto"/>
        </w:rPr>
      </w:pPr>
      <w:r>
        <w:rPr>
          <w:rFonts w:ascii="Arial" w:cs="Arial" w:eastAsia="Arial" w:hAnsi="Arial"/>
          <w:sz w:val="16"/>
          <w:szCs w:val="16"/>
          <w:b w:val="1"/>
          <w:bCs w:val="1"/>
          <w:u w:val="single" w:color="auto"/>
          <w:color w:val="0000FF"/>
        </w:rPr>
        <w:t>generally used by the Administrative Agent for syndicated credit facilities in which it acts a</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administrativ</w:t>
      </w:r>
      <w:r>
        <w:rPr>
          <w:rFonts w:ascii="Arial" w:cs="Arial" w:eastAsia="Arial" w:hAnsi="Arial"/>
          <w:sz w:val="16"/>
          <w:szCs w:val="16"/>
          <w:b w:val="1"/>
          <w:bCs w:val="1"/>
          <w:color w:val="0000FF"/>
        </w:rPr>
        <w:t>e agent</w:t>
      </w:r>
      <w:r>
        <w:rPr>
          <w:rFonts w:ascii="Arial" w:cs="Arial" w:eastAsia="Arial" w:hAnsi="Arial"/>
          <w:sz w:val="16"/>
          <w:szCs w:val="16"/>
          <w:color w:val="010101"/>
        </w:rPr>
        <w:t>.</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Subsidiary</w:t>
      </w:r>
      <w:r>
        <w:rPr>
          <w:rFonts w:ascii="Arial" w:cs="Arial" w:eastAsia="Arial" w:hAnsi="Arial"/>
          <w:sz w:val="15"/>
          <w:szCs w:val="15"/>
          <w:color w:val="010101"/>
        </w:rPr>
        <w:t>” of any Person means any corporation, partnership, joint venture, limited liability company, trust or estate of which (or in which) more than 50% of</w:t>
      </w:r>
    </w:p>
    <w:p>
      <w:pPr>
        <w:spacing w:after="0" w:line="3" w:lineRule="exact"/>
        <w:rPr>
          <w:sz w:val="20"/>
          <w:szCs w:val="20"/>
          <w:color w:val="auto"/>
        </w:rPr>
      </w:pPr>
    </w:p>
    <w:p>
      <w:pPr>
        <w:jc w:val="both"/>
        <w:ind w:left="20" w:firstLine="2"/>
        <w:spacing w:after="0" w:line="235" w:lineRule="auto"/>
        <w:tabs>
          <w:tab w:leader="none" w:pos="246" w:val="left"/>
        </w:tabs>
        <w:numPr>
          <w:ilvl w:val="0"/>
          <w:numId w:val="46"/>
        </w:numPr>
        <w:rPr>
          <w:rFonts w:ascii="Arial" w:cs="Arial" w:eastAsia="Arial" w:hAnsi="Arial"/>
          <w:sz w:val="15"/>
          <w:szCs w:val="15"/>
          <w:color w:val="010101"/>
        </w:rPr>
      </w:pPr>
      <w:r>
        <w:rPr>
          <w:rFonts w:ascii="Arial" w:cs="Arial" w:eastAsia="Arial" w:hAnsi="Arial"/>
          <w:sz w:val="15"/>
          <w:szCs w:val="15"/>
          <w:color w:val="010101"/>
        </w:rPr>
        <w:t>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Sterling</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means the lawful currency of the United Kingdom.</w:t>
      </w:r>
    </w:p>
    <w:p>
      <w:pPr>
        <w:spacing w:after="0" w:line="170"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Swap Obligation</w:t>
      </w:r>
      <w:r>
        <w:rPr>
          <w:rFonts w:ascii="Arial" w:cs="Arial" w:eastAsia="Arial" w:hAnsi="Arial"/>
          <w:sz w:val="16"/>
          <w:szCs w:val="16"/>
          <w:color w:val="010101"/>
        </w:rPr>
        <w:t>” means, with respect to any Credit Party, any obligation to pay or perform under any agreement, contract or transaction that constitutes a “swap” within the meaning of Section 1a(47) of the Commodity Exchange Act.</w:t>
      </w:r>
    </w:p>
    <w:p>
      <w:pPr>
        <w:spacing w:after="0" w:line="149"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TARGET2</w:t>
      </w:r>
      <w:r>
        <w:rPr>
          <w:rFonts w:ascii="Arial" w:cs="Arial" w:eastAsia="Arial" w:hAnsi="Arial"/>
          <w:sz w:val="16"/>
          <w:szCs w:val="16"/>
          <w:color w:val="010101"/>
        </w:rPr>
        <w:t>” means the Trans-European Automated Real-time Gross Settlement Express Transfer payment system which utilizes a single shared platform and which was launched on November 19, 2007.</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TARGET Day</w:t>
      </w:r>
      <w:r>
        <w:rPr>
          <w:rFonts w:ascii="Arial" w:cs="Arial" w:eastAsia="Arial" w:hAnsi="Arial"/>
          <w:sz w:val="16"/>
          <w:szCs w:val="16"/>
          <w:color w:val="010101"/>
        </w:rPr>
        <w:t>” means any day on which TARGET2 is open for the settlement of payments in Euros.</w:t>
      </w:r>
    </w:p>
    <w:p>
      <w:pPr>
        <w:spacing w:after="0" w:line="170"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Taxes</w:t>
      </w:r>
      <w:r>
        <w:rPr>
          <w:rFonts w:ascii="Arial" w:cs="Arial" w:eastAsia="Arial" w:hAnsi="Arial"/>
          <w:sz w:val="16"/>
          <w:szCs w:val="16"/>
          <w:color w:val="010101"/>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5" w:lineRule="exact"/>
        <w:rPr>
          <w:sz w:val="20"/>
          <w:szCs w:val="20"/>
          <w:color w:val="auto"/>
        </w:rPr>
      </w:pPr>
    </w:p>
    <w:p>
      <w:pPr>
        <w:jc w:val="both"/>
        <w:ind w:left="20" w:firstLine="485"/>
        <w:spacing w:after="0" w:line="265" w:lineRule="auto"/>
        <w:rPr>
          <w:sz w:val="20"/>
          <w:szCs w:val="20"/>
          <w:color w:val="auto"/>
        </w:rPr>
      </w:pPr>
      <w:r>
        <w:rPr>
          <w:rFonts w:ascii="Arial" w:cs="Arial" w:eastAsia="Arial" w:hAnsi="Arial"/>
          <w:sz w:val="14"/>
          <w:szCs w:val="14"/>
          <w:b w:val="1"/>
          <w:bCs w:val="1"/>
          <w:u w:val="single" w:color="auto"/>
          <w:color w:val="0000FF"/>
        </w:rPr>
        <w:t>“Term Loan Commitment” means (a) as to any Term Loan Lender, (i) the obligation of such Term Loan Lender to make a portion of the Term Loans, to the account of the Company hereunder on the First Amendment Effective Date as described in the First Amendment and Section 2.01(b) hereof, in an aggregate principal amount not to exceed the amount set forth opposite such Lender’s name on Schedule I(a), and (ii) such Term Loan Lender’s Incremental Term Loan Commitment, if any, and (b) as to all Term Loan Lenders, the aggregate commitment of all Term Loan Lenders to make such Term</w:t>
      </w:r>
      <w:r>
        <w:rPr>
          <w:rFonts w:ascii="Arial" w:cs="Arial" w:eastAsia="Arial" w:hAnsi="Arial"/>
          <w:sz w:val="14"/>
          <w:szCs w:val="14"/>
          <w:b w:val="1"/>
          <w:bCs w:val="1"/>
          <w:color w:val="0000FF"/>
        </w:rPr>
        <w:t xml:space="preserve"> Loans.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0000FF"/>
        </w:rPr>
        <w:t xml:space="preserve">“Term Loan Lender” means any Lender with a Term Loan Commitment and/or </w:t>
      </w:r>
      <w:r>
        <w:rPr>
          <w:rFonts w:ascii="Arial" w:cs="Arial" w:eastAsia="Arial" w:hAnsi="Arial"/>
          <w:sz w:val="16"/>
          <w:szCs w:val="16"/>
          <w:b w:val="1"/>
          <w:bCs w:val="1"/>
          <w:u w:val="single" w:color="auto"/>
          <w:color w:val="0000FF"/>
        </w:rPr>
        <w:t>outstandin</w:t>
      </w:r>
      <w:r>
        <w:rPr>
          <w:rFonts w:ascii="Arial" w:cs="Arial" w:eastAsia="Arial" w:hAnsi="Arial"/>
          <w:sz w:val="16"/>
          <w:szCs w:val="16"/>
          <w:b w:val="1"/>
          <w:bCs w:val="1"/>
          <w:color w:val="0000FF"/>
        </w:rPr>
        <w:t xml:space="preserve">g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m Loans.</w:t>
      </w:r>
    </w:p>
    <w:p>
      <w:pPr>
        <w:spacing w:after="0" w:line="160" w:lineRule="exact"/>
        <w:rPr>
          <w:sz w:val="20"/>
          <w:szCs w:val="20"/>
          <w:color w:val="auto"/>
        </w:rPr>
      </w:pPr>
    </w:p>
    <w:p>
      <w:pPr>
        <w:jc w:val="both"/>
        <w:ind w:left="20" w:firstLine="485"/>
        <w:spacing w:after="0" w:line="225" w:lineRule="auto"/>
        <w:rPr>
          <w:sz w:val="20"/>
          <w:szCs w:val="20"/>
          <w:color w:val="auto"/>
        </w:rPr>
      </w:pPr>
      <w:r>
        <w:rPr>
          <w:rFonts w:ascii="Arial" w:cs="Arial" w:eastAsia="Arial" w:hAnsi="Arial"/>
          <w:sz w:val="16"/>
          <w:szCs w:val="16"/>
          <w:b w:val="1"/>
          <w:bCs w:val="1"/>
          <w:u w:val="single" w:color="auto"/>
          <w:color w:val="0000FF"/>
        </w:rPr>
        <w:t>“Term Loan Maturity Date” means the first to occur of (a) May 30, 2027, subject to extension thereof pursuant to Section 2.17, and (b) the date of acceleration of the Term Loans pursuant to Section 6.01</w:t>
      </w:r>
      <w:r>
        <w:rPr>
          <w:rFonts w:ascii="Arial" w:cs="Arial" w:eastAsia="Arial" w:hAnsi="Arial"/>
          <w:sz w:val="14"/>
          <w:szCs w:val="14"/>
          <w:b w:val="1"/>
          <w:bCs w:val="1"/>
          <w:color w:val="0000FF"/>
        </w:rPr>
        <w:t>; provided, however, that the Term Loan Maturity Date of any</w:t>
      </w:r>
      <w:r>
        <w:rPr>
          <w:rFonts w:ascii="Arial" w:cs="Arial" w:eastAsia="Arial" w:hAnsi="Arial"/>
          <w:sz w:val="16"/>
          <w:szCs w:val="16"/>
          <w:b w:val="1"/>
          <w:bCs w:val="1"/>
          <w:color w:val="0000FF"/>
        </w:rPr>
        <w:t xml:space="preserve"> </w:t>
      </w:r>
      <w:r>
        <w:rPr>
          <w:rFonts w:ascii="Arial" w:cs="Arial" w:eastAsia="Arial" w:hAnsi="Arial"/>
          <w:sz w:val="14"/>
          <w:szCs w:val="14"/>
          <w:b w:val="1"/>
          <w:bCs w:val="1"/>
          <w:u w:val="single" w:color="auto"/>
          <w:color w:val="0000FF"/>
        </w:rPr>
        <w:t>Term Loan Lender that is a Non-Consenting</w:t>
      </w:r>
      <w:r>
        <w:rPr>
          <w:rFonts w:ascii="Arial" w:cs="Arial" w:eastAsia="Arial" w:hAnsi="Arial"/>
          <w:sz w:val="16"/>
          <w:szCs w:val="16"/>
          <w:b w:val="1"/>
          <w:bCs w:val="1"/>
          <w:color w:val="0000FF"/>
        </w:rPr>
        <w:t xml:space="preserve"> </w:t>
      </w:r>
      <w:r>
        <w:rPr>
          <w:rFonts w:ascii="Arial" w:cs="Arial" w:eastAsia="Arial" w:hAnsi="Arial"/>
          <w:sz w:val="14"/>
          <w:szCs w:val="14"/>
          <w:b w:val="1"/>
          <w:bCs w:val="1"/>
          <w:u w:val="single" w:color="auto"/>
          <w:color w:val="0000FF"/>
        </w:rPr>
        <w:t>Lender to any requested extension pursuant to Section 2.17 shall be the Term Loan Maturity Date in effect immediately prior to the applicable Extension Date for all purposes of this Agreement.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1" w:right="519" w:bottom="1440" w:gutter="0" w:footer="0" w:header="0"/>
        </w:sectPr>
      </w:pPr>
    </w:p>
    <w:bookmarkStart w:id="98" w:name="page99"/>
    <w:bookmarkEnd w:id="98"/>
    <w:p>
      <w:pPr>
        <w:jc w:val="both"/>
        <w:ind w:left="20" w:firstLine="485"/>
        <w:spacing w:after="0" w:line="231" w:lineRule="auto"/>
        <w:rPr>
          <w:sz w:val="20"/>
          <w:szCs w:val="20"/>
          <w:color w:val="auto"/>
        </w:rPr>
      </w:pPr>
      <w:r>
        <w:rPr>
          <w:rFonts w:ascii="Arial" w:cs="Arial" w:eastAsia="Arial" w:hAnsi="Arial"/>
          <w:sz w:val="16"/>
          <w:szCs w:val="16"/>
          <w:b w:val="1"/>
          <w:bCs w:val="1"/>
          <w:u w:val="single" w:color="auto"/>
          <w:color w:val="0000FF"/>
        </w:rPr>
        <w:t>“Term Loan Note” means a promissory note made by the Borrower in favor of a Term Loan Lender evidencing the portion of the Term Loans made by such Term Loan Lender, substantially in the form attached as</w:t>
      </w:r>
      <w:r>
        <w:rPr>
          <w:rFonts w:ascii="Arial" w:cs="Arial" w:eastAsia="Arial" w:hAnsi="Arial"/>
          <w:sz w:val="16"/>
          <w:szCs w:val="16"/>
          <w:b w:val="1"/>
          <w:bCs w:val="1"/>
          <w:color w:val="0000FF"/>
        </w:rPr>
        <w:t xml:space="preserve"> </w:t>
      </w:r>
      <w:r>
        <w:rPr>
          <w:rFonts w:ascii="Arial" w:cs="Arial" w:eastAsia="Arial" w:hAnsi="Arial"/>
          <w:sz w:val="16"/>
          <w:szCs w:val="16"/>
          <w:b w:val="1"/>
          <w:bCs w:val="1"/>
          <w:i w:val="1"/>
          <w:iCs w:val="1"/>
          <w:color w:val="0000FF"/>
        </w:rPr>
        <w:t>Exhibit A-2</w:t>
      </w:r>
      <w:r>
        <w:rPr>
          <w:rFonts w:ascii="Arial" w:cs="Arial" w:eastAsia="Arial" w:hAnsi="Arial"/>
          <w:sz w:val="16"/>
          <w:szCs w:val="16"/>
          <w:b w:val="1"/>
          <w:bCs w:val="1"/>
          <w:u w:val="single" w:color="auto"/>
          <w:color w:val="0000FF"/>
        </w:rPr>
        <w:t>, and any substitutes therefor, and an</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replacements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restatements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renewal</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extensio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thereof</w:t>
      </w:r>
      <w:r>
        <w:rPr>
          <w:rFonts w:ascii="Arial" w:cs="Arial" w:eastAsia="Arial" w:hAnsi="Arial"/>
          <w:sz w:val="16"/>
          <w:szCs w:val="16"/>
          <w:b w:val="1"/>
          <w:bCs w:val="1"/>
          <w:color w:val="0000FF"/>
        </w:rPr>
        <w:t xml:space="preserve"> ,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whol</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n part.</w:t>
      </w:r>
    </w:p>
    <w:p>
      <w:pPr>
        <w:spacing w:after="0" w:line="146" w:lineRule="exact"/>
        <w:rPr>
          <w:sz w:val="20"/>
          <w:szCs w:val="20"/>
          <w:color w:val="auto"/>
        </w:rPr>
      </w:pPr>
    </w:p>
    <w:p>
      <w:pPr>
        <w:ind w:left="20" w:right="20" w:firstLine="485"/>
        <w:spacing w:after="0" w:line="244" w:lineRule="auto"/>
        <w:rPr>
          <w:sz w:val="20"/>
          <w:szCs w:val="20"/>
          <w:color w:val="auto"/>
        </w:rPr>
      </w:pPr>
      <w:r>
        <w:rPr>
          <w:rFonts w:ascii="Arial" w:cs="Arial" w:eastAsia="Arial" w:hAnsi="Arial"/>
          <w:sz w:val="16"/>
          <w:szCs w:val="16"/>
          <w:b w:val="1"/>
          <w:bCs w:val="1"/>
          <w:u w:val="single" w:color="auto"/>
          <w:color w:val="0000FF"/>
        </w:rPr>
        <w:t>“Term Loan Percentage” means, with respect to any Term Loan Lender at any time, the percentage of the total outstanding principal balance of the Term Loans represented by the outstanding principal balance of such Term Loan Lender’s Term</w:t>
      </w:r>
      <w:r>
        <w:rPr>
          <w:rFonts w:ascii="Arial" w:cs="Arial" w:eastAsia="Arial" w:hAnsi="Arial"/>
          <w:sz w:val="16"/>
          <w:szCs w:val="16"/>
          <w:b w:val="1"/>
          <w:bCs w:val="1"/>
          <w:color w:val="0000FF"/>
        </w:rPr>
        <w:t xml:space="preserve"> Loans.</w:t>
      </w:r>
    </w:p>
    <w:p>
      <w:pPr>
        <w:spacing w:after="0" w:line="192" w:lineRule="exact"/>
        <w:rPr>
          <w:sz w:val="20"/>
          <w:szCs w:val="20"/>
          <w:color w:val="auto"/>
        </w:rPr>
      </w:pPr>
    </w:p>
    <w:p>
      <w:pPr>
        <w:ind w:left="20" w:right="20" w:firstLine="485"/>
        <w:spacing w:after="0" w:line="244" w:lineRule="auto"/>
        <w:rPr>
          <w:sz w:val="20"/>
          <w:szCs w:val="20"/>
          <w:color w:val="auto"/>
        </w:rPr>
      </w:pPr>
      <w:r>
        <w:rPr>
          <w:rFonts w:ascii="Arial" w:cs="Arial" w:eastAsia="Arial" w:hAnsi="Arial"/>
          <w:sz w:val="16"/>
          <w:szCs w:val="16"/>
          <w:b w:val="1"/>
          <w:bCs w:val="1"/>
          <w:color w:val="0000FF"/>
        </w:rPr>
        <w:t xml:space="preserve">“Term Loans” means advances made by a Term Loan Lender to the Company </w:t>
      </w:r>
      <w:r>
        <w:rPr>
          <w:rFonts w:ascii="Arial" w:cs="Arial" w:eastAsia="Arial" w:hAnsi="Arial"/>
          <w:sz w:val="16"/>
          <w:szCs w:val="16"/>
          <w:b w:val="1"/>
          <w:bCs w:val="1"/>
          <w:u w:val="single" w:color="auto"/>
          <w:color w:val="0000FF"/>
        </w:rPr>
        <w:t>pursuan</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t</w:t>
      </w:r>
      <w:r>
        <w:rPr>
          <w:rFonts w:ascii="Arial" w:cs="Arial" w:eastAsia="Arial" w:hAnsi="Arial"/>
          <w:sz w:val="16"/>
          <w:szCs w:val="16"/>
          <w:b w:val="1"/>
          <w:bCs w:val="1"/>
          <w:color w:val="0000FF"/>
        </w:rPr>
        <w:t xml:space="preserve">o </w:t>
      </w:r>
      <w:r>
        <w:rPr>
          <w:rFonts w:ascii="Arial" w:cs="Arial" w:eastAsia="Arial" w:hAnsi="Arial"/>
          <w:sz w:val="16"/>
          <w:szCs w:val="16"/>
          <w:b w:val="1"/>
          <w:bCs w:val="1"/>
          <w:u w:val="single" w:color="auto"/>
          <w:color w:val="0000FF"/>
        </w:rPr>
        <w:t>Sectio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2.01(b</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an</w:t>
      </w:r>
      <w:r>
        <w:rPr>
          <w:rFonts w:ascii="Arial" w:cs="Arial" w:eastAsia="Arial" w:hAnsi="Arial"/>
          <w:sz w:val="16"/>
          <w:szCs w:val="16"/>
          <w:b w:val="1"/>
          <w:bCs w:val="1"/>
          <w:color w:val="0000FF"/>
        </w:rPr>
        <w:t xml:space="preserve">d </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 xml:space="preserve">l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 xml:space="preserve">m </w:t>
      </w:r>
      <w:r>
        <w:rPr>
          <w:rFonts w:ascii="Arial" w:cs="Arial" w:eastAsia="Arial" w:hAnsi="Arial"/>
          <w:sz w:val="16"/>
          <w:szCs w:val="16"/>
          <w:b w:val="1"/>
          <w:bCs w:val="1"/>
          <w:u w:val="single" w:color="auto"/>
          <w:color w:val="0000FF"/>
        </w:rPr>
        <w:t>loan</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mad</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pursuan</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t</w:t>
      </w:r>
      <w:r>
        <w:rPr>
          <w:rFonts w:ascii="Arial" w:cs="Arial" w:eastAsia="Arial" w:hAnsi="Arial"/>
          <w:sz w:val="16"/>
          <w:szCs w:val="16"/>
          <w:b w:val="1"/>
          <w:bCs w:val="1"/>
          <w:color w:val="0000FF"/>
        </w:rPr>
        <w:t xml:space="preserve">o </w:t>
      </w:r>
      <w:r>
        <w:rPr>
          <w:rFonts w:ascii="Arial" w:cs="Arial" w:eastAsia="Arial" w:hAnsi="Arial"/>
          <w:sz w:val="16"/>
          <w:szCs w:val="16"/>
          <w:b w:val="1"/>
          <w:bCs w:val="1"/>
          <w:u w:val="single" w:color="auto"/>
          <w:color w:val="0000FF"/>
        </w:rPr>
        <w:t>Sectio</w:t>
      </w:r>
      <w:r>
        <w:rPr>
          <w:rFonts w:ascii="Arial" w:cs="Arial" w:eastAsia="Arial" w:hAnsi="Arial"/>
          <w:sz w:val="16"/>
          <w:szCs w:val="16"/>
          <w:b w:val="1"/>
          <w:bCs w:val="1"/>
          <w:color w:val="0000FF"/>
        </w:rPr>
        <w:t>n 2.05(b).</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w:t>
      </w:r>
      <w:r>
        <w:rPr>
          <w:rFonts w:ascii="Arial" w:cs="Arial" w:eastAsia="Arial" w:hAnsi="Arial"/>
          <w:sz w:val="16"/>
          <w:szCs w:val="16"/>
          <w:color w:val="auto"/>
        </w:rPr>
        <w:t xml:space="preserve">” </w:t>
      </w:r>
      <w:r>
        <w:rPr>
          <w:rFonts w:ascii="Arial" w:cs="Arial" w:eastAsia="Arial" w:hAnsi="Arial"/>
          <w:sz w:val="16"/>
          <w:szCs w:val="16"/>
          <w:color w:val="010101"/>
        </w:rPr>
        <w:t>means,</w:t>
      </w:r>
    </w:p>
    <w:p>
      <w:pPr>
        <w:spacing w:after="0" w:line="160" w:lineRule="exact"/>
        <w:rPr>
          <w:sz w:val="20"/>
          <w:szCs w:val="20"/>
          <w:color w:val="auto"/>
        </w:rPr>
      </w:pPr>
    </w:p>
    <w:p>
      <w:pPr>
        <w:jc w:val="both"/>
        <w:ind w:left="20" w:right="20" w:firstLine="487"/>
        <w:spacing w:after="0" w:line="252" w:lineRule="auto"/>
        <w:tabs>
          <w:tab w:leader="none" w:pos="910" w:val="left"/>
        </w:tabs>
        <w:numPr>
          <w:ilvl w:val="0"/>
          <w:numId w:val="47"/>
        </w:numPr>
        <w:rPr>
          <w:rFonts w:ascii="Arial" w:cs="Arial" w:eastAsia="Arial" w:hAnsi="Arial"/>
          <w:sz w:val="14"/>
          <w:szCs w:val="14"/>
          <w:color w:val="auto"/>
        </w:rPr>
      </w:pPr>
      <w:r>
        <w:rPr>
          <w:rFonts w:ascii="Arial" w:cs="Arial" w:eastAsia="Arial" w:hAnsi="Arial"/>
          <w:sz w:val="14"/>
          <w:szCs w:val="14"/>
          <w:color w:val="010101"/>
        </w:rPr>
        <w:t>for any calculation with respect to a Term SOFR Advance, the sum of (i) the Term SOFR Reference Rate for a tenor comparable to the applicable Interest Period on the day (such day, the “</w:t>
      </w:r>
      <w:r>
        <w:rPr>
          <w:rFonts w:ascii="Arial" w:cs="Arial" w:eastAsia="Arial" w:hAnsi="Arial"/>
          <w:sz w:val="14"/>
          <w:szCs w:val="14"/>
          <w:u w:val="single" w:color="auto"/>
          <w:color w:val="010101"/>
        </w:rPr>
        <w:t>Periodic Term SOFR Determination Day</w:t>
      </w:r>
      <w:r>
        <w:rPr>
          <w:rFonts w:ascii="Arial" w:cs="Arial" w:eastAsia="Arial" w:hAnsi="Arial"/>
          <w:sz w:val="14"/>
          <w:szCs w:val="14"/>
          <w:color w:val="010101"/>
        </w:rPr>
        <w:t xml:space="preserve">”) that is two (2) RFR Business Days prior to the first day of such Interest Period, as such rate is published by the Term SOFR Administrator;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however</w:t>
      </w:r>
      <w:r>
        <w:rPr>
          <w:rFonts w:ascii="Arial" w:cs="Arial" w:eastAsia="Arial" w:hAnsi="Arial"/>
          <w:sz w:val="14"/>
          <w:szCs w:val="14"/>
          <w:color w:val="010101"/>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 (ii) the Term SOFR Adjustment, and</w:t>
      </w:r>
    </w:p>
    <w:p>
      <w:pPr>
        <w:spacing w:after="0" w:line="140" w:lineRule="exact"/>
        <w:rPr>
          <w:rFonts w:ascii="Arial" w:cs="Arial" w:eastAsia="Arial" w:hAnsi="Arial"/>
          <w:sz w:val="14"/>
          <w:szCs w:val="14"/>
          <w:color w:val="auto"/>
        </w:rPr>
      </w:pPr>
    </w:p>
    <w:p>
      <w:pPr>
        <w:jc w:val="both"/>
        <w:ind w:left="20" w:firstLine="487"/>
        <w:spacing w:after="0" w:line="219" w:lineRule="auto"/>
        <w:tabs>
          <w:tab w:leader="none" w:pos="909"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010101"/>
        </w:rPr>
        <w:t>for any calculation with respect to a Base Rate Advance on any day, the Term SOFR Reference Rate for a tenor of one month on the day (such day, the “</w:t>
      </w:r>
      <w:r>
        <w:rPr>
          <w:rFonts w:ascii="Arial" w:cs="Arial" w:eastAsia="Arial" w:hAnsi="Arial"/>
          <w:sz w:val="16"/>
          <w:szCs w:val="16"/>
          <w:u w:val="single" w:color="auto"/>
          <w:color w:val="010101"/>
        </w:rPr>
        <w:t>Base Rate Term SOFR Determination Day</w:t>
      </w:r>
      <w:r>
        <w:rPr>
          <w:rFonts w:ascii="Arial" w:cs="Arial" w:eastAsia="Arial" w:hAnsi="Arial"/>
          <w:sz w:val="16"/>
          <w:szCs w:val="16"/>
          <w:color w:val="010101"/>
        </w:rPr>
        <w:t xml:space="preserve">”) that is two (2) RFR Business Days prior to such day, as such rate is published by the Term SOFR Administrator;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however</w:t>
      </w:r>
      <w:r>
        <w:rPr>
          <w:rFonts w:ascii="Arial" w:cs="Arial" w:eastAsia="Arial" w:hAnsi="Arial"/>
          <w:sz w:val="16"/>
          <w:szCs w:val="16"/>
          <w:color w:val="010101"/>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r>
        <w:rPr>
          <w:rFonts w:ascii="Arial" w:cs="Arial" w:eastAsia="Arial" w:hAnsi="Arial"/>
          <w:sz w:val="16"/>
          <w:szCs w:val="16"/>
          <w:b w:val="1"/>
          <w:bCs w:val="1"/>
          <w:color w:val="010101"/>
        </w:rPr>
        <w:t>;</w:t>
      </w:r>
    </w:p>
    <w:p>
      <w:pPr>
        <w:spacing w:after="0" w:line="148" w:lineRule="exact"/>
        <w:rPr>
          <w:sz w:val="20"/>
          <w:szCs w:val="20"/>
          <w:color w:val="auto"/>
        </w:rPr>
      </w:pPr>
    </w:p>
    <w:p>
      <w:pPr>
        <w:ind w:left="20" w:right="20" w:firstLine="485"/>
        <w:spacing w:after="0" w:line="239" w:lineRule="auto"/>
        <w:rPr>
          <w:sz w:val="20"/>
          <w:szCs w:val="20"/>
          <w:color w:val="auto"/>
        </w:rPr>
      </w:pP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further</w:t>
      </w:r>
      <w:r>
        <w:rPr>
          <w:rFonts w:ascii="Arial" w:cs="Arial" w:eastAsia="Arial" w:hAnsi="Arial"/>
          <w:sz w:val="16"/>
          <w:szCs w:val="16"/>
          <w:color w:val="010101"/>
        </w:rPr>
        <w:t>, that if Term SOFR determined as provided above (including pursuant to the proviso under clause (a) or clause (b) above) shall ever be less than the Floor, then Term SOFR shall be deemed to be the Floor.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1" w:right="499" w:bottom="1440" w:gutter="0" w:footer="0" w:header="0"/>
        </w:sectPr>
      </w:pPr>
    </w:p>
    <w:bookmarkStart w:id="99" w:name="page100"/>
    <w:bookmarkEnd w:id="99"/>
    <w:p>
      <w:pPr>
        <w:ind w:left="20" w:right="20" w:firstLine="485"/>
        <w:spacing w:after="0" w:line="228" w:lineRule="auto"/>
        <w:rPr>
          <w:sz w:val="20"/>
          <w:szCs w:val="20"/>
          <w:color w:val="auto"/>
        </w:rPr>
      </w:pPr>
      <w:r>
        <w:rPr>
          <w:rFonts w:ascii="Arial" w:cs="Arial" w:eastAsia="Arial" w:hAnsi="Arial"/>
          <w:sz w:val="14"/>
          <w:szCs w:val="14"/>
          <w:color w:val="010101"/>
        </w:rPr>
        <w:t>“</w:t>
      </w:r>
      <w:r>
        <w:rPr>
          <w:rFonts w:ascii="Arial" w:cs="Arial" w:eastAsia="Arial" w:hAnsi="Arial"/>
          <w:sz w:val="15"/>
          <w:szCs w:val="15"/>
          <w:u w:val="single" w:color="auto"/>
          <w:color w:val="010101"/>
        </w:rPr>
        <w:t>Term SOFR Adjustment</w:t>
      </w:r>
      <w:r>
        <w:rPr>
          <w:rFonts w:ascii="Arial" w:cs="Arial" w:eastAsia="Arial" w:hAnsi="Arial"/>
          <w:sz w:val="14"/>
          <w:szCs w:val="14"/>
          <w:color w:val="010101"/>
        </w:rPr>
        <w:t xml:space="preserve">” </w:t>
      </w:r>
      <w:r>
        <w:rPr>
          <w:rFonts w:ascii="Arial" w:cs="Arial" w:eastAsia="Arial" w:hAnsi="Arial"/>
          <w:sz w:val="15"/>
          <w:szCs w:val="15"/>
          <w:color w:val="010101"/>
        </w:rPr>
        <w:t>means 0.10% (10.0 basis points);</w:t>
      </w:r>
      <w:r>
        <w:rPr>
          <w:rFonts w:ascii="Arial" w:cs="Arial" w:eastAsia="Arial" w:hAnsi="Arial"/>
          <w:sz w:val="14"/>
          <w:szCs w:val="14"/>
          <w:color w:val="010101"/>
        </w:rPr>
        <w:t xml:space="preserve"> </w:t>
      </w:r>
      <w:r>
        <w:rPr>
          <w:rFonts w:ascii="Arial" w:cs="Arial" w:eastAsia="Arial" w:hAnsi="Arial"/>
          <w:sz w:val="15"/>
          <w:szCs w:val="15"/>
          <w:u w:val="single" w:color="auto"/>
          <w:color w:val="010101"/>
        </w:rPr>
        <w:t>provided</w:t>
      </w:r>
      <w:r>
        <w:rPr>
          <w:rFonts w:ascii="Arial" w:cs="Arial" w:eastAsia="Arial" w:hAnsi="Arial"/>
          <w:sz w:val="14"/>
          <w:szCs w:val="14"/>
          <w:color w:val="010101"/>
        </w:rPr>
        <w:t xml:space="preserve"> </w:t>
      </w:r>
      <w:r>
        <w:rPr>
          <w:rFonts w:ascii="Arial" w:cs="Arial" w:eastAsia="Arial" w:hAnsi="Arial"/>
          <w:sz w:val="15"/>
          <w:szCs w:val="15"/>
          <w:color w:val="010101"/>
        </w:rPr>
        <w:t>that, if at any time after the Effective Date the Company notifies (which notification shall</w:t>
      </w:r>
      <w:r>
        <w:rPr>
          <w:rFonts w:ascii="Arial" w:cs="Arial" w:eastAsia="Arial" w:hAnsi="Arial"/>
          <w:sz w:val="14"/>
          <w:szCs w:val="14"/>
          <w:color w:val="010101"/>
        </w:rPr>
        <w:t xml:space="preserve"> </w:t>
      </w:r>
      <w:r>
        <w:rPr>
          <w:rFonts w:ascii="Arial" w:cs="Arial" w:eastAsia="Arial" w:hAnsi="Arial"/>
          <w:sz w:val="15"/>
          <w:szCs w:val="15"/>
          <w:color w:val="010101"/>
        </w:rPr>
        <w:t>identify the applicable Subject Agreements (as defined below)) the Administrative Agent that a minimum of ten publicly filed credit agreements (x) for pro rata credit facilities with an aggregate facility size greater than $1,000,000,000 per agreement (which may be in the form of revolving credit facilities, “term loan A” facilities and/or a combination of the foregoing) and (y) for borrowers with corporate family ratings of no greater than Ba1 from Moody’s or BB+ from S&amp;P (or the equivalent prevailing ratings) at the time such agreements are entered into have eliminated the application of (or do not initially contain) credit spread adjustments for loans thereunder based on a Term SOFR benchmark (any such agreements, the “</w:t>
      </w:r>
      <w:r>
        <w:rPr>
          <w:rFonts w:ascii="Arial" w:cs="Arial" w:eastAsia="Arial" w:hAnsi="Arial"/>
          <w:sz w:val="15"/>
          <w:szCs w:val="15"/>
          <w:u w:val="single" w:color="auto"/>
          <w:color w:val="010101"/>
        </w:rPr>
        <w:t>Subject Agreements</w:t>
      </w:r>
      <w:r>
        <w:rPr>
          <w:rFonts w:ascii="Arial" w:cs="Arial" w:eastAsia="Arial" w:hAnsi="Arial"/>
          <w:sz w:val="15"/>
          <w:szCs w:val="15"/>
          <w:color w:val="010101"/>
        </w:rPr>
        <w:t>”), then the Administrative Agent shall promptly notify the Lenders of (and specify) such Subject Agreements (such notification to Lenders, the “</w:t>
      </w:r>
      <w:r>
        <w:rPr>
          <w:rFonts w:ascii="Arial" w:cs="Arial" w:eastAsia="Arial" w:hAnsi="Arial"/>
          <w:sz w:val="15"/>
          <w:szCs w:val="15"/>
          <w:u w:val="single" w:color="auto"/>
          <w:color w:val="010101"/>
        </w:rPr>
        <w:t>Term SOFR Adjustment Notification</w:t>
      </w:r>
      <w:r>
        <w:rPr>
          <w:rFonts w:ascii="Arial" w:cs="Arial" w:eastAsia="Arial" w:hAnsi="Arial"/>
          <w:sz w:val="15"/>
          <w:szCs w:val="15"/>
          <w:color w:val="010101"/>
        </w:rPr>
        <w:t>”) and, so long as the Administrative Agent has not received written notice of objection to the Subject Agreements from Lenders comprising Required Lenders (any such objection notice shall specify the applicable Subject Agreement(s) and reason(s) such Lenders believe any applicable Subject Agreements do not meet the criteria set forth in the immediately preceding clauses (x) and (y)) within five Business Days after the date of such Term SOFR Adjustment Notification, the Administrative Agent and the Company shall reduce (and the Lenders hereby authorize and consent to such reduction) the Term SOFR Adjustment to 0.00% for all purposes hereunder on the 7</w:t>
      </w:r>
      <w:r>
        <w:rPr>
          <w:rFonts w:ascii="Arial" w:cs="Arial" w:eastAsia="Arial" w:hAnsi="Arial"/>
          <w:sz w:val="9"/>
          <w:szCs w:val="9"/>
          <w:color w:val="010101"/>
        </w:rPr>
        <w:t>th</w:t>
      </w:r>
      <w:r>
        <w:rPr>
          <w:rFonts w:ascii="Arial" w:cs="Arial" w:eastAsia="Arial" w:hAnsi="Arial"/>
          <w:sz w:val="15"/>
          <w:szCs w:val="15"/>
          <w:color w:val="010101"/>
        </w:rPr>
        <w:t xml:space="preserve"> Business Day after the date of such Term SOFR Adjustment Notification. If the Required Lenders have objected to one or more Subject Agreements, the Administrative Agent shall promptly notify the Lenders thereof and the Company may submit a revised Term SOFR Adjustment Notification with additional or replacement Subject Agreements, which revised Term SOFR Adjustment Notification shall be subject to the procedures set forth above. Notwithstanding anything set forth herein, the Administrative Agent shall not be responsible or have any liability for, or have any duty to ascertain, inquire into, or monitor publicly filed credit agreements to determine whether any credit agreements meet the criteria set forth above for Subject Agreements.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Term SOFR Advance</w:t>
      </w:r>
      <w:r>
        <w:rPr>
          <w:rFonts w:ascii="Arial" w:cs="Arial" w:eastAsia="Arial" w:hAnsi="Arial"/>
          <w:sz w:val="14"/>
          <w:szCs w:val="14"/>
          <w:color w:val="010101"/>
        </w:rPr>
        <w:t>” means any Advance that bears interest at a rate based on Term SOFR other than pursuant to clause (c) of the definition of “Base Rate”.</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Term SOFR Reference Rate</w:t>
      </w:r>
      <w:r>
        <w:rPr>
          <w:rFonts w:ascii="Arial" w:cs="Arial" w:eastAsia="Arial" w:hAnsi="Arial"/>
          <w:sz w:val="15"/>
          <w:szCs w:val="15"/>
          <w:color w:val="010101"/>
        </w:rPr>
        <w:t>” means the forward-looking term rate based on SOFR. “</w:t>
      </w:r>
      <w:r>
        <w:rPr>
          <w:rFonts w:ascii="Arial" w:cs="Arial" w:eastAsia="Arial" w:hAnsi="Arial"/>
          <w:sz w:val="15"/>
          <w:szCs w:val="15"/>
          <w:u w:val="single" w:color="auto"/>
          <w:color w:val="010101"/>
        </w:rPr>
        <w:t>Termination Date</w:t>
      </w:r>
      <w:r>
        <w:rPr>
          <w:rFonts w:ascii="Arial" w:cs="Arial" w:eastAsia="Arial" w:hAnsi="Arial"/>
          <w:sz w:val="15"/>
          <w:szCs w:val="15"/>
          <w:color w:val="010101"/>
        </w:rPr>
        <w:t>” means the earlier of (a) May 30, 2027, subject to the</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extension</w:t>
      </w:r>
    </w:p>
    <w:p>
      <w:pPr>
        <w:spacing w:after="0" w:line="99" w:lineRule="exact"/>
        <w:rPr>
          <w:sz w:val="20"/>
          <w:szCs w:val="20"/>
          <w:color w:val="auto"/>
        </w:rPr>
      </w:pPr>
    </w:p>
    <w:p>
      <w:pPr>
        <w:jc w:val="both"/>
        <w:ind w:left="20"/>
        <w:spacing w:after="0" w:line="230" w:lineRule="auto"/>
        <w:rPr>
          <w:sz w:val="20"/>
          <w:szCs w:val="20"/>
          <w:color w:val="auto"/>
        </w:rPr>
      </w:pPr>
      <w:r>
        <w:rPr>
          <w:rFonts w:ascii="Arial" w:cs="Arial" w:eastAsia="Arial" w:hAnsi="Arial"/>
          <w:sz w:val="16"/>
          <w:szCs w:val="16"/>
          <w:color w:val="010101"/>
        </w:rPr>
        <w:t xml:space="preserve">thereof pursuant to Section 2.17 and (b) the date of termination of all of the Commitments pursuant to Section 2.05 or 6.01;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however</w:t>
      </w:r>
      <w:r>
        <w:rPr>
          <w:rFonts w:ascii="Arial" w:cs="Arial" w:eastAsia="Arial" w:hAnsi="Arial"/>
          <w:sz w:val="16"/>
          <w:szCs w:val="16"/>
          <w:color w:val="010101"/>
        </w:rPr>
        <w:t>,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48" w:lineRule="exact"/>
        <w:rPr>
          <w:sz w:val="20"/>
          <w:szCs w:val="20"/>
          <w:color w:val="auto"/>
        </w:rPr>
      </w:pPr>
    </w:p>
    <w:p>
      <w:pPr>
        <w:jc w:val="both"/>
        <w:ind w:left="20" w:firstLine="485"/>
        <w:spacing w:after="0" w:line="22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Total Net Leverage Ratio</w:t>
      </w:r>
      <w:r>
        <w:rPr>
          <w:rFonts w:ascii="Arial" w:cs="Arial" w:eastAsia="Arial" w:hAnsi="Arial"/>
          <w:sz w:val="16"/>
          <w:szCs w:val="16"/>
          <w:color w:val="010101"/>
        </w:rPr>
        <w:t>” means, as of any date of determination, for the Company and its Subsidiaries on a Consolidated basis, the ratio of (a) (i) Consolidated Debt as of such date less</w:t>
      </w:r>
    </w:p>
    <w:p>
      <w:pPr>
        <w:ind w:left="20" w:firstLine="2"/>
        <w:spacing w:after="0" w:line="230" w:lineRule="auto"/>
        <w:tabs>
          <w:tab w:leader="none" w:pos="424" w:val="left"/>
        </w:tabs>
        <w:numPr>
          <w:ilvl w:val="0"/>
          <w:numId w:val="48"/>
        </w:numPr>
        <w:rPr>
          <w:rFonts w:ascii="Arial" w:cs="Arial" w:eastAsia="Arial" w:hAnsi="Arial"/>
          <w:sz w:val="16"/>
          <w:szCs w:val="16"/>
          <w:color w:val="010101"/>
        </w:rPr>
      </w:pPr>
      <w:r>
        <w:rPr>
          <w:rFonts w:ascii="Arial" w:cs="Arial" w:eastAsia="Arial" w:hAnsi="Arial"/>
          <w:sz w:val="16"/>
          <w:szCs w:val="16"/>
          <w:color w:val="010101"/>
        </w:rPr>
        <w:t>unrestricted cash and cash equivalents of the Company and its Subsidiaries on such date in an aggregate amount not to exceed $100,000,000 to (b) Consolidated EBITDA for the most recent period of four consecutive quarters ending on or prior to such date.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00" w:name="page101"/>
    <w:bookmarkEnd w:id="100"/>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Trading with the Enemy Act</w:t>
      </w:r>
      <w:r>
        <w:rPr>
          <w:rFonts w:ascii="Arial" w:cs="Arial" w:eastAsia="Arial" w:hAnsi="Arial"/>
          <w:sz w:val="16"/>
          <w:szCs w:val="16"/>
          <w:color w:val="010101"/>
        </w:rPr>
        <w:t>” has the meaning assigned to such term in clause (l) of Section 4.01.</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Tranche</w:t>
      </w:r>
      <w:r>
        <w:rPr>
          <w:rFonts w:ascii="Arial" w:cs="Arial" w:eastAsia="Arial" w:hAnsi="Arial"/>
          <w:sz w:val="16"/>
          <w:szCs w:val="16"/>
          <w:color w:val="010101"/>
        </w:rPr>
        <w:t>” means a category of Commitments</w:t>
      </w:r>
      <w:r>
        <w:rPr>
          <w:rFonts w:ascii="Arial" w:cs="Arial" w:eastAsia="Arial" w:hAnsi="Arial"/>
          <w:sz w:val="16"/>
          <w:szCs w:val="16"/>
          <w:b w:val="1"/>
          <w:bCs w:val="1"/>
          <w:u w:val="single" w:color="auto"/>
          <w:color w:val="0000FF"/>
        </w:rPr>
        <w:t>, 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Commitments</w:t>
      </w:r>
      <w:r>
        <w:rPr>
          <w:rFonts w:ascii="Arial" w:cs="Arial" w:eastAsia="Arial" w:hAnsi="Arial"/>
          <w:sz w:val="16"/>
          <w:szCs w:val="16"/>
          <w:color w:val="010101"/>
        </w:rPr>
        <w:t xml:space="preserve"> and </w:t>
      </w:r>
      <w:r>
        <w:rPr>
          <w:rFonts w:ascii="Arial" w:cs="Arial" w:eastAsia="Arial" w:hAnsi="Arial"/>
          <w:sz w:val="16"/>
          <w:szCs w:val="16"/>
          <w:b w:val="1"/>
          <w:bCs w:val="1"/>
          <w:color w:val="0000FF"/>
        </w:rPr>
        <w:t>any</w:t>
      </w:r>
      <w:r>
        <w:rPr>
          <w:rFonts w:ascii="Arial" w:cs="Arial" w:eastAsia="Arial" w:hAnsi="Arial"/>
          <w:sz w:val="16"/>
          <w:szCs w:val="16"/>
          <w:color w:val="010101"/>
        </w:rPr>
        <w:t xml:space="preserve"> Extensions of Credit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-6985</wp:posOffset>
            </wp:positionV>
            <wp:extent cx="18542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85420" cy="6350"/>
                    </a:xfrm>
                    <a:prstGeom prst="rect">
                      <a:avLst/>
                    </a:prstGeom>
                    <a:noFill/>
                  </pic:spPr>
                </pic:pic>
              </a:graphicData>
            </a:graphic>
          </wp:anchor>
        </w:drawing>
      </w:r>
    </w:p>
    <w:p>
      <w:pPr>
        <w:spacing w:after="0" w:line="154" w:lineRule="exact"/>
        <w:rPr>
          <w:sz w:val="20"/>
          <w:szCs w:val="20"/>
          <w:color w:val="auto"/>
        </w:rPr>
      </w:pPr>
    </w:p>
    <w:p>
      <w:pPr>
        <w:jc w:val="both"/>
        <w:ind w:left="20" w:firstLine="485"/>
        <w:spacing w:after="0" w:line="308" w:lineRule="auto"/>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Type</w:t>
      </w:r>
      <w:r>
        <w:rPr>
          <w:rFonts w:ascii="Arial" w:cs="Arial" w:eastAsia="Arial" w:hAnsi="Arial"/>
          <w:sz w:val="14"/>
          <w:szCs w:val="14"/>
          <w:color w:val="010101"/>
        </w:rPr>
        <w:t>”, means, when used in reference to any Advance or Borrowing, refers to whether the rate of interest on such Advance, or on the Advances comprising such Borrowing, is determined by reference to the Base Rate or the Eurocurrency Rate, or that such Advance is a Daily Simple RFR Advance or a Term SOFR Advance.</w:t>
      </w:r>
    </w:p>
    <w:p>
      <w:pPr>
        <w:spacing w:after="0" w:line="92"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UK Borrower</w:t>
      </w:r>
      <w:r>
        <w:rPr>
          <w:rFonts w:ascii="Arial" w:cs="Arial" w:eastAsia="Arial" w:hAnsi="Arial"/>
          <w:sz w:val="16"/>
          <w:szCs w:val="16"/>
          <w:color w:val="010101"/>
        </w:rPr>
        <w:t>” means any Foreign Borrower (i) that is organized or formed under the laws of the United Kingdom or (ii) payments from which under this Agreement or any other Loan Document are subject to withholding Taxes imposed by the laws of the United Kingdom.</w:t>
      </w:r>
    </w:p>
    <w:p>
      <w:pPr>
        <w:spacing w:after="0" w:line="149" w:lineRule="exact"/>
        <w:rPr>
          <w:sz w:val="20"/>
          <w:szCs w:val="20"/>
          <w:color w:val="auto"/>
        </w:rPr>
      </w:pPr>
    </w:p>
    <w:p>
      <w:pPr>
        <w:jc w:val="both"/>
        <w:ind w:lef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UK Financial Institution</w:t>
      </w:r>
      <w:r>
        <w:rPr>
          <w:rFonts w:ascii="Arial" w:cs="Arial" w:eastAsia="Arial" w:hAnsi="Arial"/>
          <w:sz w:val="16"/>
          <w:szCs w:val="16"/>
          <w:color w:val="010101"/>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9" w:lineRule="exact"/>
        <w:rPr>
          <w:sz w:val="20"/>
          <w:szCs w:val="20"/>
          <w:color w:val="auto"/>
        </w:rPr>
      </w:pPr>
    </w:p>
    <w:p>
      <w:pPr>
        <w:jc w:val="both"/>
        <w:ind w:left="20" w:firstLine="485"/>
        <w:spacing w:after="0" w:line="239" w:lineRule="auto"/>
        <w:rPr>
          <w:sz w:val="20"/>
          <w:szCs w:val="20"/>
          <w:color w:val="auto"/>
        </w:rPr>
      </w:pPr>
      <w:r>
        <w:rPr>
          <w:rFonts w:ascii="Arial" w:cs="Arial" w:eastAsia="Arial" w:hAnsi="Arial"/>
          <w:sz w:val="16"/>
          <w:szCs w:val="16"/>
          <w:color w:val="010101"/>
        </w:rPr>
        <w:t xml:space="preserve">“ </w:t>
      </w:r>
      <w:r>
        <w:rPr>
          <w:rFonts w:ascii="Arial" w:cs="Arial" w:eastAsia="Arial" w:hAnsi="Arial"/>
          <w:sz w:val="16"/>
          <w:szCs w:val="16"/>
          <w:u w:val="single" w:color="auto"/>
          <w:color w:val="010101"/>
        </w:rPr>
        <w:t>UK Treaty</w:t>
      </w:r>
      <w:r>
        <w:rPr>
          <w:rFonts w:ascii="Arial" w:cs="Arial" w:eastAsia="Arial" w:hAnsi="Arial"/>
          <w:sz w:val="16"/>
          <w:szCs w:val="16"/>
          <w:color w:val="010101"/>
        </w:rPr>
        <w:t>” means a double taxation agreement with the United Kingdom which makes provision for full exemption or relief from or reduction in the rate of tax imposed by the United Kingdom on interest.</w:t>
      </w:r>
    </w:p>
    <w:p>
      <w:pPr>
        <w:spacing w:after="0" w:line="139" w:lineRule="exact"/>
        <w:rPr>
          <w:sz w:val="20"/>
          <w:szCs w:val="20"/>
          <w:color w:val="auto"/>
        </w:rPr>
      </w:pPr>
    </w:p>
    <w:p>
      <w:pPr>
        <w:jc w:val="both"/>
        <w:ind w:left="20" w:firstLine="485"/>
        <w:spacing w:after="0" w:line="225"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UK Treaty Lender</w:t>
      </w:r>
      <w:r>
        <w:rPr>
          <w:rFonts w:ascii="Arial" w:cs="Arial" w:eastAsia="Arial" w:hAnsi="Arial"/>
          <w:sz w:val="16"/>
          <w:szCs w:val="16"/>
          <w:color w:val="010101"/>
        </w:rPr>
        <w:t>” means a Lender which (i) is treated as a resident of a UK Treaty State for the purposes of such UK Treaty, (ii) does not carry on a business in the United Kingdom through a permanent establishment with which such Lender’s participation in the applicable Advance is effectively connected and (iii) meets all requirements in the relevant UK Treaty for full exemption or relief from or reduction in the rate of tax imposed by the United Kingdom on interest assuming the completion of any procedural process.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UK Treaty State</w:t>
      </w:r>
      <w:r>
        <w:rPr>
          <w:rFonts w:ascii="Arial" w:cs="Arial" w:eastAsia="Arial" w:hAnsi="Arial"/>
          <w:sz w:val="16"/>
          <w:szCs w:val="16"/>
          <w:color w:val="010101"/>
        </w:rPr>
        <w:t>” means a jurisdiction having a UK Treaty.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Unadjusted Benchmark Replacement</w:t>
      </w:r>
      <w:r>
        <w:rPr>
          <w:rFonts w:ascii="Arial" w:cs="Arial" w:eastAsia="Arial" w:hAnsi="Arial"/>
          <w:sz w:val="16"/>
          <w:szCs w:val="16"/>
          <w:color w:val="010101"/>
        </w:rPr>
        <w:t>” means the applicable Benchmark Replacement excluding the related Benchmark Replacement Adjustment.</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United States</w:t>
      </w:r>
      <w:r>
        <w:rPr>
          <w:rFonts w:ascii="Arial" w:cs="Arial" w:eastAsia="Arial" w:hAnsi="Arial"/>
          <w:sz w:val="16"/>
          <w:szCs w:val="16"/>
          <w:color w:val="010101"/>
        </w:rPr>
        <w:t>” means the United States of America.</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Unused Commitment</w:t>
      </w:r>
      <w:r>
        <w:rPr>
          <w:rFonts w:ascii="Arial" w:cs="Arial" w:eastAsia="Arial" w:hAnsi="Arial"/>
          <w:sz w:val="15"/>
          <w:szCs w:val="15"/>
          <w:color w:val="010101"/>
        </w:rPr>
        <w:t xml:space="preserve">” means, with respect to any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Lender at any time, (a) such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Lender’s Commitment in US Dollars at such time minus</w:t>
      </w:r>
    </w:p>
    <w:p>
      <w:pPr>
        <w:spacing w:after="0" w:line="7" w:lineRule="exact"/>
        <w:rPr>
          <w:sz w:val="20"/>
          <w:szCs w:val="20"/>
          <w:color w:val="auto"/>
        </w:rPr>
      </w:pPr>
    </w:p>
    <w:p>
      <w:pPr>
        <w:ind w:left="500" w:right="1780" w:hanging="478"/>
        <w:spacing w:after="0" w:line="471" w:lineRule="auto"/>
        <w:tabs>
          <w:tab w:leader="none" w:pos="244" w:val="left"/>
        </w:tabs>
        <w:numPr>
          <w:ilvl w:val="0"/>
          <w:numId w:val="49"/>
        </w:numPr>
        <w:rPr>
          <w:rFonts w:ascii="Arial" w:cs="Arial" w:eastAsia="Arial" w:hAnsi="Arial"/>
          <w:sz w:val="16"/>
          <w:szCs w:val="16"/>
          <w:color w:val="010101"/>
        </w:rPr>
      </w:pPr>
      <w:r>
        <w:rPr>
          <w:rFonts w:ascii="Arial" w:cs="Arial" w:eastAsia="Arial" w:hAnsi="Arial"/>
          <w:sz w:val="16"/>
          <w:szCs w:val="16"/>
          <w:color w:val="010101"/>
        </w:rPr>
        <w:t xml:space="preserve">the Dollar Equivalent of the aggregate principal amount of Revolving Credit Exposure of such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Lender outstanding at such time. “</w:t>
      </w:r>
      <w:r>
        <w:rPr>
          <w:rFonts w:ascii="Arial" w:cs="Arial" w:eastAsia="Arial" w:hAnsi="Arial"/>
          <w:sz w:val="16"/>
          <w:szCs w:val="16"/>
          <w:u w:val="single" w:color="auto"/>
          <w:color w:val="010101"/>
        </w:rPr>
        <w:t>US Dollars</w:t>
      </w:r>
      <w:r>
        <w:rPr>
          <w:rFonts w:ascii="Arial" w:cs="Arial" w:eastAsia="Arial" w:hAnsi="Arial"/>
          <w:sz w:val="16"/>
          <w:szCs w:val="16"/>
          <w:color w:val="010101"/>
        </w:rPr>
        <w:t>” and “</w:t>
      </w:r>
      <w:r>
        <w:rPr>
          <w:rFonts w:ascii="Arial" w:cs="Arial" w:eastAsia="Arial" w:hAnsi="Arial"/>
          <w:sz w:val="16"/>
          <w:szCs w:val="16"/>
          <w:u w:val="single" w:color="auto"/>
          <w:color w:val="010101"/>
        </w:rPr>
        <w:t>$</w:t>
      </w:r>
      <w:r>
        <w:rPr>
          <w:rFonts w:ascii="Arial" w:cs="Arial" w:eastAsia="Arial" w:hAnsi="Arial"/>
          <w:sz w:val="16"/>
          <w:szCs w:val="16"/>
          <w:color w:val="010101"/>
        </w:rPr>
        <w:t>” means lawful money of the United States.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39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01" w:name="page102"/>
    <w:bookmarkEnd w:id="101"/>
    <w:p>
      <w:pPr>
        <w:jc w:val="both"/>
        <w:ind w:left="20" w:righ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Voting Stock</w:t>
      </w:r>
      <w:r>
        <w:rPr>
          <w:rFonts w:ascii="Arial" w:cs="Arial" w:eastAsia="Arial" w:hAnsi="Arial"/>
          <w:sz w:val="16"/>
          <w:szCs w:val="16"/>
          <w:color w:val="010101"/>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48" w:lineRule="exact"/>
        <w:rPr>
          <w:sz w:val="20"/>
          <w:szCs w:val="20"/>
          <w:color w:val="auto"/>
        </w:rPr>
      </w:pPr>
    </w:p>
    <w:p>
      <w:pPr>
        <w:jc w:val="both"/>
        <w:ind w:left="20" w:firstLine="485"/>
        <w:spacing w:after="0" w:line="230"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Wholly-Owned</w:t>
      </w:r>
      <w:r>
        <w:rPr>
          <w:rFonts w:ascii="Arial" w:cs="Arial" w:eastAsia="Arial" w:hAnsi="Arial"/>
          <w:sz w:val="16"/>
          <w:szCs w:val="16"/>
          <w:color w:val="010101"/>
        </w:rPr>
        <w:t>” means, with respect to a Subsidiary, that all of the Equity Interests of such Subsidiary are, directly or indirectly, owned or controlled by the Company and/or one or more of its Wholly-Owned Subsidiaries (except for directors’ qualifying shares or other shares required by Applicable Law to be owned by a Person other than the Company and/or one or more of its Wholly-Owned Subsidiaries).</w:t>
      </w:r>
    </w:p>
    <w:p>
      <w:pPr>
        <w:spacing w:after="0" w:line="148" w:lineRule="exact"/>
        <w:rPr>
          <w:sz w:val="20"/>
          <w:szCs w:val="20"/>
          <w:color w:val="auto"/>
        </w:rPr>
      </w:pPr>
    </w:p>
    <w:p>
      <w:pPr>
        <w:jc w:val="both"/>
        <w:ind w:left="20" w:firstLine="485"/>
        <w:spacing w:after="0" w:line="219" w:lineRule="auto"/>
        <w:rPr>
          <w:sz w:val="20"/>
          <w:szCs w:val="20"/>
          <w:color w:val="auto"/>
        </w:rPr>
      </w:pPr>
      <w:r>
        <w:rPr>
          <w:rFonts w:ascii="Arial" w:cs="Arial" w:eastAsia="Arial" w:hAnsi="Arial"/>
          <w:sz w:val="16"/>
          <w:szCs w:val="16"/>
          <w:color w:val="010101"/>
        </w:rPr>
        <w:t>“</w:t>
      </w:r>
      <w:r>
        <w:rPr>
          <w:rFonts w:ascii="Arial" w:cs="Arial" w:eastAsia="Arial" w:hAnsi="Arial"/>
          <w:sz w:val="16"/>
          <w:szCs w:val="16"/>
          <w:u w:val="single" w:color="auto"/>
          <w:color w:val="010101"/>
        </w:rPr>
        <w:t>Write-Down and Conversion Powers</w:t>
      </w:r>
      <w:r>
        <w:rPr>
          <w:rFonts w:ascii="Arial" w:cs="Arial" w:eastAsia="Arial" w:hAnsi="Arial"/>
          <w:sz w:val="16"/>
          <w:szCs w:val="16"/>
          <w:color w:val="010101"/>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1.02.</w:t>
      </w:r>
      <w:r>
        <w:rPr>
          <w:sz w:val="20"/>
          <w:szCs w:val="20"/>
          <w:color w:val="auto"/>
        </w:rPr>
        <w:tab/>
      </w:r>
      <w:r>
        <w:rPr>
          <w:rFonts w:ascii="Arial" w:cs="Arial" w:eastAsia="Arial" w:hAnsi="Arial"/>
          <w:sz w:val="14"/>
          <w:szCs w:val="14"/>
          <w:u w:val="single" w:color="auto"/>
          <w:color w:val="010101"/>
        </w:rPr>
        <w:t>Computation of Time Periods</w:t>
      </w:r>
    </w:p>
    <w:p>
      <w:pPr>
        <w:spacing w:after="0" w:line="170" w:lineRule="exact"/>
        <w:rPr>
          <w:sz w:val="20"/>
          <w:szCs w:val="20"/>
          <w:color w:val="auto"/>
        </w:rPr>
      </w:pPr>
    </w:p>
    <w:p>
      <w:pPr>
        <w:ind w:left="20" w:right="40" w:firstLine="487"/>
        <w:spacing w:after="0" w:line="239" w:lineRule="auto"/>
        <w:tabs>
          <w:tab w:leader="none" w:pos="598" w:val="left"/>
        </w:tabs>
        <w:numPr>
          <w:ilvl w:val="0"/>
          <w:numId w:val="50"/>
        </w:numPr>
        <w:rPr>
          <w:rFonts w:ascii="Arial" w:cs="Arial" w:eastAsia="Arial" w:hAnsi="Arial"/>
          <w:sz w:val="16"/>
          <w:szCs w:val="16"/>
          <w:color w:val="010101"/>
        </w:rPr>
      </w:pPr>
      <w:r>
        <w:rPr>
          <w:rFonts w:ascii="Arial" w:cs="Arial" w:eastAsia="Arial" w:hAnsi="Arial"/>
          <w:sz w:val="16"/>
          <w:szCs w:val="16"/>
          <w:color w:val="010101"/>
        </w:rPr>
        <w:t>In this Agreement in the computation of periods of time from a specified date to a later specified date, the word “from” means “from and including” and the words “to” and “until” each mean “to but excluding”.</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1.03.</w:t>
      </w:r>
      <w:r>
        <w:rPr>
          <w:sz w:val="20"/>
          <w:szCs w:val="20"/>
          <w:color w:val="auto"/>
        </w:rPr>
        <w:tab/>
      </w:r>
      <w:r>
        <w:rPr>
          <w:rFonts w:ascii="Arial" w:cs="Arial" w:eastAsia="Arial" w:hAnsi="Arial"/>
          <w:sz w:val="14"/>
          <w:szCs w:val="14"/>
          <w:u w:val="single" w:color="auto"/>
          <w:color w:val="010101"/>
        </w:rPr>
        <w:t>Accounting Terms</w:t>
      </w:r>
    </w:p>
    <w:p>
      <w:pPr>
        <w:spacing w:after="0" w:line="160" w:lineRule="exact"/>
        <w:rPr>
          <w:sz w:val="20"/>
          <w:szCs w:val="20"/>
          <w:color w:val="auto"/>
        </w:rPr>
      </w:pPr>
    </w:p>
    <w:p>
      <w:pPr>
        <w:jc w:val="both"/>
        <w:ind w:left="20" w:firstLine="487"/>
        <w:spacing w:after="0" w:line="231" w:lineRule="auto"/>
        <w:tabs>
          <w:tab w:leader="none" w:pos="577" w:val="left"/>
        </w:tabs>
        <w:numPr>
          <w:ilvl w:val="0"/>
          <w:numId w:val="51"/>
        </w:numPr>
        <w:rPr>
          <w:rFonts w:ascii="Arial" w:cs="Arial" w:eastAsia="Arial" w:hAnsi="Arial"/>
          <w:sz w:val="15"/>
          <w:szCs w:val="15"/>
          <w:color w:val="010101"/>
        </w:rPr>
      </w:pPr>
      <w:r>
        <w:rPr>
          <w:rFonts w:ascii="Arial" w:cs="Arial" w:eastAsia="Arial" w:hAnsi="Arial"/>
          <w:sz w:val="15"/>
          <w:szCs w:val="15"/>
          <w:color w:val="010101"/>
        </w:rPr>
        <w:t>All terms of an accounting or financial nature shall be construed in accordance with generally accepted accounting principles (“</w:t>
      </w:r>
      <w:r>
        <w:rPr>
          <w:rFonts w:ascii="Arial" w:cs="Arial" w:eastAsia="Arial" w:hAnsi="Arial"/>
          <w:sz w:val="15"/>
          <w:szCs w:val="15"/>
          <w:u w:val="single" w:color="auto"/>
          <w:color w:val="010101"/>
        </w:rPr>
        <w:t>GAAP</w:t>
      </w:r>
      <w:r>
        <w:rPr>
          <w:rFonts w:ascii="Arial" w:cs="Arial" w:eastAsia="Arial" w:hAnsi="Arial"/>
          <w:sz w:val="15"/>
          <w:szCs w:val="15"/>
          <w:color w:val="010101"/>
        </w:rPr>
        <w:t xml:space="preserve">”), as in effect from time to time;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however</w:t>
      </w:r>
      <w:r>
        <w:rPr>
          <w:rFonts w:ascii="Arial" w:cs="Arial" w:eastAsia="Arial" w:hAnsi="Arial"/>
          <w:sz w:val="15"/>
          <w:szCs w:val="15"/>
          <w:color w:val="010101"/>
        </w:rPr>
        <w:t>, that if the Company notifies the Administrative Agent that the Borrowers wish to amend any provision hereof to eliminate the effect of any change in GAAP or the application thereof occurring after the date of this Agreement on the operation of such provision, or if the Administrative Agent notifies the Company that the Required Lenders wish to amend any provision hereof for such purpose, then the Borrowers’ compliance with such provision shall be determined on the basis of GAAP in effect immediately before the relevant change in GAAP or the application thereof became effective, until either such notice is withdrawn or such provision is amended in a manner satisfactory to the Company and the Required Lenders.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FASB ASC 842 to the extent such adoption would require treating any lease (or similar arrangement conveying the right to use) as a capital lease where such lease (or similar</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02" w:name="page103"/>
    <w:bookmarkEnd w:id="102"/>
    <w:p>
      <w:pPr>
        <w:ind w:left="20"/>
        <w:spacing w:after="0"/>
        <w:rPr>
          <w:sz w:val="20"/>
          <w:szCs w:val="20"/>
          <w:color w:val="auto"/>
        </w:rPr>
      </w:pPr>
      <w:r>
        <w:rPr>
          <w:rFonts w:ascii="Arial" w:cs="Arial" w:eastAsia="Arial" w:hAnsi="Arial"/>
          <w:sz w:val="16"/>
          <w:szCs w:val="16"/>
          <w:color w:val="010101"/>
        </w:rPr>
        <w:t>arrangement) would not have been required to be so treated under GAAP as in effect on December 31, 2015.</w:t>
      </w:r>
    </w:p>
    <w:p>
      <w:pPr>
        <w:spacing w:after="0" w:line="17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1.04.</w:t>
      </w:r>
      <w:r>
        <w:rPr>
          <w:sz w:val="20"/>
          <w:szCs w:val="20"/>
          <w:color w:val="auto"/>
        </w:rPr>
        <w:tab/>
      </w:r>
      <w:r>
        <w:rPr>
          <w:rFonts w:ascii="Arial" w:cs="Arial" w:eastAsia="Arial" w:hAnsi="Arial"/>
          <w:sz w:val="13"/>
          <w:szCs w:val="13"/>
          <w:u w:val="single" w:color="auto"/>
          <w:color w:val="010101"/>
        </w:rPr>
        <w:t>Guarantees</w:t>
      </w:r>
    </w:p>
    <w:p>
      <w:pPr>
        <w:spacing w:after="0" w:line="170" w:lineRule="exact"/>
        <w:rPr>
          <w:sz w:val="20"/>
          <w:szCs w:val="20"/>
          <w:color w:val="auto"/>
        </w:rPr>
      </w:pPr>
    </w:p>
    <w:p>
      <w:pPr>
        <w:ind w:left="20" w:right="20" w:firstLine="487"/>
        <w:spacing w:after="0" w:line="271" w:lineRule="auto"/>
        <w:tabs>
          <w:tab w:leader="none" w:pos="594" w:val="left"/>
        </w:tabs>
        <w:numPr>
          <w:ilvl w:val="0"/>
          <w:numId w:val="52"/>
        </w:numPr>
        <w:rPr>
          <w:rFonts w:ascii="Arial" w:cs="Arial" w:eastAsia="Arial" w:hAnsi="Arial"/>
          <w:sz w:val="15"/>
          <w:szCs w:val="15"/>
          <w:color w:val="010101"/>
        </w:rPr>
      </w:pPr>
      <w:r>
        <w:rPr>
          <w:rFonts w:ascii="Arial" w:cs="Arial" w:eastAsia="Arial" w:hAnsi="Arial"/>
          <w:sz w:val="15"/>
          <w:szCs w:val="15"/>
          <w:color w:val="010101"/>
        </w:rPr>
        <w:t>Unless otherwise specified, the amount of any Guarantee shall be the lesser of the principal amount of the obligations guaranteed and still outstanding and the maximum amount for which the guaranteeing Person may be liable pursuant to the terms of the instrument embodying such Guarantee.</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1.05. </w:t>
      </w:r>
      <w:r>
        <w:rPr>
          <w:rFonts w:ascii="Arial" w:cs="Arial" w:eastAsia="Arial" w:hAnsi="Arial"/>
          <w:sz w:val="14"/>
          <w:szCs w:val="14"/>
          <w:u w:val="single" w:color="auto"/>
          <w:color w:val="010101"/>
        </w:rPr>
        <w:t>Redenominations of Certain Foreign Currencies and Computation</w:t>
      </w:r>
      <w:r>
        <w:rPr>
          <w:rFonts w:ascii="Arial" w:cs="Arial" w:eastAsia="Arial" w:hAnsi="Arial"/>
          <w:sz w:val="14"/>
          <w:szCs w:val="14"/>
          <w:color w:val="auto"/>
        </w:rPr>
        <w:t xml:space="preserve"> </w:t>
      </w:r>
      <w:r>
        <w:rPr>
          <w:rFonts w:ascii="Arial" w:cs="Arial" w:eastAsia="Arial" w:hAnsi="Arial"/>
          <w:sz w:val="14"/>
          <w:szCs w:val="14"/>
          <w:color w:val="010101"/>
        </w:rPr>
        <w:t>of US Dollar Amounts; Exchange Rates; Currency Equivalents</w:t>
      </w:r>
      <w:r>
        <w:rPr>
          <w:rFonts w:ascii="Arial" w:cs="Arial" w:eastAsia="Arial" w:hAnsi="Arial"/>
          <w:sz w:val="14"/>
          <w:szCs w:val="14"/>
          <w:b w:val="1"/>
          <w:bCs w:val="1"/>
          <w:u w:val="single" w:color="auto"/>
          <w:color w:val="0000FF"/>
        </w:rPr>
        <w:t>; Daily Simple</w:t>
      </w:r>
    </w:p>
    <w:p>
      <w:pPr>
        <w:spacing w:after="0" w:line="19" w:lineRule="exact"/>
        <w:rPr>
          <w:sz w:val="20"/>
          <w:szCs w:val="20"/>
          <w:color w:val="auto"/>
        </w:rPr>
      </w:pPr>
    </w:p>
    <w:p>
      <w:pPr>
        <w:jc w:val="center"/>
        <w:ind w:right="9960"/>
        <w:spacing w:after="0"/>
        <w:rPr>
          <w:sz w:val="20"/>
          <w:szCs w:val="20"/>
          <w:color w:val="auto"/>
        </w:rPr>
      </w:pPr>
      <w:r>
        <w:rPr>
          <w:rFonts w:ascii="Arial" w:cs="Arial" w:eastAsia="Arial" w:hAnsi="Arial"/>
          <w:sz w:val="15"/>
          <w:szCs w:val="15"/>
          <w:b w:val="1"/>
          <w:bCs w:val="1"/>
          <w:u w:val="single" w:color="auto"/>
          <w:color w:val="0000FF"/>
        </w:rPr>
        <w:t>RFR Advances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firstLine="487"/>
        <w:spacing w:after="0" w:line="219" w:lineRule="auto"/>
        <w:tabs>
          <w:tab w:leader="none" w:pos="910" w:val="left"/>
        </w:tabs>
        <w:numPr>
          <w:ilvl w:val="0"/>
          <w:numId w:val="53"/>
        </w:numPr>
        <w:rPr>
          <w:rFonts w:ascii="Arial" w:cs="Arial" w:eastAsia="Arial" w:hAnsi="Arial"/>
          <w:sz w:val="16"/>
          <w:szCs w:val="16"/>
          <w:color w:val="auto"/>
        </w:rPr>
      </w:pPr>
      <w:r>
        <w:rPr>
          <w:rFonts w:ascii="Arial" w:cs="Arial" w:eastAsia="Arial" w:hAnsi="Arial"/>
          <w:sz w:val="16"/>
          <w:szCs w:val="16"/>
          <w:color w:val="010101"/>
        </w:rPr>
        <w:t xml:space="preserve">Each obligation of each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or applicable offshore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if any Advance in the currency of such member state is outstanding immediately prior to such date, such replacement shall take effect, with respect to such Advance, at the end of the then current Interest Period.</w:t>
      </w:r>
    </w:p>
    <w:p>
      <w:pPr>
        <w:spacing w:after="0" w:line="138" w:lineRule="exact"/>
        <w:rPr>
          <w:rFonts w:ascii="Arial" w:cs="Arial" w:eastAsia="Arial" w:hAnsi="Arial"/>
          <w:sz w:val="16"/>
          <w:szCs w:val="16"/>
          <w:color w:val="auto"/>
        </w:rPr>
      </w:pPr>
    </w:p>
    <w:p>
      <w:pPr>
        <w:jc w:val="both"/>
        <w:ind w:left="20" w:right="20" w:firstLine="487"/>
        <w:spacing w:after="0" w:line="230" w:lineRule="auto"/>
        <w:tabs>
          <w:tab w:leader="none" w:pos="909" w:val="left"/>
        </w:tabs>
        <w:numPr>
          <w:ilvl w:val="0"/>
          <w:numId w:val="53"/>
        </w:numPr>
        <w:rPr>
          <w:rFonts w:ascii="Arial" w:cs="Arial" w:eastAsia="Arial" w:hAnsi="Arial"/>
          <w:sz w:val="16"/>
          <w:szCs w:val="16"/>
          <w:color w:val="auto"/>
        </w:rPr>
      </w:pPr>
      <w:r>
        <w:rPr>
          <w:rFonts w:ascii="Arial" w:cs="Arial" w:eastAsia="Arial" w:hAnsi="Arial"/>
          <w:sz w:val="16"/>
          <w:szCs w:val="16"/>
          <w:color w:val="010101"/>
        </w:rPr>
        <w:t>Each provision of this Agreement shall be subject to such reasonable changes of construction as the Administrative Agent and the Company may from time to time agree to be appropriate to reflect the adoption of the Euro by any member state of the European Union and any relevant market conventions or practices relating to the Euro.</w:t>
      </w:r>
    </w:p>
    <w:p>
      <w:pPr>
        <w:spacing w:after="0" w:line="148" w:lineRule="exact"/>
        <w:rPr>
          <w:rFonts w:ascii="Arial" w:cs="Arial" w:eastAsia="Arial" w:hAnsi="Arial"/>
          <w:sz w:val="16"/>
          <w:szCs w:val="16"/>
          <w:color w:val="auto"/>
        </w:rPr>
      </w:pPr>
    </w:p>
    <w:p>
      <w:pPr>
        <w:jc w:val="both"/>
        <w:ind w:left="20" w:right="20" w:firstLine="487"/>
        <w:spacing w:after="0" w:line="219" w:lineRule="auto"/>
        <w:tabs>
          <w:tab w:leader="none" w:pos="91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010101"/>
        </w:rPr>
        <w:t xml:space="preserve">The Administrative Agent </w:t>
      </w:r>
      <w:r>
        <w:rPr>
          <w:rFonts w:ascii="Arial" w:cs="Arial" w:eastAsia="Arial" w:hAnsi="Arial"/>
          <w:sz w:val="16"/>
          <w:szCs w:val="16"/>
          <w:color w:val="FF0000"/>
        </w:rPr>
        <w:t>or applicable Issuing Lender (with notice thereof to the Administrative Agent), as applicable,</w:t>
      </w:r>
      <w:r>
        <w:rPr>
          <w:rFonts w:ascii="Arial" w:cs="Arial" w:eastAsia="Arial" w:hAnsi="Arial"/>
          <w:sz w:val="16"/>
          <w:szCs w:val="16"/>
          <w:color w:val="010101"/>
        </w:rPr>
        <w:t xml:space="preserve"> shall </w:t>
      </w:r>
      <w:r>
        <w:rPr>
          <w:rFonts w:ascii="Arial" w:cs="Arial" w:eastAsia="Arial" w:hAnsi="Arial"/>
          <w:sz w:val="16"/>
          <w:szCs w:val="16"/>
          <w:color w:val="FF0000"/>
          <w:strike w:val="1"/>
        </w:rPr>
        <w:t>reasonably</w:t>
      </w:r>
      <w:r>
        <w:rPr>
          <w:rFonts w:ascii="Arial" w:cs="Arial" w:eastAsia="Arial" w:hAnsi="Arial"/>
          <w:sz w:val="16"/>
          <w:szCs w:val="16"/>
          <w:color w:val="010101"/>
        </w:rPr>
        <w:t xml:space="preserve"> determine the </w:t>
      </w:r>
      <w:r>
        <w:rPr>
          <w:rFonts w:ascii="Arial" w:cs="Arial" w:eastAsia="Arial" w:hAnsi="Arial"/>
          <w:sz w:val="16"/>
          <w:szCs w:val="16"/>
          <w:color w:val="FF0000"/>
          <w:strike w:val="1"/>
        </w:rPr>
        <w:t>Spot</w:t>
      </w:r>
      <w:r>
        <w:rPr>
          <w:rFonts w:ascii="Arial" w:cs="Arial" w:eastAsia="Arial" w:hAnsi="Arial"/>
          <w:sz w:val="16"/>
          <w:szCs w:val="16"/>
          <w:color w:val="010101"/>
        </w:rPr>
        <w:t xml:space="preserve"> </w:t>
      </w:r>
      <w:r>
        <w:rPr>
          <w:rFonts w:ascii="Arial" w:cs="Arial" w:eastAsia="Arial" w:hAnsi="Arial"/>
          <w:sz w:val="16"/>
          <w:szCs w:val="16"/>
          <w:color w:val="FF0000"/>
          <w:strike w:val="1"/>
        </w:rPr>
        <w:t>Rate as</w:t>
      </w:r>
      <w:r>
        <w:rPr>
          <w:rFonts w:ascii="Arial" w:cs="Arial" w:eastAsia="Arial" w:hAnsi="Arial"/>
          <w:sz w:val="16"/>
          <w:szCs w:val="16"/>
          <w:b w:val="1"/>
          <w:bCs w:val="1"/>
          <w:u w:val="single" w:color="auto"/>
          <w:color w:val="0000FF"/>
        </w:rPr>
        <w:t>Dollar Equivalen</w:t>
      </w:r>
      <w:r>
        <w:rPr>
          <w:rFonts w:ascii="Arial" w:cs="Arial" w:eastAsia="Arial" w:hAnsi="Arial"/>
          <w:sz w:val="16"/>
          <w:szCs w:val="16"/>
          <w:b w:val="1"/>
          <w:bCs w:val="1"/>
          <w:color w:val="0000FF"/>
        </w:rPr>
        <w:t>t amount</w:t>
      </w:r>
      <w:r>
        <w:rPr>
          <w:rFonts w:ascii="Arial" w:cs="Arial" w:eastAsia="Arial" w:hAnsi="Arial"/>
          <w:sz w:val="16"/>
          <w:szCs w:val="16"/>
          <w:color w:val="FF0000"/>
        </w:rPr>
        <w:t xml:space="preserve"> </w:t>
      </w:r>
      <w:r>
        <w:rPr>
          <w:rFonts w:ascii="Arial" w:cs="Arial" w:eastAsia="Arial" w:hAnsi="Arial"/>
          <w:sz w:val="16"/>
          <w:szCs w:val="16"/>
          <w:color w:val="010101"/>
        </w:rPr>
        <w:t>of each</w:t>
      </w:r>
      <w:r>
        <w:rPr>
          <w:rFonts w:ascii="Arial" w:cs="Arial" w:eastAsia="Arial" w:hAnsi="Arial"/>
          <w:sz w:val="16"/>
          <w:szCs w:val="16"/>
          <w:color w:val="FF0000"/>
        </w:rPr>
        <w:t xml:space="preserve"> </w:t>
      </w:r>
      <w:r>
        <w:rPr>
          <w:rFonts w:ascii="Arial" w:cs="Arial" w:eastAsia="Arial" w:hAnsi="Arial"/>
          <w:sz w:val="16"/>
          <w:szCs w:val="16"/>
          <w:color w:val="FF0000"/>
          <w:strike w:val="1"/>
        </w:rPr>
        <w:t>Revaluation Date to be used for calculating the Dollar Equivalents of Advances, L/C Obligations and amounts outstanding</w:t>
      </w:r>
      <w:r>
        <w:rPr>
          <w:rFonts w:ascii="Arial" w:cs="Arial" w:eastAsia="Arial" w:hAnsi="Arial"/>
          <w:sz w:val="16"/>
          <w:szCs w:val="16"/>
          <w:color w:val="FF0000"/>
        </w:rPr>
        <w:t xml:space="preserve"> </w:t>
      </w:r>
      <w:r>
        <w:rPr>
          <w:rFonts w:ascii="Arial" w:cs="Arial" w:eastAsia="Arial" w:hAnsi="Arial"/>
          <w:sz w:val="16"/>
          <w:szCs w:val="16"/>
          <w:color w:val="FF0000"/>
          <w:strike w:val="1"/>
        </w:rPr>
        <w:t>hereunder</w:t>
      </w:r>
      <w:r>
        <w:rPr>
          <w:rFonts w:ascii="Arial" w:cs="Arial" w:eastAsia="Arial" w:hAnsi="Arial"/>
          <w:sz w:val="16"/>
          <w:szCs w:val="16"/>
          <w:b w:val="1"/>
          <w:bCs w:val="1"/>
          <w:u w:val="single" w:color="auto"/>
          <w:color w:val="0000FF"/>
        </w:rPr>
        <w:t>Extensio</w:t>
      </w:r>
      <w:r>
        <w:rPr>
          <w:rFonts w:ascii="Arial" w:cs="Arial" w:eastAsia="Arial" w:hAnsi="Arial"/>
          <w:sz w:val="16"/>
          <w:szCs w:val="16"/>
          <w:b w:val="1"/>
          <w:bCs w:val="1"/>
          <w:color w:val="0000FF"/>
        </w:rPr>
        <w:t>n of Credit</w:t>
      </w:r>
      <w:r>
        <w:rPr>
          <w:rFonts w:ascii="Arial" w:cs="Arial" w:eastAsia="Arial" w:hAnsi="Arial"/>
          <w:sz w:val="16"/>
          <w:szCs w:val="16"/>
          <w:color w:val="FF0000"/>
        </w:rPr>
        <w:t xml:space="preserve"> </w:t>
      </w:r>
      <w:r>
        <w:rPr>
          <w:rFonts w:ascii="Arial" w:cs="Arial" w:eastAsia="Arial" w:hAnsi="Arial"/>
          <w:sz w:val="16"/>
          <w:szCs w:val="16"/>
          <w:color w:val="010101"/>
        </w:rPr>
        <w:t>denominated in a Foreign Currency</w:t>
      </w:r>
      <w:r>
        <w:rPr>
          <w:rFonts w:ascii="Arial" w:cs="Arial" w:eastAsia="Arial" w:hAnsi="Arial"/>
          <w:sz w:val="16"/>
          <w:szCs w:val="16"/>
          <w:color w:val="FF0000"/>
          <w:strike w:val="1"/>
        </w:rPr>
        <w:t>, as applicable</w:t>
      </w:r>
      <w:r>
        <w:rPr>
          <w:rFonts w:ascii="Arial" w:cs="Arial" w:eastAsia="Arial" w:hAnsi="Arial"/>
          <w:sz w:val="16"/>
          <w:szCs w:val="16"/>
          <w:color w:val="010101"/>
        </w:rPr>
        <w:t>. Such</w:t>
      </w:r>
      <w:r>
        <w:rPr>
          <w:rFonts w:ascii="Arial" w:cs="Arial" w:eastAsia="Arial" w:hAnsi="Arial"/>
          <w:sz w:val="16"/>
          <w:szCs w:val="16"/>
          <w:color w:val="FF0000"/>
        </w:rPr>
        <w:t xml:space="preserve"> </w:t>
      </w:r>
      <w:r>
        <w:rPr>
          <w:rFonts w:ascii="Arial" w:cs="Arial" w:eastAsia="Arial" w:hAnsi="Arial"/>
          <w:sz w:val="16"/>
          <w:szCs w:val="16"/>
          <w:color w:val="FF0000"/>
          <w:strike w:val="1"/>
        </w:rPr>
        <w:t>Spot Rate</w:t>
      </w:r>
      <w:r>
        <w:rPr>
          <w:rFonts w:ascii="Arial" w:cs="Arial" w:eastAsia="Arial" w:hAnsi="Arial"/>
          <w:sz w:val="16"/>
          <w:szCs w:val="16"/>
          <w:b w:val="1"/>
          <w:bCs w:val="1"/>
          <w:u w:val="single" w:color="auto"/>
          <w:color w:val="0000FF"/>
        </w:rPr>
        <w:t>Dolla</w:t>
      </w:r>
      <w:r>
        <w:rPr>
          <w:rFonts w:ascii="Arial" w:cs="Arial" w:eastAsia="Arial" w:hAnsi="Arial"/>
          <w:sz w:val="16"/>
          <w:szCs w:val="16"/>
          <w:b w:val="1"/>
          <w:bCs w:val="1"/>
          <w:color w:val="0000FF"/>
        </w:rPr>
        <w:t>r Equivalent</w:t>
      </w:r>
      <w:r>
        <w:rPr>
          <w:rFonts w:ascii="Arial" w:cs="Arial" w:eastAsia="Arial" w:hAnsi="Arial"/>
          <w:sz w:val="16"/>
          <w:szCs w:val="16"/>
          <w:color w:val="FF0000"/>
        </w:rPr>
        <w:t xml:space="preserve"> </w:t>
      </w:r>
      <w:r>
        <w:rPr>
          <w:rFonts w:ascii="Arial" w:cs="Arial" w:eastAsia="Arial" w:hAnsi="Arial"/>
          <w:sz w:val="16"/>
          <w:szCs w:val="16"/>
          <w:color w:val="010101"/>
        </w:rPr>
        <w:t>shall become effective as of</w:t>
      </w:r>
      <w:r>
        <w:rPr>
          <w:rFonts w:ascii="Arial" w:cs="Arial" w:eastAsia="Arial" w:hAnsi="Arial"/>
          <w:sz w:val="16"/>
          <w:szCs w:val="16"/>
          <w:color w:val="FF0000"/>
        </w:rPr>
        <w:t xml:space="preserve"> </w:t>
      </w:r>
      <w:r>
        <w:rPr>
          <w:rFonts w:ascii="Arial" w:cs="Arial" w:eastAsia="Arial" w:hAnsi="Arial"/>
          <w:sz w:val="16"/>
          <w:szCs w:val="16"/>
          <w:color w:val="FF0000"/>
          <w:strike w:val="1"/>
        </w:rPr>
        <w:t>such</w:t>
      </w:r>
      <w:r>
        <w:rPr>
          <w:rFonts w:ascii="Arial" w:cs="Arial" w:eastAsia="Arial" w:hAnsi="Arial"/>
          <w:sz w:val="16"/>
          <w:szCs w:val="16"/>
          <w:b w:val="1"/>
          <w:bCs w:val="1"/>
          <w:u w:val="single" w:color="auto"/>
          <w:color w:val="0000FF"/>
        </w:rPr>
        <w:t>the</w:t>
      </w:r>
      <w:r>
        <w:rPr>
          <w:rFonts w:ascii="Arial" w:cs="Arial" w:eastAsia="Arial" w:hAnsi="Arial"/>
          <w:sz w:val="16"/>
          <w:szCs w:val="16"/>
          <w:color w:val="FF0000"/>
        </w:rPr>
        <w:t xml:space="preserve"> </w:t>
      </w:r>
      <w:r>
        <w:rPr>
          <w:rFonts w:ascii="Arial" w:cs="Arial" w:eastAsia="Arial" w:hAnsi="Arial"/>
          <w:sz w:val="16"/>
          <w:szCs w:val="16"/>
          <w:color w:val="010101"/>
        </w:rPr>
        <w:t>Revaluation</w:t>
      </w:r>
      <w:r>
        <w:rPr>
          <w:rFonts w:ascii="Arial" w:cs="Arial" w:eastAsia="Arial" w:hAnsi="Arial"/>
          <w:sz w:val="16"/>
          <w:szCs w:val="16"/>
          <w:color w:val="FF0000"/>
        </w:rPr>
        <w:t xml:space="preserve"> </w:t>
      </w:r>
      <w:r>
        <w:rPr>
          <w:rFonts w:ascii="Arial" w:cs="Arial" w:eastAsia="Arial" w:hAnsi="Arial"/>
          <w:sz w:val="16"/>
          <w:szCs w:val="16"/>
          <w:color w:val="010101"/>
        </w:rPr>
        <w:t xml:space="preserve">Date and shall be the </w:t>
      </w:r>
      <w:r>
        <w:rPr>
          <w:rFonts w:ascii="Arial" w:cs="Arial" w:eastAsia="Arial" w:hAnsi="Arial"/>
          <w:sz w:val="16"/>
          <w:szCs w:val="16"/>
          <w:color w:val="FF0000"/>
          <w:strike w:val="1"/>
        </w:rPr>
        <w:t>Spot Rate employed in converting any</w:t>
      </w:r>
      <w:r>
        <w:rPr>
          <w:rFonts w:ascii="Arial" w:cs="Arial" w:eastAsia="Arial" w:hAnsi="Arial"/>
          <w:sz w:val="16"/>
          <w:szCs w:val="16"/>
          <w:b w:val="1"/>
          <w:bCs w:val="1"/>
          <w:u w:val="single" w:color="auto"/>
          <w:color w:val="0000FF"/>
        </w:rPr>
        <w:t>Dolla</w:t>
      </w:r>
      <w:r>
        <w:rPr>
          <w:rFonts w:ascii="Arial" w:cs="Arial" w:eastAsia="Arial" w:hAnsi="Arial"/>
          <w:sz w:val="16"/>
          <w:szCs w:val="16"/>
          <w:b w:val="1"/>
          <w:bCs w:val="1"/>
          <w:color w:val="0000FF"/>
        </w:rPr>
        <w:t>r E</w:t>
      </w:r>
      <w:r>
        <w:rPr>
          <w:rFonts w:ascii="Arial" w:cs="Arial" w:eastAsia="Arial" w:hAnsi="Arial"/>
          <w:sz w:val="16"/>
          <w:szCs w:val="16"/>
          <w:b w:val="1"/>
          <w:bCs w:val="1"/>
          <w:u w:val="single" w:color="auto"/>
          <w:color w:val="0000FF"/>
        </w:rPr>
        <w:t>quivalen</w:t>
      </w:r>
      <w:r>
        <w:rPr>
          <w:rFonts w:ascii="Arial" w:cs="Arial" w:eastAsia="Arial" w:hAnsi="Arial"/>
          <w:sz w:val="16"/>
          <w:szCs w:val="16"/>
          <w:b w:val="1"/>
          <w:bCs w:val="1"/>
          <w:color w:val="0000FF"/>
        </w:rPr>
        <w:t>t of such</w:t>
      </w:r>
      <w:r>
        <w:rPr>
          <w:rFonts w:ascii="Arial" w:cs="Arial" w:eastAsia="Arial" w:hAnsi="Arial"/>
          <w:sz w:val="16"/>
          <w:szCs w:val="16"/>
          <w:color w:val="010101"/>
        </w:rPr>
        <w:t xml:space="preserve"> amounts </w:t>
      </w:r>
      <w:r>
        <w:rPr>
          <w:rFonts w:ascii="Arial" w:cs="Arial" w:eastAsia="Arial" w:hAnsi="Arial"/>
          <w:sz w:val="16"/>
          <w:szCs w:val="16"/>
          <w:color w:val="FF0000"/>
          <w:strike w:val="1"/>
        </w:rPr>
        <w:t>between the applicable Currencies</w:t>
      </w:r>
      <w:r>
        <w:rPr>
          <w:rFonts w:ascii="Arial" w:cs="Arial" w:eastAsia="Arial" w:hAnsi="Arial"/>
          <w:sz w:val="16"/>
          <w:szCs w:val="16"/>
          <w:color w:val="010101"/>
        </w:rPr>
        <w:t xml:space="preserve"> until the next Revaluation Date to occur. </w:t>
      </w:r>
      <w:r>
        <w:rPr>
          <w:rFonts w:ascii="Arial" w:cs="Arial" w:eastAsia="Arial" w:hAnsi="Arial"/>
          <w:sz w:val="16"/>
          <w:szCs w:val="16"/>
          <w:b w:val="1"/>
          <w:bCs w:val="1"/>
          <w:u w:val="single" w:color="auto"/>
          <w:color w:val="0000FF"/>
        </w:rPr>
        <w:t>Excep</w:t>
      </w:r>
      <w:r>
        <w:rPr>
          <w:rFonts w:ascii="Arial" w:cs="Arial" w:eastAsia="Arial" w:hAnsi="Arial"/>
          <w:sz w:val="16"/>
          <w:szCs w:val="16"/>
          <w:b w:val="1"/>
          <w:bCs w:val="1"/>
          <w:color w:val="0000FF"/>
        </w:rPr>
        <w:t>t</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fo</w:t>
      </w:r>
      <w:r>
        <w:rPr>
          <w:rFonts w:ascii="Arial" w:cs="Arial" w:eastAsia="Arial" w:hAnsi="Arial"/>
          <w:sz w:val="16"/>
          <w:szCs w:val="16"/>
          <w:b w:val="1"/>
          <w:bCs w:val="1"/>
          <w:color w:val="0000FF"/>
        </w:rPr>
        <w:t>r</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purpose</w:t>
      </w:r>
      <w:r>
        <w:rPr>
          <w:rFonts w:ascii="Arial" w:cs="Arial" w:eastAsia="Arial" w:hAnsi="Arial"/>
          <w:sz w:val="16"/>
          <w:szCs w:val="16"/>
          <w:b w:val="1"/>
          <w:bCs w:val="1"/>
          <w:color w:val="0000FF"/>
        </w:rPr>
        <w:t>s</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f</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financia</w:t>
      </w:r>
      <w:r>
        <w:rPr>
          <w:rFonts w:ascii="Arial" w:cs="Arial" w:eastAsia="Arial" w:hAnsi="Arial"/>
          <w:sz w:val="16"/>
          <w:szCs w:val="16"/>
          <w:b w:val="1"/>
          <w:bCs w:val="1"/>
          <w:color w:val="0000FF"/>
        </w:rPr>
        <w:t>l</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statement</w:t>
      </w:r>
      <w:r>
        <w:rPr>
          <w:rFonts w:ascii="Arial" w:cs="Arial" w:eastAsia="Arial" w:hAnsi="Arial"/>
          <w:sz w:val="16"/>
          <w:szCs w:val="16"/>
          <w:b w:val="1"/>
          <w:bCs w:val="1"/>
          <w:color w:val="0000FF"/>
        </w:rPr>
        <w:t>s</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delivere</w:t>
      </w:r>
      <w:r>
        <w:rPr>
          <w:rFonts w:ascii="Arial" w:cs="Arial" w:eastAsia="Arial" w:hAnsi="Arial"/>
          <w:sz w:val="16"/>
          <w:szCs w:val="16"/>
          <w:b w:val="1"/>
          <w:bCs w:val="1"/>
          <w:color w:val="0000FF"/>
        </w:rPr>
        <w:t>d</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y the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Company hereunder or calculating financial covenants hereunder or except as otherwise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provided herein, the applicable amount of any Currency (other than US Dollars) for purposes of the Loan Documents shall be such Dollar Equivalent amount as so determined b</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Administrativ</w:t>
      </w:r>
      <w:r>
        <w:rPr>
          <w:rFonts w:ascii="Arial" w:cs="Arial" w:eastAsia="Arial" w:hAnsi="Arial"/>
          <w:sz w:val="16"/>
          <w:szCs w:val="16"/>
          <w:b w:val="1"/>
          <w:bCs w:val="1"/>
          <w:color w:val="0000FF"/>
        </w:rPr>
        <w:t>e Agent.</w:t>
      </w:r>
    </w:p>
    <w:p>
      <w:pPr>
        <w:spacing w:after="0" w:line="144" w:lineRule="exact"/>
        <w:rPr>
          <w:rFonts w:ascii="Arial" w:cs="Arial" w:eastAsia="Arial" w:hAnsi="Arial"/>
          <w:sz w:val="16"/>
          <w:szCs w:val="16"/>
          <w:b w:val="1"/>
          <w:bCs w:val="1"/>
          <w:color w:val="auto"/>
        </w:rPr>
      </w:pPr>
    </w:p>
    <w:p>
      <w:pPr>
        <w:ind w:left="20" w:right="20" w:firstLine="487"/>
        <w:spacing w:after="0" w:line="244" w:lineRule="auto"/>
        <w:tabs>
          <w:tab w:leader="none" w:pos="909" w:val="left"/>
        </w:tabs>
        <w:numPr>
          <w:ilvl w:val="0"/>
          <w:numId w:val="53"/>
        </w:numPr>
        <w:rPr>
          <w:rFonts w:ascii="Arial" w:cs="Arial" w:eastAsia="Arial" w:hAnsi="Arial"/>
          <w:sz w:val="16"/>
          <w:szCs w:val="16"/>
          <w:color w:val="auto"/>
        </w:rPr>
      </w:pPr>
      <w:r>
        <w:rPr>
          <w:rFonts w:ascii="Arial" w:cs="Arial" w:eastAsia="Arial" w:hAnsi="Arial"/>
          <w:sz w:val="16"/>
          <w:szCs w:val="16"/>
          <w:color w:val="010101"/>
        </w:rPr>
        <w:t xml:space="preserve">Wherever in this Agreement, in connection with any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 any conversion, continuation or prepayment of </w:t>
      </w:r>
      <w:r>
        <w:rPr>
          <w:rFonts w:ascii="Arial" w:cs="Arial" w:eastAsia="Arial" w:hAnsi="Arial"/>
          <w:sz w:val="16"/>
          <w:szCs w:val="16"/>
          <w:color w:val="FF0000"/>
          <w:strike w:val="1"/>
        </w:rPr>
        <w:t>an</w:t>
      </w:r>
      <w:r>
        <w:rPr>
          <w:rFonts w:ascii="Arial" w:cs="Arial" w:eastAsia="Arial" w:hAnsi="Arial"/>
          <w:sz w:val="16"/>
          <w:szCs w:val="16"/>
          <w:b w:val="1"/>
          <w:bCs w:val="1"/>
          <w:u w:val="single" w:color="auto"/>
          <w:color w:val="0000FF"/>
        </w:rPr>
        <w:t>a Revolving</w:t>
      </w:r>
      <w:r>
        <w:rPr>
          <w:rFonts w:ascii="Arial" w:cs="Arial" w:eastAsia="Arial" w:hAnsi="Arial"/>
          <w:sz w:val="16"/>
          <w:szCs w:val="16"/>
          <w:color w:val="010101"/>
        </w:rPr>
        <w:t xml:space="preserve"> Advance or the issuance, amendment or extension of a Letter of Credit, an amount, such as a required minimum or multiple amount,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-1006475</wp:posOffset>
            </wp:positionV>
            <wp:extent cx="385318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853180" cy="63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03" w:name="page104"/>
    <w:bookmarkEnd w:id="103"/>
    <w:p>
      <w:pPr>
        <w:jc w:val="both"/>
        <w:ind w:left="20" w:right="20"/>
        <w:spacing w:after="0" w:line="231" w:lineRule="auto"/>
        <w:rPr>
          <w:sz w:val="20"/>
          <w:szCs w:val="20"/>
          <w:color w:val="auto"/>
        </w:rPr>
      </w:pPr>
      <w:r>
        <w:rPr>
          <w:rFonts w:ascii="Arial" w:cs="Arial" w:eastAsia="Arial" w:hAnsi="Arial"/>
          <w:sz w:val="16"/>
          <w:szCs w:val="16"/>
          <w:color w:val="010101"/>
        </w:rPr>
        <w:t xml:space="preserve">expressed in US Dollars, but such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suc</w:t>
      </w:r>
      <w:r>
        <w:rPr>
          <w:rFonts w:ascii="Arial" w:cs="Arial" w:eastAsia="Arial" w:hAnsi="Arial"/>
          <w:sz w:val="16"/>
          <w:szCs w:val="16"/>
          <w:b w:val="1"/>
          <w:bCs w:val="1"/>
          <w:color w:val="0000FF"/>
        </w:rPr>
        <w:t>h</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Lette</w:t>
      </w:r>
      <w:r>
        <w:rPr>
          <w:rFonts w:ascii="Arial" w:cs="Arial" w:eastAsia="Arial" w:hAnsi="Arial"/>
          <w:sz w:val="16"/>
          <w:szCs w:val="16"/>
          <w:b w:val="1"/>
          <w:bCs w:val="1"/>
          <w:color w:val="0000FF"/>
        </w:rPr>
        <w:t>r</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f Credit</w:t>
      </w:r>
      <w:r>
        <w:rPr>
          <w:rFonts w:ascii="Arial" w:cs="Arial" w:eastAsia="Arial" w:hAnsi="Arial"/>
          <w:sz w:val="16"/>
          <w:szCs w:val="16"/>
          <w:color w:val="010101"/>
        </w:rPr>
        <w:t xml:space="preserve"> is denominated in a Foreign Currency, such amount shall be the relevant Foreign Currency Equivalent </w:t>
      </w:r>
      <w:r>
        <w:rPr>
          <w:rFonts w:ascii="Arial" w:cs="Arial" w:eastAsia="Arial" w:hAnsi="Arial"/>
          <w:sz w:val="16"/>
          <w:szCs w:val="16"/>
          <w:b w:val="1"/>
          <w:bCs w:val="1"/>
          <w:u w:val="single" w:color="auto"/>
          <w:color w:val="0000FF"/>
        </w:rPr>
        <w:t>of such US Dollar amount (rounded to the nearest unit of such Foreign Currency, with 0.5 of a unit bein</w:t>
      </w:r>
      <w:r>
        <w:rPr>
          <w:rFonts w:ascii="Arial" w:cs="Arial" w:eastAsia="Arial" w:hAnsi="Arial"/>
          <w:sz w:val="16"/>
          <w:szCs w:val="16"/>
          <w:b w:val="1"/>
          <w:bCs w:val="1"/>
          <w:color w:val="0000FF"/>
        </w:rPr>
        <w:t>g</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rounde</w:t>
      </w:r>
      <w:r>
        <w:rPr>
          <w:rFonts w:ascii="Arial" w:cs="Arial" w:eastAsia="Arial" w:hAnsi="Arial"/>
          <w:sz w:val="16"/>
          <w:szCs w:val="16"/>
          <w:b w:val="1"/>
          <w:bCs w:val="1"/>
          <w:color w:val="0000FF"/>
        </w:rPr>
        <w:t>d upward)</w:t>
      </w:r>
      <w:r>
        <w:rPr>
          <w:rFonts w:ascii="Arial" w:cs="Arial" w:eastAsia="Arial" w:hAnsi="Arial"/>
          <w:sz w:val="16"/>
          <w:szCs w:val="16"/>
          <w:color w:val="010101"/>
        </w:rPr>
        <w:t>, as reasonably determined by the Administrative Agent.</w:t>
      </w:r>
    </w:p>
    <w:p>
      <w:pPr>
        <w:spacing w:after="0" w:line="150" w:lineRule="exact"/>
        <w:rPr>
          <w:sz w:val="20"/>
          <w:szCs w:val="20"/>
          <w:color w:val="auto"/>
        </w:rPr>
      </w:pPr>
    </w:p>
    <w:p>
      <w:pPr>
        <w:ind w:left="20" w:right="40" w:firstLine="487"/>
        <w:spacing w:after="0" w:line="239" w:lineRule="auto"/>
        <w:tabs>
          <w:tab w:leader="none" w:pos="910" w:val="left"/>
        </w:tabs>
        <w:numPr>
          <w:ilvl w:val="0"/>
          <w:numId w:val="54"/>
        </w:numPr>
        <w:rPr>
          <w:rFonts w:ascii="Arial" w:cs="Arial" w:eastAsia="Arial" w:hAnsi="Arial"/>
          <w:sz w:val="16"/>
          <w:szCs w:val="16"/>
          <w:color w:val="auto"/>
        </w:rPr>
      </w:pPr>
      <w:r>
        <w:rPr>
          <w:rFonts w:ascii="Arial" w:cs="Arial" w:eastAsia="Arial" w:hAnsi="Arial"/>
          <w:sz w:val="16"/>
          <w:szCs w:val="16"/>
          <w:color w:val="010101"/>
        </w:rPr>
        <w:t>Wherever in this Agreement an amount is expressed in US Dollars, it shall be deemed to refer to the Dollar Equivalent or Foreign Currency Equivalent thereof, as applicable.</w:t>
      </w:r>
    </w:p>
    <w:p>
      <w:pPr>
        <w:spacing w:after="0" w:line="148" w:lineRule="exact"/>
        <w:rPr>
          <w:rFonts w:ascii="Arial" w:cs="Arial" w:eastAsia="Arial" w:hAnsi="Arial"/>
          <w:sz w:val="16"/>
          <w:szCs w:val="16"/>
          <w:color w:val="auto"/>
        </w:rPr>
      </w:pPr>
    </w:p>
    <w:p>
      <w:pPr>
        <w:ind w:left="920" w:hanging="413"/>
        <w:spacing w:after="0"/>
        <w:tabs>
          <w:tab w:leader="none" w:pos="920" w:val="left"/>
        </w:tabs>
        <w:numPr>
          <w:ilvl w:val="0"/>
          <w:numId w:val="54"/>
        </w:numPr>
        <w:rPr>
          <w:rFonts w:ascii="Arial" w:cs="Arial" w:eastAsia="Arial" w:hAnsi="Arial"/>
          <w:sz w:val="16"/>
          <w:szCs w:val="16"/>
          <w:color w:val="auto"/>
        </w:rPr>
      </w:pPr>
      <w:r>
        <w:rPr>
          <w:rFonts w:ascii="Arial" w:cs="Arial" w:eastAsia="Arial" w:hAnsi="Arial"/>
          <w:sz w:val="16"/>
          <w:szCs w:val="16"/>
          <w:color w:val="010101"/>
        </w:rPr>
        <w:t>Determinations by the Administrative Agent pursuant to this Section 1.05 shall be conclusive absent demonstrable error.</w:t>
      </w:r>
    </w:p>
    <w:p>
      <w:pPr>
        <w:spacing w:after="0" w:line="159" w:lineRule="exact"/>
        <w:rPr>
          <w:rFonts w:ascii="Arial" w:cs="Arial" w:eastAsia="Arial" w:hAnsi="Arial"/>
          <w:sz w:val="16"/>
          <w:szCs w:val="16"/>
          <w:color w:val="auto"/>
        </w:rPr>
      </w:pPr>
    </w:p>
    <w:p>
      <w:pPr>
        <w:jc w:val="both"/>
        <w:ind w:left="20" w:right="20" w:firstLine="487"/>
        <w:spacing w:after="0" w:line="225" w:lineRule="auto"/>
        <w:tabs>
          <w:tab w:leader="none" w:pos="909" w:val="left"/>
        </w:tabs>
        <w:numPr>
          <w:ilvl w:val="0"/>
          <w:numId w:val="54"/>
        </w:numPr>
        <w:rPr>
          <w:rFonts w:ascii="Arial" w:cs="Arial" w:eastAsia="Arial" w:hAnsi="Arial"/>
          <w:sz w:val="16"/>
          <w:szCs w:val="16"/>
          <w:color w:val="auto"/>
        </w:rPr>
      </w:pPr>
      <w:r>
        <w:rPr>
          <w:rFonts w:ascii="Arial" w:cs="Arial" w:eastAsia="Arial" w:hAnsi="Arial"/>
          <w:sz w:val="16"/>
          <w:szCs w:val="16"/>
          <w:color w:val="010101"/>
        </w:rPr>
        <w:t>Subject to the provisions of Section 9.16, each provision in this Agreement relating to payments to be made by any Borrower on account of principal, interest and fees which requires payment in US Dollars, shall be deemed to mean (i) in the case of Advances, Letters of Credit or other amounts denominated in US Dollars, payment in US Dollars, and (ii) in the case of Advances, Letters of Credit or other amounts denominated in a Foreign Currency, payment in such Foreign Currency.</w:t>
      </w:r>
    </w:p>
    <w:p>
      <w:pPr>
        <w:spacing w:after="0" w:line="144" w:lineRule="exact"/>
        <w:rPr>
          <w:rFonts w:ascii="Arial" w:cs="Arial" w:eastAsia="Arial" w:hAnsi="Arial"/>
          <w:sz w:val="16"/>
          <w:szCs w:val="16"/>
          <w:color w:val="auto"/>
        </w:rPr>
      </w:pPr>
    </w:p>
    <w:p>
      <w:pPr>
        <w:jc w:val="both"/>
        <w:ind w:left="20" w:right="40" w:firstLine="487"/>
        <w:spacing w:after="0" w:line="231" w:lineRule="auto"/>
        <w:tabs>
          <w:tab w:leader="none" w:pos="909" w:val="left"/>
        </w:tabs>
        <w:numPr>
          <w:ilvl w:val="0"/>
          <w:numId w:val="54"/>
        </w:numPr>
        <w:rPr>
          <w:rFonts w:ascii="Arial" w:cs="Arial" w:eastAsia="Arial" w:hAnsi="Arial"/>
          <w:sz w:val="16"/>
          <w:szCs w:val="16"/>
          <w:b w:val="1"/>
          <w:bCs w:val="1"/>
          <w:color w:val="0000FF"/>
        </w:rPr>
      </w:pPr>
      <w:r>
        <w:rPr>
          <w:rFonts w:ascii="Arial" w:cs="Arial" w:eastAsia="Arial" w:hAnsi="Arial"/>
          <w:sz w:val="16"/>
          <w:szCs w:val="16"/>
          <w:b w:val="1"/>
          <w:bCs w:val="1"/>
          <w:u w:val="single" w:color="auto"/>
          <w:color w:val="0000FF"/>
        </w:rPr>
        <w:t>Notwithstandin</w:t>
      </w:r>
      <w:r>
        <w:rPr>
          <w:rFonts w:ascii="Arial" w:cs="Arial" w:eastAsia="Arial" w:hAnsi="Arial"/>
          <w:sz w:val="16"/>
          <w:szCs w:val="16"/>
          <w:b w:val="1"/>
          <w:bCs w:val="1"/>
          <w:color w:val="0000FF"/>
        </w:rPr>
        <w:t>g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f</w:t>
      </w:r>
      <w:r>
        <w:rPr>
          <w:rFonts w:ascii="Arial" w:cs="Arial" w:eastAsia="Arial" w:hAnsi="Arial"/>
          <w:sz w:val="16"/>
          <w:szCs w:val="16"/>
          <w:b w:val="1"/>
          <w:bCs w:val="1"/>
          <w:u w:val="single" w:color="auto"/>
          <w:color w:val="0000FF"/>
        </w:rPr>
        <w:t>oregoin</w:t>
      </w:r>
      <w:r>
        <w:rPr>
          <w:rFonts w:ascii="Arial" w:cs="Arial" w:eastAsia="Arial" w:hAnsi="Arial"/>
          <w:sz w:val="16"/>
          <w:szCs w:val="16"/>
          <w:b w:val="1"/>
          <w:bCs w:val="1"/>
          <w:color w:val="0000FF"/>
        </w:rPr>
        <w:t>g p</w:t>
      </w:r>
      <w:r>
        <w:rPr>
          <w:rFonts w:ascii="Arial" w:cs="Arial" w:eastAsia="Arial" w:hAnsi="Arial"/>
          <w:sz w:val="16"/>
          <w:szCs w:val="16"/>
          <w:b w:val="1"/>
          <w:bCs w:val="1"/>
          <w:u w:val="single" w:color="auto"/>
          <w:color w:val="0000FF"/>
        </w:rPr>
        <w:t>rovision</w:t>
      </w:r>
      <w:r>
        <w:rPr>
          <w:rFonts w:ascii="Arial" w:cs="Arial" w:eastAsia="Arial" w:hAnsi="Arial"/>
          <w:sz w:val="16"/>
          <w:szCs w:val="16"/>
          <w:b w:val="1"/>
          <w:bCs w:val="1"/>
          <w:color w:val="0000FF"/>
        </w:rPr>
        <w:t>s of t</w:t>
      </w:r>
      <w:r>
        <w:rPr>
          <w:rFonts w:ascii="Arial" w:cs="Arial" w:eastAsia="Arial" w:hAnsi="Arial"/>
          <w:sz w:val="16"/>
          <w:szCs w:val="16"/>
          <w:b w:val="1"/>
          <w:bCs w:val="1"/>
          <w:u w:val="single" w:color="auto"/>
          <w:color w:val="0000FF"/>
        </w:rPr>
        <w:t>hi</w:t>
      </w:r>
      <w:r>
        <w:rPr>
          <w:rFonts w:ascii="Arial" w:cs="Arial" w:eastAsia="Arial" w:hAnsi="Arial"/>
          <w:sz w:val="16"/>
          <w:szCs w:val="16"/>
          <w:b w:val="1"/>
          <w:bCs w:val="1"/>
          <w:color w:val="0000FF"/>
        </w:rPr>
        <w:t>s S</w:t>
      </w:r>
      <w:r>
        <w:rPr>
          <w:rFonts w:ascii="Arial" w:cs="Arial" w:eastAsia="Arial" w:hAnsi="Arial"/>
          <w:sz w:val="16"/>
          <w:szCs w:val="16"/>
          <w:b w:val="1"/>
          <w:bCs w:val="1"/>
          <w:u w:val="single" w:color="auto"/>
          <w:color w:val="0000FF"/>
        </w:rPr>
        <w:t>ectio</w:t>
      </w:r>
      <w:r>
        <w:rPr>
          <w:rFonts w:ascii="Arial" w:cs="Arial" w:eastAsia="Arial" w:hAnsi="Arial"/>
          <w:sz w:val="16"/>
          <w:szCs w:val="16"/>
          <w:b w:val="1"/>
          <w:bCs w:val="1"/>
          <w:color w:val="0000FF"/>
        </w:rPr>
        <w:t>n 1</w:t>
      </w:r>
      <w:r>
        <w:rPr>
          <w:rFonts w:ascii="Arial" w:cs="Arial" w:eastAsia="Arial" w:hAnsi="Arial"/>
          <w:sz w:val="16"/>
          <w:szCs w:val="16"/>
          <w:b w:val="1"/>
          <w:bCs w:val="1"/>
          <w:u w:val="single" w:color="auto"/>
          <w:color w:val="0000FF"/>
        </w:rPr>
        <w:t>.0</w:t>
      </w:r>
      <w:r>
        <w:rPr>
          <w:rFonts w:ascii="Arial" w:cs="Arial" w:eastAsia="Arial" w:hAnsi="Arial"/>
          <w:sz w:val="16"/>
          <w:szCs w:val="16"/>
          <w:b w:val="1"/>
          <w:bCs w:val="1"/>
          <w:color w:val="0000FF"/>
        </w:rPr>
        <w:t>5 or a</w:t>
      </w:r>
      <w:r>
        <w:rPr>
          <w:rFonts w:ascii="Arial" w:cs="Arial" w:eastAsia="Arial" w:hAnsi="Arial"/>
          <w:sz w:val="16"/>
          <w:szCs w:val="16"/>
          <w:b w:val="1"/>
          <w:bCs w:val="1"/>
          <w:u w:val="single" w:color="auto"/>
          <w:color w:val="0000FF"/>
        </w:rPr>
        <w:t>n</w:t>
      </w:r>
      <w:r>
        <w:rPr>
          <w:rFonts w:ascii="Arial" w:cs="Arial" w:eastAsia="Arial" w:hAnsi="Arial"/>
          <w:sz w:val="16"/>
          <w:szCs w:val="16"/>
          <w:b w:val="1"/>
          <w:bCs w:val="1"/>
          <w:color w:val="0000FF"/>
        </w:rPr>
        <w:t xml:space="preserve">y other </w:t>
      </w:r>
      <w:r>
        <w:rPr>
          <w:rFonts w:ascii="Arial" w:cs="Arial" w:eastAsia="Arial" w:hAnsi="Arial"/>
          <w:sz w:val="16"/>
          <w:szCs w:val="16"/>
          <w:b w:val="1"/>
          <w:bCs w:val="1"/>
          <w:u w:val="single" w:color="auto"/>
          <w:color w:val="0000FF"/>
        </w:rPr>
        <w:t>provision of this Agreement, each Issuing Lender may compute the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Dollar Equivalent of the maximum amount of each applicable Letter of Credit issued by such Issuing Lender by reference to exchange rates determined using any reasonable method customarily employe</w:t>
      </w:r>
      <w:r>
        <w:rPr>
          <w:rFonts w:ascii="Arial" w:cs="Arial" w:eastAsia="Arial" w:hAnsi="Arial"/>
          <w:sz w:val="16"/>
          <w:szCs w:val="16"/>
          <w:b w:val="1"/>
          <w:bCs w:val="1"/>
          <w:color w:val="0000FF"/>
        </w:rPr>
        <w:t xml:space="preserve">d </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suc</w:t>
      </w:r>
      <w:r>
        <w:rPr>
          <w:rFonts w:ascii="Arial" w:cs="Arial" w:eastAsia="Arial" w:hAnsi="Arial"/>
          <w:sz w:val="16"/>
          <w:szCs w:val="16"/>
          <w:b w:val="1"/>
          <w:bCs w:val="1"/>
          <w:color w:val="0000FF"/>
        </w:rPr>
        <w:t xml:space="preserve">h </w:t>
      </w:r>
      <w:r>
        <w:rPr>
          <w:rFonts w:ascii="Arial" w:cs="Arial" w:eastAsia="Arial" w:hAnsi="Arial"/>
          <w:sz w:val="16"/>
          <w:szCs w:val="16"/>
          <w:b w:val="1"/>
          <w:bCs w:val="1"/>
          <w:u w:val="single" w:color="auto"/>
          <w:color w:val="0000FF"/>
        </w:rPr>
        <w:t>Issuin</w:t>
      </w:r>
      <w:r>
        <w:rPr>
          <w:rFonts w:ascii="Arial" w:cs="Arial" w:eastAsia="Arial" w:hAnsi="Arial"/>
          <w:sz w:val="16"/>
          <w:szCs w:val="16"/>
          <w:b w:val="1"/>
          <w:bCs w:val="1"/>
          <w:color w:val="0000FF"/>
        </w:rPr>
        <w:t xml:space="preserve">g </w:t>
      </w:r>
      <w:r>
        <w:rPr>
          <w:rFonts w:ascii="Arial" w:cs="Arial" w:eastAsia="Arial" w:hAnsi="Arial"/>
          <w:sz w:val="16"/>
          <w:szCs w:val="16"/>
          <w:b w:val="1"/>
          <w:bCs w:val="1"/>
          <w:u w:val="single" w:color="auto"/>
          <w:color w:val="0000FF"/>
        </w:rPr>
        <w:t>Lende</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fo</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suc</w:t>
      </w:r>
      <w:r>
        <w:rPr>
          <w:rFonts w:ascii="Arial" w:cs="Arial" w:eastAsia="Arial" w:hAnsi="Arial"/>
          <w:sz w:val="16"/>
          <w:szCs w:val="16"/>
          <w:b w:val="1"/>
          <w:bCs w:val="1"/>
          <w:color w:val="0000FF"/>
        </w:rPr>
        <w:t>h purpose.</w:t>
      </w:r>
    </w:p>
    <w:p>
      <w:pPr>
        <w:spacing w:after="0" w:line="145" w:lineRule="exact"/>
        <w:rPr>
          <w:rFonts w:ascii="Arial" w:cs="Arial" w:eastAsia="Arial" w:hAnsi="Arial"/>
          <w:sz w:val="16"/>
          <w:szCs w:val="16"/>
          <w:b w:val="1"/>
          <w:bCs w:val="1"/>
          <w:color w:val="0000FF"/>
        </w:rPr>
      </w:pPr>
    </w:p>
    <w:p>
      <w:pPr>
        <w:jc w:val="both"/>
        <w:ind w:left="20" w:right="40" w:firstLine="487"/>
        <w:spacing w:after="0" w:line="226" w:lineRule="auto"/>
        <w:tabs>
          <w:tab w:leader="none" w:pos="909" w:val="left"/>
        </w:tabs>
        <w:numPr>
          <w:ilvl w:val="0"/>
          <w:numId w:val="54"/>
        </w:numPr>
        <w:rPr>
          <w:rFonts w:ascii="Arial" w:cs="Arial" w:eastAsia="Arial" w:hAnsi="Arial"/>
          <w:sz w:val="16"/>
          <w:szCs w:val="16"/>
          <w:b w:val="1"/>
          <w:bCs w:val="1"/>
          <w:color w:val="0000FF"/>
        </w:rPr>
      </w:pPr>
      <w:r>
        <w:rPr>
          <w:rFonts w:ascii="Arial" w:cs="Arial" w:eastAsia="Arial" w:hAnsi="Arial"/>
          <w:sz w:val="16"/>
          <w:szCs w:val="16"/>
          <w:b w:val="1"/>
          <w:bCs w:val="1"/>
          <w:u w:val="single" w:color="auto"/>
          <w:color w:val="0000FF"/>
        </w:rPr>
        <w:t>Notwithstandin</w:t>
      </w:r>
      <w:r>
        <w:rPr>
          <w:rFonts w:ascii="Arial" w:cs="Arial" w:eastAsia="Arial" w:hAnsi="Arial"/>
          <w:sz w:val="16"/>
          <w:szCs w:val="16"/>
          <w:b w:val="1"/>
          <w:bCs w:val="1"/>
          <w:color w:val="0000FF"/>
        </w:rPr>
        <w:t>g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f</w:t>
      </w:r>
      <w:r>
        <w:rPr>
          <w:rFonts w:ascii="Arial" w:cs="Arial" w:eastAsia="Arial" w:hAnsi="Arial"/>
          <w:sz w:val="16"/>
          <w:szCs w:val="16"/>
          <w:b w:val="1"/>
          <w:bCs w:val="1"/>
          <w:u w:val="single" w:color="auto"/>
          <w:color w:val="0000FF"/>
        </w:rPr>
        <w:t>oregoin</w:t>
      </w:r>
      <w:r>
        <w:rPr>
          <w:rFonts w:ascii="Arial" w:cs="Arial" w:eastAsia="Arial" w:hAnsi="Arial"/>
          <w:sz w:val="16"/>
          <w:szCs w:val="16"/>
          <w:b w:val="1"/>
          <w:bCs w:val="1"/>
          <w:color w:val="0000FF"/>
        </w:rPr>
        <w:t>g p</w:t>
      </w:r>
      <w:r>
        <w:rPr>
          <w:rFonts w:ascii="Arial" w:cs="Arial" w:eastAsia="Arial" w:hAnsi="Arial"/>
          <w:sz w:val="16"/>
          <w:szCs w:val="16"/>
          <w:b w:val="1"/>
          <w:bCs w:val="1"/>
          <w:u w:val="single" w:color="auto"/>
          <w:color w:val="0000FF"/>
        </w:rPr>
        <w:t>rovision</w:t>
      </w:r>
      <w:r>
        <w:rPr>
          <w:rFonts w:ascii="Arial" w:cs="Arial" w:eastAsia="Arial" w:hAnsi="Arial"/>
          <w:sz w:val="16"/>
          <w:szCs w:val="16"/>
          <w:b w:val="1"/>
          <w:bCs w:val="1"/>
          <w:color w:val="0000FF"/>
        </w:rPr>
        <w:t>s of t</w:t>
      </w:r>
      <w:r>
        <w:rPr>
          <w:rFonts w:ascii="Arial" w:cs="Arial" w:eastAsia="Arial" w:hAnsi="Arial"/>
          <w:sz w:val="16"/>
          <w:szCs w:val="16"/>
          <w:b w:val="1"/>
          <w:bCs w:val="1"/>
          <w:u w:val="single" w:color="auto"/>
          <w:color w:val="0000FF"/>
        </w:rPr>
        <w:t>hi</w:t>
      </w:r>
      <w:r>
        <w:rPr>
          <w:rFonts w:ascii="Arial" w:cs="Arial" w:eastAsia="Arial" w:hAnsi="Arial"/>
          <w:sz w:val="16"/>
          <w:szCs w:val="16"/>
          <w:b w:val="1"/>
          <w:bCs w:val="1"/>
          <w:color w:val="0000FF"/>
        </w:rPr>
        <w:t>s S</w:t>
      </w:r>
      <w:r>
        <w:rPr>
          <w:rFonts w:ascii="Arial" w:cs="Arial" w:eastAsia="Arial" w:hAnsi="Arial"/>
          <w:sz w:val="16"/>
          <w:szCs w:val="16"/>
          <w:b w:val="1"/>
          <w:bCs w:val="1"/>
          <w:u w:val="single" w:color="auto"/>
          <w:color w:val="0000FF"/>
        </w:rPr>
        <w:t>ectio</w:t>
      </w:r>
      <w:r>
        <w:rPr>
          <w:rFonts w:ascii="Arial" w:cs="Arial" w:eastAsia="Arial" w:hAnsi="Arial"/>
          <w:sz w:val="16"/>
          <w:szCs w:val="16"/>
          <w:b w:val="1"/>
          <w:bCs w:val="1"/>
          <w:color w:val="0000FF"/>
        </w:rPr>
        <w:t>n 1</w:t>
      </w:r>
      <w:r>
        <w:rPr>
          <w:rFonts w:ascii="Arial" w:cs="Arial" w:eastAsia="Arial" w:hAnsi="Arial"/>
          <w:sz w:val="16"/>
          <w:szCs w:val="16"/>
          <w:b w:val="1"/>
          <w:bCs w:val="1"/>
          <w:u w:val="single" w:color="auto"/>
          <w:color w:val="0000FF"/>
        </w:rPr>
        <w:t>.0</w:t>
      </w:r>
      <w:r>
        <w:rPr>
          <w:rFonts w:ascii="Arial" w:cs="Arial" w:eastAsia="Arial" w:hAnsi="Arial"/>
          <w:sz w:val="16"/>
          <w:szCs w:val="16"/>
          <w:b w:val="1"/>
          <w:bCs w:val="1"/>
          <w:color w:val="0000FF"/>
        </w:rPr>
        <w:t>5 or a</w:t>
      </w:r>
      <w:r>
        <w:rPr>
          <w:rFonts w:ascii="Arial" w:cs="Arial" w:eastAsia="Arial" w:hAnsi="Arial"/>
          <w:sz w:val="16"/>
          <w:szCs w:val="16"/>
          <w:b w:val="1"/>
          <w:bCs w:val="1"/>
          <w:u w:val="single" w:color="auto"/>
          <w:color w:val="0000FF"/>
        </w:rPr>
        <w:t>n</w:t>
      </w:r>
      <w:r>
        <w:rPr>
          <w:rFonts w:ascii="Arial" w:cs="Arial" w:eastAsia="Arial" w:hAnsi="Arial"/>
          <w:sz w:val="16"/>
          <w:szCs w:val="16"/>
          <w:b w:val="1"/>
          <w:bCs w:val="1"/>
          <w:color w:val="0000FF"/>
        </w:rPr>
        <w:t xml:space="preserve">y other </w:t>
      </w:r>
      <w:r>
        <w:rPr>
          <w:rFonts w:ascii="Arial" w:cs="Arial" w:eastAsia="Arial" w:hAnsi="Arial"/>
          <w:sz w:val="16"/>
          <w:szCs w:val="16"/>
          <w:b w:val="1"/>
          <w:bCs w:val="1"/>
          <w:u w:val="single" w:color="auto"/>
          <w:color w:val="0000FF"/>
        </w:rPr>
        <w:t>provision of this Agreement, in connection with any Daily Simple RFR</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Advance in a Foreign Currency for a particular Borrower, the Spot Rate on each date of borrowing by such Borrower shall be the Spot Rate in effect as of the Revaluation Date applicable to the first borrowing of any such Daily Simple RFR Advance by such Borrower in such Foreign Currency (or, if applicable, any later Revaluation Date pursuant to clause (a)(iii) or (a)(iv) o</w:t>
      </w:r>
      <w:r>
        <w:rPr>
          <w:rFonts w:ascii="Arial" w:cs="Arial" w:eastAsia="Arial" w:hAnsi="Arial"/>
          <w:sz w:val="16"/>
          <w:szCs w:val="16"/>
          <w:b w:val="1"/>
          <w:bCs w:val="1"/>
          <w:color w:val="0000FF"/>
        </w:rPr>
        <w:t xml:space="preserve">f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definitio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f “</w:t>
      </w:r>
      <w:r>
        <w:rPr>
          <w:rFonts w:ascii="Arial" w:cs="Arial" w:eastAsia="Arial" w:hAnsi="Arial"/>
          <w:sz w:val="16"/>
          <w:szCs w:val="16"/>
          <w:b w:val="1"/>
          <w:bCs w:val="1"/>
          <w:u w:val="single" w:color="auto"/>
          <w:color w:val="0000FF"/>
        </w:rPr>
        <w:t>Revaluatio</w:t>
      </w:r>
      <w:r>
        <w:rPr>
          <w:rFonts w:ascii="Arial" w:cs="Arial" w:eastAsia="Arial" w:hAnsi="Arial"/>
          <w:sz w:val="16"/>
          <w:szCs w:val="16"/>
          <w:b w:val="1"/>
          <w:bCs w:val="1"/>
          <w:color w:val="0000FF"/>
        </w:rPr>
        <w:t>n Date”).</w:t>
      </w:r>
    </w:p>
    <w:p>
      <w:pPr>
        <w:spacing w:after="0" w:line="14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1.06.</w:t>
      </w:r>
      <w:r>
        <w:rPr>
          <w:sz w:val="20"/>
          <w:szCs w:val="20"/>
          <w:color w:val="auto"/>
        </w:rPr>
        <w:tab/>
      </w:r>
      <w:r>
        <w:rPr>
          <w:rFonts w:ascii="Arial" w:cs="Arial" w:eastAsia="Arial" w:hAnsi="Arial"/>
          <w:sz w:val="13"/>
          <w:szCs w:val="13"/>
          <w:u w:val="single" w:color="auto"/>
          <w:color w:val="010101"/>
        </w:rPr>
        <w:t>Rates</w:t>
      </w:r>
    </w:p>
    <w:p>
      <w:pPr>
        <w:spacing w:after="0" w:line="170" w:lineRule="exact"/>
        <w:rPr>
          <w:sz w:val="20"/>
          <w:szCs w:val="20"/>
          <w:color w:val="auto"/>
        </w:rPr>
      </w:pPr>
    </w:p>
    <w:p>
      <w:pPr>
        <w:jc w:val="both"/>
        <w:ind w:left="20" w:firstLine="487"/>
        <w:spacing w:after="0" w:line="232" w:lineRule="auto"/>
        <w:tabs>
          <w:tab w:leader="none" w:pos="584" w:val="left"/>
        </w:tabs>
        <w:numPr>
          <w:ilvl w:val="0"/>
          <w:numId w:val="55"/>
        </w:numPr>
        <w:rPr>
          <w:rFonts w:ascii="Arial" w:cs="Arial" w:eastAsia="Arial" w:hAnsi="Arial"/>
          <w:sz w:val="15"/>
          <w:szCs w:val="15"/>
          <w:color w:val="010101"/>
        </w:rPr>
      </w:pPr>
      <w:r>
        <w:rPr>
          <w:rFonts w:ascii="Arial" w:cs="Arial" w:eastAsia="Arial" w:hAnsi="Arial"/>
          <w:sz w:val="15"/>
          <w:szCs w:val="15"/>
          <w:color w:val="010101"/>
        </w:rPr>
        <w:t xml:space="preserve">The Administrative Agent does not warrant or accept any responsibility for, and shall not have any liability with respect to, (a) the continuation of, administration of, submission of, calculation of or any other matter related to the Term SOFR Reference Rate, Term SOFR, any Daily Simple RFR,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2.20(c), will be similar to, or produce the same value or economic equivalence of, or have the same volume or liquidity as, the Term SOFR Reference Rate, Term SOFR, any Daily Simple RFR, the Eurocurrency Rate, the Adjusted Eurocurrency Rate, such Benchmark or any other Benchmark prior to its discontinuance or unavailability, </w:t>
      </w:r>
      <w:r>
        <w:rPr>
          <w:rFonts w:ascii="Arial" w:cs="Arial" w:eastAsia="Arial" w:hAnsi="Arial"/>
          <w:sz w:val="15"/>
          <w:szCs w:val="15"/>
          <w:color w:val="000000"/>
        </w:rPr>
        <w:t>or (b) the effect, implementation or composition of</w:t>
      </w:r>
      <w:r>
        <w:rPr>
          <w:rFonts w:ascii="Arial" w:cs="Arial" w:eastAsia="Arial" w:hAnsi="Arial"/>
          <w:sz w:val="15"/>
          <w:szCs w:val="15"/>
          <w:color w:val="010101"/>
        </w:rPr>
        <w:t xml:space="preserve"> </w:t>
      </w:r>
      <w:r>
        <w:rPr>
          <w:rFonts w:ascii="Arial" w:cs="Arial" w:eastAsia="Arial" w:hAnsi="Arial"/>
          <w:sz w:val="15"/>
          <w:szCs w:val="15"/>
          <w:color w:val="000000"/>
        </w:rPr>
        <w:t>any Conforming Changes</w:t>
      </w:r>
      <w:r>
        <w:rPr>
          <w:rFonts w:ascii="Arial" w:cs="Arial" w:eastAsia="Arial" w:hAnsi="Arial"/>
          <w:sz w:val="15"/>
          <w:szCs w:val="15"/>
          <w:color w:val="010101"/>
        </w:rPr>
        <w:t>. The Administrative Agent and its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1" w:right="479" w:bottom="1440" w:gutter="0" w:footer="0" w:header="0"/>
        </w:sectPr>
      </w:pPr>
    </w:p>
    <w:bookmarkStart w:id="104" w:name="page105"/>
    <w:bookmarkEnd w:id="104"/>
    <w:p>
      <w:pPr>
        <w:jc w:val="both"/>
        <w:ind w:left="20"/>
        <w:spacing w:after="0" w:line="235" w:lineRule="auto"/>
        <w:rPr>
          <w:sz w:val="20"/>
          <w:szCs w:val="20"/>
          <w:color w:val="auto"/>
        </w:rPr>
      </w:pPr>
      <w:r>
        <w:rPr>
          <w:rFonts w:ascii="Arial" w:cs="Arial" w:eastAsia="Arial" w:hAnsi="Arial"/>
          <w:sz w:val="15"/>
          <w:szCs w:val="15"/>
          <w:color w:val="010101"/>
        </w:rPr>
        <w:t>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1.07.</w:t>
      </w:r>
      <w:r>
        <w:rPr>
          <w:sz w:val="20"/>
          <w:szCs w:val="20"/>
          <w:color w:val="auto"/>
        </w:rPr>
        <w:tab/>
      </w:r>
      <w:r>
        <w:rPr>
          <w:rFonts w:ascii="Arial" w:cs="Arial" w:eastAsia="Arial" w:hAnsi="Arial"/>
          <w:sz w:val="15"/>
          <w:szCs w:val="15"/>
          <w:u w:val="single" w:color="auto"/>
          <w:color w:val="010101"/>
        </w:rPr>
        <w:t>Divisions</w:t>
      </w:r>
    </w:p>
    <w:p>
      <w:pPr>
        <w:spacing w:after="0" w:line="170" w:lineRule="exact"/>
        <w:rPr>
          <w:sz w:val="20"/>
          <w:szCs w:val="20"/>
          <w:color w:val="auto"/>
        </w:rPr>
      </w:pPr>
    </w:p>
    <w:p>
      <w:pPr>
        <w:jc w:val="both"/>
        <w:ind w:left="20" w:firstLine="487"/>
        <w:spacing w:after="0" w:line="225" w:lineRule="auto"/>
        <w:tabs>
          <w:tab w:leader="none" w:pos="590" w:val="left"/>
        </w:tabs>
        <w:numPr>
          <w:ilvl w:val="0"/>
          <w:numId w:val="56"/>
        </w:numPr>
        <w:rPr>
          <w:rFonts w:ascii="Arial" w:cs="Arial" w:eastAsia="Arial" w:hAnsi="Arial"/>
          <w:sz w:val="16"/>
          <w:szCs w:val="16"/>
          <w:color w:val="010101"/>
        </w:rPr>
      </w:pPr>
      <w:r>
        <w:rPr>
          <w:rFonts w:ascii="Arial" w:cs="Arial" w:eastAsia="Arial" w:hAnsi="Arial"/>
          <w:sz w:val="16"/>
          <w:szCs w:val="16"/>
          <w:color w:val="010101"/>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3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1.08.</w:t>
      </w:r>
      <w:r>
        <w:rPr>
          <w:sz w:val="20"/>
          <w:szCs w:val="20"/>
          <w:color w:val="auto"/>
        </w:rPr>
        <w:tab/>
      </w:r>
      <w:r>
        <w:rPr>
          <w:rFonts w:ascii="Arial" w:cs="Arial" w:eastAsia="Arial" w:hAnsi="Arial"/>
          <w:sz w:val="14"/>
          <w:szCs w:val="14"/>
          <w:u w:val="single" w:color="auto"/>
          <w:color w:val="010101"/>
        </w:rPr>
        <w:t>Rounding</w:t>
      </w:r>
    </w:p>
    <w:p>
      <w:pPr>
        <w:spacing w:after="0" w:line="170" w:lineRule="exact"/>
        <w:rPr>
          <w:sz w:val="20"/>
          <w:szCs w:val="20"/>
          <w:color w:val="auto"/>
        </w:rPr>
      </w:pPr>
    </w:p>
    <w:p>
      <w:pPr>
        <w:jc w:val="both"/>
        <w:ind w:left="20" w:firstLine="487"/>
        <w:spacing w:after="0" w:line="230" w:lineRule="auto"/>
        <w:tabs>
          <w:tab w:leader="none" w:pos="589" w:val="left"/>
        </w:tabs>
        <w:numPr>
          <w:ilvl w:val="0"/>
          <w:numId w:val="57"/>
        </w:numPr>
        <w:rPr>
          <w:rFonts w:ascii="Arial" w:cs="Arial" w:eastAsia="Arial" w:hAnsi="Arial"/>
          <w:sz w:val="16"/>
          <w:szCs w:val="16"/>
          <w:color w:val="010101"/>
        </w:rPr>
      </w:pPr>
      <w:r>
        <w:rPr>
          <w:rFonts w:ascii="Arial" w:cs="Arial" w:eastAsia="Arial" w:hAnsi="Arial"/>
          <w:sz w:val="16"/>
          <w:szCs w:val="16"/>
          <w:color w:val="010101"/>
        </w:rPr>
        <w:t>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1.09.</w:t>
      </w:r>
      <w:r>
        <w:rPr>
          <w:sz w:val="20"/>
          <w:szCs w:val="20"/>
          <w:color w:val="auto"/>
        </w:rPr>
        <w:tab/>
      </w:r>
      <w:r>
        <w:rPr>
          <w:rFonts w:ascii="Arial" w:cs="Arial" w:eastAsia="Arial" w:hAnsi="Arial"/>
          <w:sz w:val="14"/>
          <w:szCs w:val="14"/>
          <w:u w:val="single" w:color="auto"/>
          <w:color w:val="010101"/>
        </w:rPr>
        <w:t>References to Agreements and Laws</w:t>
      </w:r>
    </w:p>
    <w:p>
      <w:pPr>
        <w:spacing w:after="0" w:line="160" w:lineRule="exact"/>
        <w:rPr>
          <w:sz w:val="20"/>
          <w:szCs w:val="20"/>
          <w:color w:val="auto"/>
        </w:rPr>
      </w:pPr>
    </w:p>
    <w:p>
      <w:pPr>
        <w:jc w:val="both"/>
        <w:ind w:left="20" w:firstLine="487"/>
        <w:spacing w:after="0" w:line="254" w:lineRule="auto"/>
        <w:tabs>
          <w:tab w:leader="none" w:pos="607" w:val="left"/>
        </w:tabs>
        <w:numPr>
          <w:ilvl w:val="0"/>
          <w:numId w:val="58"/>
        </w:numPr>
        <w:rPr>
          <w:rFonts w:ascii="Arial" w:cs="Arial" w:eastAsia="Arial" w:hAnsi="Arial"/>
          <w:sz w:val="14"/>
          <w:szCs w:val="14"/>
          <w:color w:val="010101"/>
        </w:rPr>
      </w:pPr>
      <w:r>
        <w:rPr>
          <w:rFonts w:ascii="Arial" w:cs="Arial" w:eastAsia="Arial" w:hAnsi="Arial"/>
          <w:sz w:val="14"/>
          <w:szCs w:val="14"/>
          <w:color w:val="010101"/>
        </w:rPr>
        <w:t>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Anti-Corruption Laws, Anti-Money Laundering Laws, the Bankruptcy Code, the Internal Revenue Code, the Commodity Exchange Act, ERISA, the PATRIOT Act, the Trading with the Enemy Act or any of the foreign assets control regulations of the United States Treasury Department, shall include all statutory and regulatory provisions consolidating, amending, replacing, supplementing or interpreting such Applicable Law.</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ARTICLE II</w:t>
      </w:r>
    </w:p>
    <w:p>
      <w:pPr>
        <w:jc w:val="center"/>
        <w:ind w:right="-139"/>
        <w:spacing w:after="0"/>
        <w:rPr>
          <w:sz w:val="20"/>
          <w:szCs w:val="20"/>
          <w:color w:val="auto"/>
        </w:rPr>
      </w:pPr>
      <w:r>
        <w:rPr>
          <w:rFonts w:ascii="Arial" w:cs="Arial" w:eastAsia="Arial" w:hAnsi="Arial"/>
          <w:sz w:val="16"/>
          <w:szCs w:val="16"/>
          <w:color w:val="010101"/>
        </w:rPr>
        <w:t>AMOUNTS AND TERMS OF THE ADVANCES</w:t>
      </w:r>
    </w:p>
    <w:p>
      <w:pPr>
        <w:spacing w:after="0" w:line="156"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2.01.</w:t>
      </w:r>
      <w:r>
        <w:rPr>
          <w:sz w:val="20"/>
          <w:szCs w:val="20"/>
          <w:color w:val="auto"/>
        </w:rPr>
        <w:tab/>
      </w:r>
      <w:r>
        <w:rPr>
          <w:rFonts w:ascii="Arial" w:cs="Arial" w:eastAsia="Arial" w:hAnsi="Arial"/>
          <w:sz w:val="14"/>
          <w:szCs w:val="14"/>
          <w:u w:val="single" w:color="auto"/>
          <w:color w:val="010101"/>
        </w:rPr>
        <w:t>The Advances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05" w:name="page106"/>
    <w:bookmarkEnd w:id="105"/>
    <w:p>
      <w:pPr>
        <w:ind w:left="500"/>
        <w:spacing w:after="0"/>
        <w:rPr>
          <w:sz w:val="20"/>
          <w:szCs w:val="20"/>
          <w:color w:val="auto"/>
        </w:rPr>
      </w:pPr>
      <w:r>
        <w:rPr>
          <w:rFonts w:ascii="Arial" w:cs="Arial" w:eastAsia="Arial" w:hAnsi="Arial"/>
          <w:sz w:val="16"/>
          <w:szCs w:val="16"/>
          <w:color w:val="010101"/>
        </w:rPr>
        <w:t>.</w:t>
      </w:r>
    </w:p>
    <w:p>
      <w:pPr>
        <w:spacing w:after="0" w:line="166" w:lineRule="exact"/>
        <w:rPr>
          <w:sz w:val="20"/>
          <w:szCs w:val="20"/>
          <w:color w:val="auto"/>
        </w:rPr>
      </w:pPr>
    </w:p>
    <w:p>
      <w:pPr>
        <w:jc w:val="both"/>
        <w:ind w:left="20" w:firstLine="487"/>
        <w:spacing w:after="0" w:line="230" w:lineRule="auto"/>
        <w:tabs>
          <w:tab w:leader="none" w:pos="909"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0000FF"/>
        </w:rPr>
        <w:t xml:space="preserve">Revolving Advances. </w:t>
      </w:r>
      <w:r>
        <w:rPr>
          <w:rFonts w:ascii="Arial" w:cs="Arial" w:eastAsia="Arial" w:hAnsi="Arial"/>
          <w:sz w:val="15"/>
          <w:szCs w:val="15"/>
          <w:color w:val="010101"/>
        </w:rPr>
        <w:t>Subject to the terms and conditions of this Agreement and the other Loan Documents, and in reliance upon the representations and</w:t>
      </w:r>
      <w:r>
        <w:rPr>
          <w:rFonts w:ascii="Arial" w:cs="Arial" w:eastAsia="Arial" w:hAnsi="Arial"/>
          <w:sz w:val="15"/>
          <w:szCs w:val="15"/>
          <w:b w:val="1"/>
          <w:bCs w:val="1"/>
          <w:color w:val="0000FF"/>
        </w:rPr>
        <w:t xml:space="preserve"> </w:t>
      </w:r>
      <w:r>
        <w:rPr>
          <w:rFonts w:ascii="Arial" w:cs="Arial" w:eastAsia="Arial" w:hAnsi="Arial"/>
          <w:sz w:val="15"/>
          <w:szCs w:val="15"/>
          <w:color w:val="010101"/>
        </w:rPr>
        <w:t xml:space="preserve">warranties set forth in this Agreement and the other Loan Documents, each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Lender severally agrees to make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Advances to the Borrowers (including the Company) in US Dollars and Foreign Currencies from time to time from the Effective Date through, but not including, the Termination Date as requested by the Company, on behalf of one or more Borrowers, in accordance with the terms of Section 2.02;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(i) after giving effect to any amount requested, (A) the Dollar Equivalent of the Revolving Credit Outstandings shall not exceed the aggregate Commitments and (B) the Dollar Equivalent of the Revolving Credit Exposure of each </w:t>
      </w:r>
      <w:r>
        <w:rPr>
          <w:rFonts w:ascii="Arial" w:cs="Arial" w:eastAsia="Arial" w:hAnsi="Arial"/>
          <w:sz w:val="15"/>
          <w:szCs w:val="15"/>
          <w:b w:val="1"/>
          <w:bCs w:val="1"/>
          <w:u w:val="single" w:color="auto"/>
          <w:color w:val="0000FF"/>
        </w:rPr>
        <w:t>Revolving</w:t>
      </w:r>
      <w:r>
        <w:rPr>
          <w:rFonts w:ascii="Arial" w:cs="Arial" w:eastAsia="Arial" w:hAnsi="Arial"/>
          <w:sz w:val="15"/>
          <w:szCs w:val="15"/>
          <w:b w:val="1"/>
          <w:bCs w:val="1"/>
          <w:color w:val="0000FF"/>
        </w:rPr>
        <w:t xml:space="preserve"> </w:t>
      </w:r>
      <w:r>
        <w:rPr>
          <w:rFonts w:ascii="Arial" w:cs="Arial" w:eastAsia="Arial" w:hAnsi="Arial"/>
          <w:sz w:val="15"/>
          <w:szCs w:val="15"/>
          <w:color w:val="010101"/>
        </w:rPr>
        <w:t>Lender shall not at any time exceed such</w:t>
      </w:r>
      <w:r>
        <w:rPr>
          <w:rFonts w:ascii="Arial" w:cs="Arial" w:eastAsia="Arial" w:hAnsi="Arial"/>
          <w:sz w:val="15"/>
          <w:szCs w:val="15"/>
          <w:b w:val="1"/>
          <w:bCs w:val="1"/>
          <w:color w:val="0000FF"/>
        </w:rPr>
        <w:t xml:space="preserve"> </w:t>
      </w:r>
      <w:r>
        <w:rPr>
          <w:rFonts w:ascii="Arial" w:cs="Arial" w:eastAsia="Arial" w:hAnsi="Arial"/>
          <w:sz w:val="15"/>
          <w:szCs w:val="15"/>
          <w:b w:val="1"/>
          <w:bCs w:val="1"/>
          <w:u w:val="single" w:color="auto"/>
          <w:color w:val="0000FF"/>
        </w:rPr>
        <w:t>Revolving</w:t>
      </w:r>
      <w:r>
        <w:rPr>
          <w:rFonts w:ascii="Arial" w:cs="Arial" w:eastAsia="Arial" w:hAnsi="Arial"/>
          <w:sz w:val="15"/>
          <w:szCs w:val="15"/>
          <w:b w:val="1"/>
          <w:bCs w:val="1"/>
          <w:color w:val="0000FF"/>
        </w:rPr>
        <w:t xml:space="preserve"> </w:t>
      </w:r>
      <w:r>
        <w:rPr>
          <w:rFonts w:ascii="Arial" w:cs="Arial" w:eastAsia="Arial" w:hAnsi="Arial"/>
          <w:sz w:val="15"/>
          <w:szCs w:val="15"/>
          <w:color w:val="010101"/>
        </w:rPr>
        <w:t>Lender’s Commitment and (ii) a</w:t>
      </w:r>
      <w:r>
        <w:rPr>
          <w:rFonts w:ascii="Arial" w:cs="Arial" w:eastAsia="Arial" w:hAnsi="Arial"/>
          <w:sz w:val="15"/>
          <w:szCs w:val="15"/>
          <w:b w:val="1"/>
          <w:bCs w:val="1"/>
          <w:color w:val="0000FF"/>
        </w:rPr>
        <w:t xml:space="preserve"> </w:t>
      </w:r>
      <w:r>
        <w:rPr>
          <w:rFonts w:ascii="Arial" w:cs="Arial" w:eastAsia="Arial" w:hAnsi="Arial"/>
          <w:sz w:val="15"/>
          <w:szCs w:val="15"/>
          <w:b w:val="1"/>
          <w:bCs w:val="1"/>
          <w:u w:val="single" w:color="auto"/>
          <w:color w:val="0000FF"/>
        </w:rPr>
        <w:t>Revolving</w:t>
      </w:r>
      <w:r>
        <w:rPr>
          <w:rFonts w:ascii="Arial" w:cs="Arial" w:eastAsia="Arial" w:hAnsi="Arial"/>
          <w:sz w:val="15"/>
          <w:szCs w:val="15"/>
          <w:b w:val="1"/>
          <w:bCs w:val="1"/>
          <w:color w:val="0000FF"/>
        </w:rPr>
        <w:t xml:space="preserve"> </w:t>
      </w:r>
      <w:r>
        <w:rPr>
          <w:rFonts w:ascii="Arial" w:cs="Arial" w:eastAsia="Arial" w:hAnsi="Arial"/>
          <w:sz w:val="15"/>
          <w:szCs w:val="15"/>
          <w:color w:val="010101"/>
        </w:rPr>
        <w:t>Lender may designate an Applicable Lending Office as a</w:t>
      </w:r>
      <w:r>
        <w:rPr>
          <w:rFonts w:ascii="Arial" w:cs="Arial" w:eastAsia="Arial" w:hAnsi="Arial"/>
          <w:sz w:val="15"/>
          <w:szCs w:val="15"/>
          <w:b w:val="1"/>
          <w:bCs w:val="1"/>
          <w:color w:val="0000FF"/>
        </w:rPr>
        <w:t xml:space="preserve"> </w:t>
      </w:r>
      <w:r>
        <w:rPr>
          <w:rFonts w:ascii="Arial" w:cs="Arial" w:eastAsia="Arial" w:hAnsi="Arial"/>
          <w:sz w:val="15"/>
          <w:szCs w:val="15"/>
          <w:color w:val="010101"/>
        </w:rPr>
        <w:t xml:space="preserve">lender of all or a portion of its Commitment under this Agreement. Subject to the terms and conditions hereof, the Borrowers may borrow, repay and reborrow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Advances hereunder until the Termination Date. Each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 shall be comprised entirely of (i) in the case of </w:t>
      </w:r>
      <w:r>
        <w:rPr>
          <w:rFonts w:ascii="Arial" w:cs="Arial" w:eastAsia="Arial" w:hAnsi="Arial"/>
          <w:sz w:val="15"/>
          <w:szCs w:val="15"/>
          <w:color w:val="FF0000"/>
          <w:strike w:val="1"/>
        </w:rPr>
        <w:t>an</w:t>
      </w:r>
      <w:r>
        <w:rPr>
          <w:rFonts w:ascii="Arial" w:cs="Arial" w:eastAsia="Arial" w:hAnsi="Arial"/>
          <w:sz w:val="15"/>
          <w:szCs w:val="15"/>
          <w:b w:val="1"/>
          <w:bCs w:val="1"/>
          <w:u w:val="single" w:color="auto"/>
          <w:color w:val="0000FF"/>
        </w:rPr>
        <w:t>a Revolving</w:t>
      </w:r>
      <w:r>
        <w:rPr>
          <w:rFonts w:ascii="Arial" w:cs="Arial" w:eastAsia="Arial" w:hAnsi="Arial"/>
          <w:sz w:val="15"/>
          <w:szCs w:val="15"/>
          <w:color w:val="010101"/>
        </w:rPr>
        <w:t xml:space="preserve"> Advance denominated in Euros or other Currencies (other than US Dollars, Sterling or Singapore Dollars), Eurocurrency Rate Advances, (ii) in the case of </w:t>
      </w:r>
      <w:r>
        <w:rPr>
          <w:rFonts w:ascii="Arial" w:cs="Arial" w:eastAsia="Arial" w:hAnsi="Arial"/>
          <w:sz w:val="15"/>
          <w:szCs w:val="15"/>
          <w:color w:val="FF0000"/>
          <w:strike w:val="1"/>
        </w:rPr>
        <w:t>an</w:t>
      </w:r>
      <w:r>
        <w:rPr>
          <w:rFonts w:ascii="Arial" w:cs="Arial" w:eastAsia="Arial" w:hAnsi="Arial"/>
          <w:sz w:val="15"/>
          <w:szCs w:val="15"/>
          <w:b w:val="1"/>
          <w:bCs w:val="1"/>
          <w:u w:val="single" w:color="auto"/>
          <w:color w:val="0000FF"/>
        </w:rPr>
        <w:t>a Revolving</w:t>
      </w:r>
      <w:r>
        <w:rPr>
          <w:rFonts w:ascii="Arial" w:cs="Arial" w:eastAsia="Arial" w:hAnsi="Arial"/>
          <w:sz w:val="15"/>
          <w:szCs w:val="15"/>
          <w:color w:val="010101"/>
        </w:rPr>
        <w:t xml:space="preserve"> Advance denominated in Sterling, Daily Simple RFR Advances, (iii) in the case of </w:t>
      </w:r>
      <w:r>
        <w:rPr>
          <w:rFonts w:ascii="Arial" w:cs="Arial" w:eastAsia="Arial" w:hAnsi="Arial"/>
          <w:sz w:val="15"/>
          <w:szCs w:val="15"/>
          <w:color w:val="FF0000"/>
          <w:strike w:val="1"/>
        </w:rPr>
        <w:t>an</w:t>
      </w:r>
      <w:r>
        <w:rPr>
          <w:rFonts w:ascii="Arial" w:cs="Arial" w:eastAsia="Arial" w:hAnsi="Arial"/>
          <w:sz w:val="15"/>
          <w:szCs w:val="15"/>
          <w:b w:val="1"/>
          <w:bCs w:val="1"/>
          <w:u w:val="single" w:color="auto"/>
          <w:color w:val="0000FF"/>
        </w:rPr>
        <w:t>a Revolving</w:t>
      </w:r>
      <w:r>
        <w:rPr>
          <w:rFonts w:ascii="Arial" w:cs="Arial" w:eastAsia="Arial" w:hAnsi="Arial"/>
          <w:sz w:val="15"/>
          <w:szCs w:val="15"/>
          <w:color w:val="010101"/>
        </w:rPr>
        <w:t xml:space="preserve"> Advance denominated in Singapore Dollars, Daily Simple RFR Advances and (iv) in the case of </w:t>
      </w:r>
      <w:r>
        <w:rPr>
          <w:rFonts w:ascii="Arial" w:cs="Arial" w:eastAsia="Arial" w:hAnsi="Arial"/>
          <w:sz w:val="15"/>
          <w:szCs w:val="15"/>
          <w:color w:val="FF0000"/>
          <w:strike w:val="1"/>
        </w:rPr>
        <w:t>an</w:t>
      </w:r>
      <w:r>
        <w:rPr>
          <w:rFonts w:ascii="Arial" w:cs="Arial" w:eastAsia="Arial" w:hAnsi="Arial"/>
          <w:sz w:val="15"/>
          <w:szCs w:val="15"/>
          <w:b w:val="1"/>
          <w:bCs w:val="1"/>
          <w:u w:val="single" w:color="auto"/>
          <w:color w:val="0000FF"/>
        </w:rPr>
        <w:t>a Revolving</w:t>
      </w:r>
      <w:r>
        <w:rPr>
          <w:rFonts w:ascii="Arial" w:cs="Arial" w:eastAsia="Arial" w:hAnsi="Arial"/>
          <w:sz w:val="15"/>
          <w:szCs w:val="15"/>
          <w:color w:val="FF0000"/>
        </w:rPr>
        <w:t xml:space="preserve"> </w:t>
      </w:r>
      <w:r>
        <w:rPr>
          <w:rFonts w:ascii="Arial" w:cs="Arial" w:eastAsia="Arial" w:hAnsi="Arial"/>
          <w:sz w:val="15"/>
          <w:szCs w:val="15"/>
          <w:color w:val="010101"/>
        </w:rPr>
        <w:t>Advance denominated in US Dollars, (A) Base Rate Advances or (B) Term SOFR Advances, each as further provided herein, in each case as the</w:t>
      </w:r>
      <w:r>
        <w:rPr>
          <w:rFonts w:ascii="Arial" w:cs="Arial" w:eastAsia="Arial" w:hAnsi="Arial"/>
          <w:sz w:val="15"/>
          <w:szCs w:val="15"/>
          <w:color w:val="FF0000"/>
        </w:rPr>
        <w:t xml:space="preserve"> </w:t>
      </w:r>
      <w:r>
        <w:rPr>
          <w:rFonts w:ascii="Arial" w:cs="Arial" w:eastAsia="Arial" w:hAnsi="Arial"/>
          <w:sz w:val="15"/>
          <w:szCs w:val="15"/>
          <w:color w:val="010101"/>
        </w:rPr>
        <w:t>Company, on behalf of one or more Borrowers, may request in accordance therewith</w:t>
      </w:r>
      <w:r>
        <w:rPr>
          <w:rFonts w:ascii="Arial" w:cs="Arial" w:eastAsia="Arial" w:hAnsi="Arial"/>
          <w:sz w:val="15"/>
          <w:szCs w:val="15"/>
          <w:b w:val="1"/>
          <w:bCs w:val="1"/>
          <w:color w:val="0000FF"/>
        </w:rPr>
        <w:t>.</w:t>
      </w:r>
    </w:p>
    <w:p>
      <w:pPr>
        <w:spacing w:after="0" w:line="148" w:lineRule="exact"/>
        <w:rPr>
          <w:rFonts w:ascii="Arial" w:cs="Arial" w:eastAsia="Arial" w:hAnsi="Arial"/>
          <w:sz w:val="15"/>
          <w:szCs w:val="15"/>
          <w:b w:val="1"/>
          <w:bCs w:val="1"/>
          <w:color w:val="auto"/>
        </w:rPr>
      </w:pPr>
    </w:p>
    <w:p>
      <w:pPr>
        <w:ind w:left="20" w:right="200" w:firstLine="487"/>
        <w:spacing w:after="0" w:line="255" w:lineRule="auto"/>
        <w:tabs>
          <w:tab w:leader="none" w:pos="909" w:val="left"/>
        </w:tabs>
        <w:numPr>
          <w:ilvl w:val="0"/>
          <w:numId w:val="59"/>
        </w:numPr>
        <w:rPr>
          <w:rFonts w:ascii="Arial" w:cs="Arial" w:eastAsia="Arial" w:hAnsi="Arial"/>
          <w:sz w:val="14"/>
          <w:szCs w:val="14"/>
          <w:b w:val="1"/>
          <w:bCs w:val="1"/>
          <w:color w:val="0000FF"/>
        </w:rPr>
      </w:pPr>
      <w:r>
        <w:rPr>
          <w:rFonts w:ascii="Arial" w:cs="Arial" w:eastAsia="Arial" w:hAnsi="Arial"/>
          <w:sz w:val="14"/>
          <w:szCs w:val="14"/>
          <w:b w:val="1"/>
          <w:bCs w:val="1"/>
          <w:u w:val="single" w:color="auto"/>
          <w:color w:val="0000FF"/>
        </w:rPr>
        <w:t>Term Loans. Subject to the terms and conditions of this Agreement and the other Loan Documents, and in reliance upon the representations and warranties set forth in this Agreement and the other Loan Documents, each Term Loan Lender having a Term Loan Commitment severally agrees to make a Term Loan to the Company in US Dollars on the First Amendment Effective Date, which Term Loans shall not exceed, for any such Term Loan Lender, the Term Loan Commitment of such Term Loan Lender. Notwithstanding the foregoing, (i) if the total Term Loan Commitment as of the First Amendment Effective Date is not drawn on the First Amendment Effective Date, the undrawn amount shall automatically be cancelled and (ii) the Term Loans may be repaid or prepaid in accordance with the provisions hereof, but once repaid or prepaid may not b</w:t>
      </w:r>
      <w:r>
        <w:rPr>
          <w:rFonts w:ascii="Arial" w:cs="Arial" w:eastAsia="Arial" w:hAnsi="Arial"/>
          <w:sz w:val="14"/>
          <w:szCs w:val="14"/>
          <w:b w:val="1"/>
          <w:bCs w:val="1"/>
          <w:color w:val="0000FF"/>
        </w:rPr>
        <w:t>e reborrowed</w:t>
      </w:r>
      <w:r>
        <w:rPr>
          <w:rFonts w:ascii="Arial" w:cs="Arial" w:eastAsia="Arial" w:hAnsi="Arial"/>
          <w:sz w:val="14"/>
          <w:szCs w:val="14"/>
          <w:color w:val="010101"/>
        </w:rPr>
        <w:t>.</w:t>
      </w:r>
    </w:p>
    <w:p>
      <w:pPr>
        <w:spacing w:after="0" w:line="129" w:lineRule="exact"/>
        <w:rPr>
          <w:rFonts w:ascii="Arial" w:cs="Arial" w:eastAsia="Arial" w:hAnsi="Arial"/>
          <w:sz w:val="14"/>
          <w:szCs w:val="14"/>
          <w:b w:val="1"/>
          <w:bCs w:val="1"/>
          <w:color w:val="0000FF"/>
        </w:rPr>
      </w:pPr>
    </w:p>
    <w:p>
      <w:pPr>
        <w:ind w:left="20" w:right="20" w:firstLine="487"/>
        <w:spacing w:after="0" w:line="239" w:lineRule="auto"/>
        <w:tabs>
          <w:tab w:leader="none" w:pos="910" w:val="left"/>
        </w:tabs>
        <w:numPr>
          <w:ilvl w:val="0"/>
          <w:numId w:val="59"/>
        </w:numPr>
        <w:rPr>
          <w:rFonts w:ascii="Arial" w:cs="Arial" w:eastAsia="Arial" w:hAnsi="Arial"/>
          <w:sz w:val="16"/>
          <w:szCs w:val="16"/>
          <w:color w:val="0000FF"/>
        </w:rPr>
      </w:pPr>
      <w:r>
        <w:rPr>
          <w:rFonts w:ascii="Arial" w:cs="Arial" w:eastAsia="Arial" w:hAnsi="Arial"/>
          <w:sz w:val="16"/>
          <w:szCs w:val="16"/>
          <w:color w:val="FF0000"/>
          <w:strike w:val="1"/>
        </w:rPr>
        <w:t>(b)</w:t>
      </w:r>
      <w:r>
        <w:rPr>
          <w:rFonts w:ascii="Arial" w:cs="Arial" w:eastAsia="Arial" w:hAnsi="Arial"/>
          <w:sz w:val="16"/>
          <w:szCs w:val="16"/>
          <w:color w:val="FF0000"/>
        </w:rPr>
        <w:t xml:space="preserve"> </w:t>
      </w:r>
      <w:r>
        <w:rPr>
          <w:rFonts w:ascii="Arial" w:cs="Arial" w:eastAsia="Arial" w:hAnsi="Arial"/>
          <w:sz w:val="16"/>
          <w:szCs w:val="16"/>
          <w:color w:val="010101"/>
        </w:rPr>
        <w:t>Notwithstanding any provision in the Loan Documents to the contrary, no Foreign Borrower or other Foreign Subsidiary shall be liable for Advances</w:t>
      </w:r>
      <w:r>
        <w:rPr>
          <w:rFonts w:ascii="Arial" w:cs="Arial" w:eastAsia="Arial" w:hAnsi="Arial"/>
          <w:sz w:val="16"/>
          <w:szCs w:val="16"/>
          <w:color w:val="FF0000"/>
        </w:rPr>
        <w:t xml:space="preserve"> </w:t>
      </w:r>
      <w:r>
        <w:rPr>
          <w:rFonts w:ascii="Arial" w:cs="Arial" w:eastAsia="Arial" w:hAnsi="Arial"/>
          <w:sz w:val="16"/>
          <w:szCs w:val="16"/>
          <w:color w:val="010101"/>
        </w:rPr>
        <w:t>made to the Company or other Borrower Obligations of the Company.</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2.02.</w:t>
      </w:r>
      <w:r>
        <w:rPr>
          <w:sz w:val="20"/>
          <w:szCs w:val="20"/>
          <w:color w:val="auto"/>
        </w:rPr>
        <w:tab/>
      </w:r>
      <w:r>
        <w:rPr>
          <w:rFonts w:ascii="Arial" w:cs="Arial" w:eastAsia="Arial" w:hAnsi="Arial"/>
          <w:sz w:val="14"/>
          <w:szCs w:val="14"/>
          <w:u w:val="single" w:color="auto"/>
          <w:color w:val="010101"/>
        </w:rPr>
        <w:t>Making the Advances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60" w:lineRule="exact"/>
        <w:rPr>
          <w:sz w:val="20"/>
          <w:szCs w:val="20"/>
          <w:color w:val="auto"/>
        </w:rPr>
      </w:pPr>
    </w:p>
    <w:p>
      <w:pPr>
        <w:ind w:left="20" w:right="40" w:firstLine="487"/>
        <w:spacing w:after="0" w:line="239" w:lineRule="auto"/>
        <w:tabs>
          <w:tab w:leader="none" w:pos="910" w:val="left"/>
        </w:tabs>
        <w:numPr>
          <w:ilvl w:val="0"/>
          <w:numId w:val="60"/>
        </w:numPr>
        <w:rPr>
          <w:rFonts w:ascii="Arial" w:cs="Arial" w:eastAsia="Arial" w:hAnsi="Arial"/>
          <w:sz w:val="16"/>
          <w:szCs w:val="16"/>
          <w:color w:val="auto"/>
        </w:rPr>
      </w:pPr>
      <w:r>
        <w:rPr>
          <w:rFonts w:ascii="Arial" w:cs="Arial" w:eastAsia="Arial" w:hAnsi="Arial"/>
          <w:sz w:val="16"/>
          <w:szCs w:val="16"/>
          <w:color w:val="010101"/>
        </w:rPr>
        <w:t>The Company, on behalf of one or more Borrowers in the case of an Advance, shall give the Administrative Agent irrevocable prior written notice substantially in the form of Exhibit B-1 (a “</w:t>
      </w:r>
      <w:r>
        <w:rPr>
          <w:rFonts w:ascii="Arial" w:cs="Arial" w:eastAsia="Arial" w:hAnsi="Arial"/>
          <w:sz w:val="16"/>
          <w:szCs w:val="16"/>
          <w:u w:val="single" w:color="auto"/>
          <w:color w:val="010101"/>
        </w:rPr>
        <w:t>Notice of Borrowing</w:t>
      </w:r>
      <w:r>
        <w:rPr>
          <w:rFonts w:ascii="Arial" w:cs="Arial" w:eastAsia="Arial" w:hAnsi="Arial"/>
          <w:sz w:val="16"/>
          <w:szCs w:val="16"/>
          <w:color w:val="010101"/>
        </w:rPr>
        <w:t>”) not later than 11:00 a.m. (New York City time) in the</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06" w:name="page107"/>
    <w:bookmarkEnd w:id="106"/>
    <w:p>
      <w:pPr>
        <w:jc w:val="both"/>
        <w:ind w:left="20"/>
        <w:spacing w:after="0" w:line="228" w:lineRule="auto"/>
        <w:rPr>
          <w:sz w:val="20"/>
          <w:szCs w:val="20"/>
          <w:color w:val="auto"/>
        </w:rPr>
      </w:pPr>
      <w:r>
        <w:rPr>
          <w:rFonts w:ascii="Arial" w:cs="Arial" w:eastAsia="Arial" w:hAnsi="Arial"/>
          <w:sz w:val="15"/>
          <w:szCs w:val="15"/>
          <w:color w:val="010101"/>
        </w:rPr>
        <w:t>case of any Advance denominated in US Dollars and not later than the Applicable Time specified by the Administrative Agent in the case of any Advance denominated in a Foreign Currency (i) on (x) the same Business Day as each Base Rate Advance to the Company that will be funded in the United States and (y) the date that is at least two Business Days before each other Base Rate Advance (including any Base Rate Advance to a Foreign Borrower) and (ii)(A) in the case of a Term SOFR Advance, at least three RFR Business Days before such Term SOFR Advance, (B) in the case of an RFR Advance denominated in any Foreign Currency, at least five RFR Business Days before such RFR Advance, and (C) in the case of a Eurocurrency Rate Advance denominated in any Foreign Currency, at least four Eurocurrency Banking Days before such Eurocurrency Rate Advance (or five Eurocurrency Banking Days in the case of a Special Notice Currency), of its intention to borrow, specifying (I) the date of such Borrowing, which shall be a Business Day, (II) the amount of such Borrowing, which shall be, (x) with respect to Base Rate Advances, in an aggregate principal amount of $3,000,000 or a Foreign Currency Equivalent thereof or a whole multiple of $1,000,000 or a Foreign Currency Equivalent thereof in excess thereof and (y) with respect to Eurocurrency Rate Advances and RFR Advances, in an aggregate principal amount of $5,000,000 or a Foreign Currency Equivalent thereof or a whole multiple of $1,000,000 or a Foreign Currency Equivalent thereof in excess thereof, (C) whether the Advances are to be Eurocurrency Rate Advances, Daily Simple RFR Advances, Term SOFR Advances or Base Rate Advances, (D) the Currency of such Advances, (E) in the case of a Eurocurrency Rate Advance or a Term SOFR Advance, the duration of the Interest Period applicable thereto, and (F) the applicable Borrower. If the Company fails to specify the Currency of an Advance in a Notice of Borrowing, then the applicable Advances shall be made in US Dollars. In connection with an Advance denominated in US Dollars, if the Company fails to specify a type of Advance in a Notice of Borrowing, then the applicable Advances shall be made as Base Rate Advances. If the Company fails to specify a Borrower, the Borrower shall be the Company. If the Company requests a Borrowing of Eurocurrency Rate Advances or Term SOFR Advance in any such Notice of Borrowing, but fails to specify an Interest Period, it will be deemed to have specified an Interest Period of one month. A Notice of Borrowing received after 11:00 a.m. (New York City time) shall be deemed received on the next Business Day, RFR Business Day or Eurocurrency Banking Day, as applicable. The Administrative Agent shall promptly notify the Lenders of each Notice of Borrowing.</w:t>
      </w:r>
    </w:p>
    <w:p>
      <w:pPr>
        <w:spacing w:after="0" w:line="153" w:lineRule="exact"/>
        <w:rPr>
          <w:sz w:val="20"/>
          <w:szCs w:val="20"/>
          <w:color w:val="auto"/>
        </w:rPr>
      </w:pPr>
    </w:p>
    <w:p>
      <w:pPr>
        <w:jc w:val="both"/>
        <w:ind w:left="20" w:right="40" w:firstLine="487"/>
        <w:spacing w:after="0" w:line="231" w:lineRule="auto"/>
        <w:tabs>
          <w:tab w:leader="none" w:pos="909" w:val="left"/>
        </w:tabs>
        <w:numPr>
          <w:ilvl w:val="0"/>
          <w:numId w:val="61"/>
        </w:numPr>
        <w:rPr>
          <w:rFonts w:ascii="Arial" w:cs="Arial" w:eastAsia="Arial" w:hAnsi="Arial"/>
          <w:sz w:val="15"/>
          <w:szCs w:val="15"/>
          <w:color w:val="auto"/>
        </w:rPr>
      </w:pPr>
      <w:r>
        <w:rPr>
          <w:rFonts w:ascii="Arial" w:cs="Arial" w:eastAsia="Arial" w:hAnsi="Arial"/>
          <w:sz w:val="15"/>
          <w:szCs w:val="15"/>
          <w:color w:val="010101"/>
        </w:rPr>
        <w:t>Not later than 1:00 p.m. (New York City time), in the case of any Advance denominated in US Dollars and not later than the Applicable Time specified by the Administrative Agent in the case of any Advance denominated in a Foreign Currency, in each case on the proposed borrowing date, each Lender will make available to the Administrative Agent, for the account of the applicable Borrower, at the office of the Administrative Agent in Same Day Funds in the applicable currency of such Borrowing immediately available to the Administrative Agent, such Lender’s ratable portion of such Borrowing. Each Borrower hereby irrevocably authorizes the Administrative Agent to disburse the proceeds of each Borrowing requested pursuant to this Section in immediately available funds by crediting or wiring such proceeds to the deposit account of the applicable Borrower identified in the most recent notice substantially in the form attached as Exhibit E (a “</w:t>
      </w:r>
      <w:r>
        <w:rPr>
          <w:rFonts w:ascii="Arial" w:cs="Arial" w:eastAsia="Arial" w:hAnsi="Arial"/>
          <w:sz w:val="15"/>
          <w:szCs w:val="15"/>
          <w:u w:val="single" w:color="auto"/>
          <w:color w:val="010101"/>
        </w:rPr>
        <w:t>Notice of Account Designation</w:t>
      </w:r>
      <w:r>
        <w:rPr>
          <w:rFonts w:ascii="Arial" w:cs="Arial" w:eastAsia="Arial" w:hAnsi="Arial"/>
          <w:sz w:val="15"/>
          <w:szCs w:val="15"/>
          <w:color w:val="010101"/>
        </w:rPr>
        <w:t>”) delivered by each Borrower to the Administrative Agent or as may be otherwise agreed upon by such Borrower and the Administrative Agent from time to time. The Administrative Agent shall not be obligated to disburse the portion of the proceeds of any Borrowing requested pursuant to this Section to the extent that any Lender has not made available to the Administrative Agent its ratable portion of such Borrowing.</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083" w:right="479" w:bottom="1440" w:gutter="0" w:footer="0" w:header="0"/>
        </w:sectPr>
      </w:pPr>
    </w:p>
    <w:bookmarkStart w:id="107" w:name="page108"/>
    <w:bookmarkEnd w:id="107"/>
    <w:p>
      <w:pPr>
        <w:ind w:left="500"/>
        <w:spacing w:after="0"/>
        <w:tabs>
          <w:tab w:leader="none" w:pos="1700" w:val="left"/>
        </w:tabs>
        <w:rPr>
          <w:sz w:val="20"/>
          <w:szCs w:val="20"/>
          <w:color w:val="auto"/>
        </w:rPr>
      </w:pPr>
      <w:r>
        <w:rPr>
          <w:rFonts w:ascii="Arial" w:cs="Arial" w:eastAsia="Arial" w:hAnsi="Arial"/>
          <w:sz w:val="16"/>
          <w:szCs w:val="16"/>
          <w:color w:val="auto"/>
        </w:rPr>
        <w:t>SECTION 2.03.</w:t>
      </w:r>
      <w:r>
        <w:rPr>
          <w:sz w:val="20"/>
          <w:szCs w:val="20"/>
          <w:color w:val="auto"/>
        </w:rPr>
        <w:tab/>
      </w:r>
      <w:r>
        <w:rPr>
          <w:rFonts w:ascii="Arial" w:cs="Arial" w:eastAsia="Arial" w:hAnsi="Arial"/>
          <w:sz w:val="14"/>
          <w:szCs w:val="14"/>
          <w:u w:val="single" w:color="auto"/>
          <w:color w:val="010101"/>
        </w:rPr>
        <w:t>[Reserved]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2.04.</w:t>
      </w:r>
      <w:r>
        <w:rPr>
          <w:sz w:val="20"/>
          <w:szCs w:val="20"/>
          <w:color w:val="auto"/>
        </w:rPr>
        <w:tab/>
      </w:r>
      <w:r>
        <w:rPr>
          <w:rFonts w:ascii="Arial" w:cs="Arial" w:eastAsia="Arial" w:hAnsi="Arial"/>
          <w:sz w:val="13"/>
          <w:szCs w:val="13"/>
          <w:u w:val="single" w:color="auto"/>
          <w:color w:val="010101"/>
        </w:rPr>
        <w:t>Fees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firstLine="487"/>
        <w:spacing w:after="0"/>
        <w:tabs>
          <w:tab w:leader="none" w:pos="91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010101"/>
        </w:rPr>
        <w:t>Commitment Fee</w:t>
      </w:r>
      <w:r>
        <w:rPr>
          <w:rFonts w:ascii="Arial" w:cs="Arial" w:eastAsia="Arial" w:hAnsi="Arial"/>
          <w:sz w:val="15"/>
          <w:szCs w:val="15"/>
          <w:color w:val="010101"/>
        </w:rPr>
        <w:t>. Commencing on the Effective Date, the Company agrees to pay to the Administrative Agent in US Dollars, for the account of the Lenders, a non-refundable commitment fee (the “</w:t>
      </w:r>
      <w:r>
        <w:rPr>
          <w:rFonts w:ascii="Arial" w:cs="Arial" w:eastAsia="Arial" w:hAnsi="Arial"/>
          <w:sz w:val="15"/>
          <w:szCs w:val="15"/>
          <w:u w:val="single" w:color="auto"/>
          <w:color w:val="010101"/>
        </w:rPr>
        <w:t>Commitment Fee</w:t>
      </w:r>
      <w:r>
        <w:rPr>
          <w:rFonts w:ascii="Arial" w:cs="Arial" w:eastAsia="Arial" w:hAnsi="Arial"/>
          <w:sz w:val="15"/>
          <w:szCs w:val="15"/>
          <w:color w:val="010101"/>
        </w:rPr>
        <w:t>”) at a rate per annum equal to the Applicable Percentage in effect from time to time on the average daily Unused Commitments of the Lenders (other than the Defaulting Lenders, if any). The Commitment Fee shall be payable in arrears on the last Business Day of each calendar quarter during the term of this Agreement commencing June 30, 2022, and ending on the date upon which all Commitments have been terminated.</w:t>
      </w:r>
    </w:p>
    <w:p>
      <w:pPr>
        <w:spacing w:after="0" w:line="148" w:lineRule="exact"/>
        <w:rPr>
          <w:rFonts w:ascii="Arial" w:cs="Arial" w:eastAsia="Arial" w:hAnsi="Arial"/>
          <w:sz w:val="15"/>
          <w:szCs w:val="15"/>
          <w:color w:val="auto"/>
        </w:rPr>
      </w:pPr>
    </w:p>
    <w:p>
      <w:pPr>
        <w:ind w:left="920" w:hanging="413"/>
        <w:spacing w:after="0"/>
        <w:tabs>
          <w:tab w:leader="none" w:pos="92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010101"/>
        </w:rPr>
        <w:t>Other Fees</w:t>
      </w:r>
      <w:r>
        <w:rPr>
          <w:rFonts w:ascii="Arial" w:cs="Arial" w:eastAsia="Arial" w:hAnsi="Arial"/>
          <w:sz w:val="15"/>
          <w:szCs w:val="15"/>
          <w:color w:val="010101"/>
        </w:rPr>
        <w:t>. The Company shall pay to the Administrative Agent for its account fees in the amounts and at the times specified in the Engagement Letter.</w:t>
      </w:r>
    </w:p>
    <w:p>
      <w:pPr>
        <w:spacing w:after="0" w:line="167" w:lineRule="exact"/>
        <w:rPr>
          <w:sz w:val="20"/>
          <w:szCs w:val="20"/>
          <w:color w:val="auto"/>
        </w:rPr>
      </w:pPr>
    </w:p>
    <w:p>
      <w:pPr>
        <w:ind w:left="500"/>
        <w:spacing w:after="0"/>
        <w:tabs>
          <w:tab w:leader="none" w:pos="1700" w:val="left"/>
          <w:tab w:leader="none" w:pos="2680" w:val="left"/>
          <w:tab w:leader="none" w:pos="3520" w:val="left"/>
          <w:tab w:leader="none" w:pos="3800" w:val="left"/>
          <w:tab w:leader="none" w:pos="4500" w:val="left"/>
          <w:tab w:leader="none" w:pos="4800" w:val="left"/>
          <w:tab w:leader="none" w:pos="5160" w:val="left"/>
        </w:tabs>
        <w:rPr>
          <w:sz w:val="20"/>
          <w:szCs w:val="20"/>
          <w:color w:val="auto"/>
        </w:rPr>
      </w:pPr>
      <w:r>
        <w:rPr>
          <w:rFonts w:ascii="Arial" w:cs="Arial" w:eastAsia="Arial" w:hAnsi="Arial"/>
          <w:sz w:val="16"/>
          <w:szCs w:val="16"/>
          <w:color w:val="auto"/>
        </w:rPr>
        <w:t>SECTION 2.05.</w:t>
      </w:r>
      <w:r>
        <w:rPr>
          <w:rFonts w:ascii="Arial" w:cs="Arial" w:eastAsia="Arial" w:hAnsi="Arial"/>
          <w:sz w:val="16"/>
          <w:szCs w:val="16"/>
          <w:color w:val="010101"/>
        </w:rPr>
        <w:tab/>
        <w:t>Termination,</w:t>
        <w:tab/>
        <w:t>Reduction</w:t>
        <w:tab/>
        <w:t>or</w:t>
        <w:tab/>
        <w:t>Increase</w:t>
        <w:tab/>
        <w:t>of</w:t>
        <w:tab/>
        <w:t>the</w:t>
      </w:r>
      <w:r>
        <w:rPr>
          <w:sz w:val="20"/>
          <w:szCs w:val="20"/>
          <w:color w:val="auto"/>
        </w:rPr>
        <w:tab/>
      </w:r>
      <w:r>
        <w:rPr>
          <w:rFonts w:ascii="Arial" w:cs="Arial" w:eastAsia="Arial" w:hAnsi="Arial"/>
          <w:sz w:val="14"/>
          <w:szCs w:val="14"/>
          <w:color w:val="010101"/>
        </w:rPr>
        <w:t>Commitments</w:t>
      </w:r>
      <w:r>
        <w:rPr>
          <w:rFonts w:ascii="Arial" w:cs="Arial" w:eastAsia="Arial" w:hAnsi="Arial"/>
          <w:sz w:val="14"/>
          <w:szCs w:val="14"/>
          <w:b w:val="1"/>
          <w:bCs w:val="1"/>
          <w:color w:val="0000FF"/>
        </w:rPr>
        <w:t>;</w:t>
      </w:r>
      <w:r>
        <w:rPr>
          <w:rFonts w:ascii="Arial" w:cs="Arial" w:eastAsia="Arial" w:hAnsi="Arial"/>
          <w:sz w:val="14"/>
          <w:szCs w:val="14"/>
          <w:color w:val="010101"/>
        </w:rPr>
        <w:t xml:space="preserve"> </w:t>
      </w:r>
      <w:r>
        <w:rPr>
          <w:rFonts w:ascii="Arial" w:cs="Arial" w:eastAsia="Arial" w:hAnsi="Arial"/>
          <w:sz w:val="14"/>
          <w:szCs w:val="14"/>
          <w:b w:val="1"/>
          <w:bCs w:val="1"/>
          <w:u w:val="single" w:color="auto"/>
          <w:color w:val="0000FF"/>
        </w:rPr>
        <w:t>Incrementa</w:t>
      </w:r>
      <w:r>
        <w:rPr>
          <w:rFonts w:ascii="Arial" w:cs="Arial" w:eastAsia="Arial" w:hAnsi="Arial"/>
          <w:sz w:val="14"/>
          <w:szCs w:val="14"/>
          <w:b w:val="1"/>
          <w:bCs w:val="1"/>
          <w:color w:val="0000FF"/>
        </w:rPr>
        <w:t>l Facilities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right="20" w:firstLine="487"/>
        <w:spacing w:after="0" w:line="220" w:lineRule="auto"/>
        <w:tabs>
          <w:tab w:leader="none" w:pos="91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010101"/>
        </w:rPr>
        <w:t>Optional Termination or Reduction</w:t>
      </w:r>
      <w:r>
        <w:rPr>
          <w:rFonts w:ascii="Arial" w:cs="Arial" w:eastAsia="Arial" w:hAnsi="Arial"/>
          <w:sz w:val="16"/>
          <w:szCs w:val="16"/>
          <w:color w:val="010101"/>
        </w:rPr>
        <w:t xml:space="preserve">. The Borrowers shall have the right, upon at least three Business Days’ notice by the Company to the Administrative Agent, to terminate in whole or reduce ratably in part the Unused Commitments,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each partial reduction shall be in the aggregate amount of $10,000,000 or an integral multiple of $1,000,000, in excess thereof,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further</w:t>
      </w:r>
      <w:r>
        <w:rPr>
          <w:rFonts w:ascii="Arial" w:cs="Arial" w:eastAsia="Arial" w:hAnsi="Arial"/>
          <w:sz w:val="16"/>
          <w:szCs w:val="16"/>
          <w:color w:val="010101"/>
        </w:rPr>
        <w:t>, that a notice of termination delivered by the Company may state that such notice is conditioned upon the consummation of another transaction, in which case such notice may be revoked by the Company (by notice to the Administrative Agent on or prior to the specified effective date) if such condition is not satisfied. The aggregate amount of the Commitments of any Tranche once reduced as provided in this Section 2.05(a), may not be reinstated, except as provided in Section 2.05(b) below.</w:t>
      </w:r>
    </w:p>
    <w:p>
      <w:pPr>
        <w:spacing w:after="0" w:line="135" w:lineRule="exact"/>
        <w:rPr>
          <w:rFonts w:ascii="Arial" w:cs="Arial" w:eastAsia="Arial" w:hAnsi="Arial"/>
          <w:sz w:val="16"/>
          <w:szCs w:val="16"/>
          <w:color w:val="auto"/>
        </w:rPr>
      </w:pPr>
    </w:p>
    <w:p>
      <w:pPr>
        <w:ind w:left="20" w:right="40" w:firstLine="487"/>
        <w:spacing w:after="0" w:line="218" w:lineRule="auto"/>
        <w:tabs>
          <w:tab w:leader="none" w:pos="909" w:val="left"/>
        </w:tabs>
        <w:numPr>
          <w:ilvl w:val="0"/>
          <w:numId w:val="63"/>
        </w:numPr>
        <w:rPr>
          <w:rFonts w:ascii="Arial" w:cs="Arial" w:eastAsia="Arial" w:hAnsi="Arial"/>
          <w:sz w:val="16"/>
          <w:szCs w:val="16"/>
          <w:color w:val="auto"/>
        </w:rPr>
      </w:pPr>
      <w:r>
        <w:rPr>
          <w:rFonts w:ascii="Arial" w:cs="Arial" w:eastAsia="Arial" w:hAnsi="Arial"/>
          <w:sz w:val="16"/>
          <w:szCs w:val="16"/>
          <w:color w:val="FF0000"/>
          <w:strike w:val="1"/>
        </w:rPr>
        <w:t>Increase in Aggregate of the Commitments</w:t>
      </w:r>
      <w:r>
        <w:rPr>
          <w:rFonts w:ascii="Arial" w:cs="Arial" w:eastAsia="Arial" w:hAnsi="Arial"/>
          <w:sz w:val="16"/>
          <w:szCs w:val="16"/>
          <w:b w:val="1"/>
          <w:bCs w:val="1"/>
          <w:u w:val="single" w:color="auto"/>
          <w:color w:val="0000FF"/>
        </w:rPr>
        <w:t>Incremental Facilities</w:t>
      </w:r>
      <w:r>
        <w:rPr>
          <w:rFonts w:ascii="Arial" w:cs="Arial" w:eastAsia="Arial" w:hAnsi="Arial"/>
          <w:sz w:val="16"/>
          <w:szCs w:val="16"/>
          <w:color w:val="010101"/>
        </w:rPr>
        <w:t>. (i) The Company, on behalf of the Borrowers, may at any time, by notice to the</w:t>
      </w:r>
      <w:r>
        <w:rPr>
          <w:rFonts w:ascii="Arial" w:cs="Arial" w:eastAsia="Arial" w:hAnsi="Arial"/>
          <w:sz w:val="16"/>
          <w:szCs w:val="16"/>
          <w:color w:val="FF0000"/>
        </w:rPr>
        <w:t xml:space="preserve"> </w:t>
      </w:r>
      <w:r>
        <w:rPr>
          <w:rFonts w:ascii="Arial" w:cs="Arial" w:eastAsia="Arial" w:hAnsi="Arial"/>
          <w:sz w:val="16"/>
          <w:szCs w:val="16"/>
          <w:color w:val="010101"/>
        </w:rPr>
        <w:t xml:space="preserve">Administrative Agent, propose that the aggregate amount of the Commitments </w:t>
      </w:r>
      <w:r>
        <w:rPr>
          <w:rFonts w:ascii="Arial" w:cs="Arial" w:eastAsia="Arial" w:hAnsi="Arial"/>
          <w:sz w:val="16"/>
          <w:szCs w:val="16"/>
          <w:b w:val="1"/>
          <w:bCs w:val="1"/>
          <w:color w:val="0000FF"/>
        </w:rPr>
        <w:t>or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Commitments</w:t>
      </w:r>
      <w:r>
        <w:rPr>
          <w:rFonts w:ascii="Arial" w:cs="Arial" w:eastAsia="Arial" w:hAnsi="Arial"/>
          <w:sz w:val="16"/>
          <w:szCs w:val="16"/>
          <w:color w:val="010101"/>
        </w:rPr>
        <w:t xml:space="preserve"> of any Tranche </w:t>
      </w:r>
      <w:r>
        <w:rPr>
          <w:rFonts w:ascii="Arial" w:cs="Arial" w:eastAsia="Arial" w:hAnsi="Arial"/>
          <w:sz w:val="16"/>
          <w:szCs w:val="16"/>
          <w:color w:val="FF0000"/>
          <w:strike w:val="1"/>
        </w:rPr>
        <w:t>(whether in the form of incremental term</w:t>
      </w:r>
      <w:r>
        <w:rPr>
          <w:rFonts w:ascii="Arial" w:cs="Arial" w:eastAsia="Arial" w:hAnsi="Arial"/>
          <w:sz w:val="16"/>
          <w:szCs w:val="16"/>
          <w:color w:val="010101"/>
        </w:rPr>
        <w:t xml:space="preserve"> </w:t>
      </w:r>
      <w:r>
        <w:rPr>
          <w:rFonts w:ascii="Arial" w:cs="Arial" w:eastAsia="Arial" w:hAnsi="Arial"/>
          <w:sz w:val="16"/>
          <w:szCs w:val="16"/>
          <w:color w:val="FF0000"/>
          <w:strike w:val="1"/>
        </w:rPr>
        <w:t>loans or revolving credit facility increases)</w:t>
      </w:r>
      <w:r>
        <w:rPr>
          <w:rFonts w:ascii="Arial" w:cs="Arial" w:eastAsia="Arial" w:hAnsi="Arial"/>
          <w:sz w:val="16"/>
          <w:szCs w:val="16"/>
          <w:color w:val="FF0000"/>
        </w:rPr>
        <w:t xml:space="preserve"> </w:t>
      </w:r>
      <w:r>
        <w:rPr>
          <w:rFonts w:ascii="Arial" w:cs="Arial" w:eastAsia="Arial" w:hAnsi="Arial"/>
          <w:sz w:val="16"/>
          <w:szCs w:val="16"/>
          <w:color w:val="010101"/>
        </w:rPr>
        <w:t>be increased (such aggregate amount being, a “Commitment Increase”)</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or tha</w:t>
      </w:r>
      <w:r>
        <w:rPr>
          <w:rFonts w:ascii="Arial" w:cs="Arial" w:eastAsia="Arial" w:hAnsi="Arial"/>
          <w:sz w:val="16"/>
          <w:szCs w:val="16"/>
          <w:b w:val="1"/>
          <w:bCs w:val="1"/>
          <w:color w:val="0000FF"/>
        </w:rPr>
        <w:t>t a n</w:t>
      </w:r>
      <w:r>
        <w:rPr>
          <w:rFonts w:ascii="Arial" w:cs="Arial" w:eastAsia="Arial" w:hAnsi="Arial"/>
          <w:sz w:val="16"/>
          <w:szCs w:val="16"/>
          <w:b w:val="1"/>
          <w:bCs w:val="1"/>
          <w:u w:val="single" w:color="auto"/>
          <w:color w:val="0000FF"/>
        </w:rPr>
        <w:t>e</w:t>
      </w:r>
      <w:r>
        <w:rPr>
          <w:rFonts w:ascii="Arial" w:cs="Arial" w:eastAsia="Arial" w:hAnsi="Arial"/>
          <w:sz w:val="16"/>
          <w:szCs w:val="16"/>
          <w:b w:val="1"/>
          <w:bCs w:val="1"/>
          <w:color w:val="0000FF"/>
        </w:rPr>
        <w:t>w T</w:t>
      </w:r>
      <w:r>
        <w:rPr>
          <w:rFonts w:ascii="Arial" w:cs="Arial" w:eastAsia="Arial" w:hAnsi="Arial"/>
          <w:sz w:val="16"/>
          <w:szCs w:val="16"/>
          <w:b w:val="1"/>
          <w:bCs w:val="1"/>
          <w:u w:val="single" w:color="auto"/>
          <w:color w:val="0000FF"/>
        </w:rPr>
        <w:t>ranch</w:t>
      </w:r>
      <w:r>
        <w:rPr>
          <w:rFonts w:ascii="Arial" w:cs="Arial" w:eastAsia="Arial" w:hAnsi="Arial"/>
          <w:sz w:val="16"/>
          <w:szCs w:val="16"/>
          <w:b w:val="1"/>
          <w:bCs w:val="1"/>
          <w:color w:val="0000FF"/>
        </w:rPr>
        <w:t>e of</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term loans be established</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(an “Incremental Term Loan Commitment”, and together with a Commitmen</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Increase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eac</w:t>
      </w:r>
      <w:r>
        <w:rPr>
          <w:rFonts w:ascii="Arial" w:cs="Arial" w:eastAsia="Arial" w:hAnsi="Arial"/>
          <w:sz w:val="16"/>
          <w:szCs w:val="16"/>
          <w:b w:val="1"/>
          <w:bCs w:val="1"/>
          <w:color w:val="0000FF"/>
        </w:rPr>
        <w:t xml:space="preserve">h </w:t>
      </w:r>
      <w:r>
        <w:rPr>
          <w:rFonts w:ascii="Arial" w:cs="Arial" w:eastAsia="Arial" w:hAnsi="Arial"/>
          <w:sz w:val="16"/>
          <w:szCs w:val="16"/>
          <w:b w:val="1"/>
          <w:bCs w:val="1"/>
          <w:u w:val="single" w:color="auto"/>
          <w:color w:val="0000FF"/>
        </w:rPr>
        <w:t>a</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l Facility”)</w:t>
      </w:r>
      <w:r>
        <w:rPr>
          <w:rFonts w:ascii="Arial" w:cs="Arial" w:eastAsia="Arial" w:hAnsi="Arial"/>
          <w:sz w:val="16"/>
          <w:szCs w:val="16"/>
          <w:color w:val="010101"/>
        </w:rPr>
        <w:t>, effective as at a date prior to the date of</w:t>
      </w:r>
      <w:r>
        <w:rPr>
          <w:rFonts w:ascii="Arial" w:cs="Arial" w:eastAsia="Arial" w:hAnsi="Arial"/>
          <w:sz w:val="16"/>
          <w:szCs w:val="16"/>
          <w:b w:val="1"/>
          <w:bCs w:val="1"/>
          <w:color w:val="0000FF"/>
        </w:rPr>
        <w:t xml:space="preserve"> </w:t>
      </w:r>
      <w:r>
        <w:rPr>
          <w:rFonts w:ascii="Arial" w:cs="Arial" w:eastAsia="Arial" w:hAnsi="Arial"/>
          <w:sz w:val="16"/>
          <w:szCs w:val="16"/>
          <w:color w:val="010101"/>
        </w:rPr>
        <w:t xml:space="preserve">the termination of all of the Commitments </w:t>
      </w:r>
      <w:r>
        <w:rPr>
          <w:rFonts w:ascii="Arial" w:cs="Arial" w:eastAsia="Arial" w:hAnsi="Arial"/>
          <w:sz w:val="16"/>
          <w:szCs w:val="16"/>
          <w:b w:val="1"/>
          <w:bCs w:val="1"/>
          <w:u w:val="single" w:color="auto"/>
          <w:color w:val="0000FF"/>
        </w:rPr>
        <w:t>or 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C</w:t>
      </w:r>
      <w:r>
        <w:rPr>
          <w:rFonts w:ascii="Arial" w:cs="Arial" w:eastAsia="Arial" w:hAnsi="Arial"/>
          <w:sz w:val="16"/>
          <w:szCs w:val="16"/>
          <w:b w:val="1"/>
          <w:bCs w:val="1"/>
          <w:u w:val="single" w:color="auto"/>
          <w:color w:val="0000FF"/>
        </w:rPr>
        <w:t>ommitments</w:t>
      </w:r>
      <w:r>
        <w:rPr>
          <w:rFonts w:ascii="Arial" w:cs="Arial" w:eastAsia="Arial" w:hAnsi="Arial"/>
          <w:sz w:val="16"/>
          <w:szCs w:val="16"/>
          <w:b w:val="1"/>
          <w:bCs w:val="1"/>
          <w:color w:val="0000FF"/>
        </w:rPr>
        <w:t>, as applicable,</w:t>
      </w:r>
      <w:r>
        <w:rPr>
          <w:rFonts w:ascii="Arial" w:cs="Arial" w:eastAsia="Arial" w:hAnsi="Arial"/>
          <w:sz w:val="16"/>
          <w:szCs w:val="16"/>
          <w:color w:val="010101"/>
        </w:rPr>
        <w:t xml:space="preserve"> of such Tranche (as such date may be changed by the Company by notice to the Administrative Agent, an “Increase Date”) as to which agreement is to be reached by an earlier date specified in such notice (as such date may be changed by the Company by notice to the Administrative Agent, a “Commitment Date”); provided, however, that (A) the minimum proposed </w:t>
      </w:r>
      <w:r>
        <w:rPr>
          <w:rFonts w:ascii="Arial" w:cs="Arial" w:eastAsia="Arial" w:hAnsi="Arial"/>
          <w:sz w:val="16"/>
          <w:szCs w:val="16"/>
          <w:color w:val="FF0000"/>
          <w:strike w:val="1"/>
        </w:rPr>
        <w:t>Commitment Increase</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l Facility</w:t>
      </w:r>
      <w:r>
        <w:rPr>
          <w:rFonts w:ascii="Arial" w:cs="Arial" w:eastAsia="Arial" w:hAnsi="Arial"/>
          <w:sz w:val="16"/>
          <w:szCs w:val="16"/>
          <w:color w:val="010101"/>
        </w:rPr>
        <w:t xml:space="preserve"> per notice shall be $25,000,000 (or such lesser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-636270</wp:posOffset>
            </wp:positionV>
            <wp:extent cx="7683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6835" cy="63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108" w:name="page109"/>
    <w:bookmarkEnd w:id="108"/>
    <w:p>
      <w:pPr>
        <w:jc w:val="both"/>
        <w:ind w:left="20"/>
        <w:spacing w:after="0" w:line="227" w:lineRule="auto"/>
        <w:rPr>
          <w:sz w:val="20"/>
          <w:szCs w:val="20"/>
          <w:color w:val="auto"/>
        </w:rPr>
      </w:pPr>
      <w:r>
        <w:rPr>
          <w:rFonts w:ascii="Arial" w:cs="Arial" w:eastAsia="Arial" w:hAnsi="Arial"/>
          <w:sz w:val="15"/>
          <w:szCs w:val="15"/>
          <w:color w:val="010101"/>
        </w:rPr>
        <w:t xml:space="preserve">amount as the Administrative Agent may agree), (B) in no event shall the aggregate amount of the </w:t>
      </w:r>
      <w:r>
        <w:rPr>
          <w:rFonts w:ascii="Arial" w:cs="Arial" w:eastAsia="Arial" w:hAnsi="Arial"/>
          <w:sz w:val="15"/>
          <w:szCs w:val="15"/>
          <w:color w:val="FF0000"/>
          <w:strike w:val="1"/>
        </w:rPr>
        <w:t>Commitments</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 F</w:t>
      </w:r>
      <w:r>
        <w:rPr>
          <w:rFonts w:ascii="Arial" w:cs="Arial" w:eastAsia="Arial" w:hAnsi="Arial"/>
          <w:sz w:val="15"/>
          <w:szCs w:val="15"/>
          <w:b w:val="1"/>
          <w:bCs w:val="1"/>
          <w:u w:val="single" w:color="auto"/>
          <w:color w:val="0000FF"/>
        </w:rPr>
        <w:t>acilitie</w:t>
      </w:r>
      <w:r>
        <w:rPr>
          <w:rFonts w:ascii="Arial" w:cs="Arial" w:eastAsia="Arial" w:hAnsi="Arial"/>
          <w:sz w:val="15"/>
          <w:szCs w:val="15"/>
          <w:b w:val="1"/>
          <w:bCs w:val="1"/>
          <w:color w:val="0000FF"/>
        </w:rPr>
        <w:t>s a</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n</w:t>
      </w:r>
      <w:r>
        <w:rPr>
          <w:rFonts w:ascii="Arial" w:cs="Arial" w:eastAsia="Arial" w:hAnsi="Arial"/>
          <w:sz w:val="15"/>
          <w:szCs w:val="15"/>
          <w:b w:val="1"/>
          <w:bCs w:val="1"/>
          <w:color w:val="0000FF"/>
        </w:rPr>
        <w:t>d t</w:t>
      </w:r>
      <w:r>
        <w:rPr>
          <w:rFonts w:ascii="Arial" w:cs="Arial" w:eastAsia="Arial" w:hAnsi="Arial"/>
          <w:sz w:val="15"/>
          <w:szCs w:val="15"/>
          <w:b w:val="1"/>
          <w:bCs w:val="1"/>
          <w:u w:val="single" w:color="auto"/>
          <w:color w:val="0000FF"/>
        </w:rPr>
        <w:t>h</w:t>
      </w:r>
      <w:r>
        <w:rPr>
          <w:rFonts w:ascii="Arial" w:cs="Arial" w:eastAsia="Arial" w:hAnsi="Arial"/>
          <w:sz w:val="15"/>
          <w:szCs w:val="15"/>
          <w:b w:val="1"/>
          <w:bCs w:val="1"/>
          <w:color w:val="0000FF"/>
        </w:rPr>
        <w:t>e p</w:t>
      </w:r>
      <w:r>
        <w:rPr>
          <w:rFonts w:ascii="Arial" w:cs="Arial" w:eastAsia="Arial" w:hAnsi="Arial"/>
          <w:sz w:val="15"/>
          <w:szCs w:val="15"/>
          <w:b w:val="1"/>
          <w:bCs w:val="1"/>
          <w:u w:val="single" w:color="auto"/>
          <w:color w:val="0000FF"/>
        </w:rPr>
        <w:t>rincipa</w:t>
      </w:r>
      <w:r>
        <w:rPr>
          <w:rFonts w:ascii="Arial" w:cs="Arial" w:eastAsia="Arial" w:hAnsi="Arial"/>
          <w:sz w:val="15"/>
          <w:szCs w:val="15"/>
          <w:b w:val="1"/>
          <w:bCs w:val="1"/>
          <w:color w:val="0000FF"/>
        </w:rPr>
        <w:t>l a</w:t>
      </w:r>
      <w:r>
        <w:rPr>
          <w:rFonts w:ascii="Arial" w:cs="Arial" w:eastAsia="Arial" w:hAnsi="Arial"/>
          <w:sz w:val="15"/>
          <w:szCs w:val="15"/>
          <w:b w:val="1"/>
          <w:bCs w:val="1"/>
          <w:u w:val="single" w:color="auto"/>
          <w:color w:val="0000FF"/>
        </w:rPr>
        <w:t>moun</w:t>
      </w:r>
      <w:r>
        <w:rPr>
          <w:rFonts w:ascii="Arial" w:cs="Arial" w:eastAsia="Arial" w:hAnsi="Arial"/>
          <w:sz w:val="15"/>
          <w:szCs w:val="15"/>
          <w:b w:val="1"/>
          <w:bCs w:val="1"/>
          <w:color w:val="0000FF"/>
        </w:rPr>
        <w:t>t of</w:t>
      </w:r>
      <w:r>
        <w:rPr>
          <w:rFonts w:ascii="Arial" w:cs="Arial" w:eastAsia="Arial" w:hAnsi="Arial"/>
          <w:sz w:val="15"/>
          <w:szCs w:val="15"/>
          <w:color w:val="010101"/>
        </w:rPr>
        <w:t xml:space="preserve"> </w:t>
      </w:r>
      <w:r>
        <w:rPr>
          <w:rFonts w:ascii="Arial" w:cs="Arial" w:eastAsia="Arial" w:hAnsi="Arial"/>
          <w:sz w:val="15"/>
          <w:szCs w:val="15"/>
          <w:b w:val="1"/>
          <w:bCs w:val="1"/>
          <w:color w:val="0000FF"/>
        </w:rPr>
        <w:t>o</w:t>
      </w:r>
      <w:r>
        <w:rPr>
          <w:rFonts w:ascii="Arial" w:cs="Arial" w:eastAsia="Arial" w:hAnsi="Arial"/>
          <w:sz w:val="15"/>
          <w:szCs w:val="15"/>
          <w:b w:val="1"/>
          <w:bCs w:val="1"/>
          <w:u w:val="single" w:color="auto"/>
          <w:color w:val="0000FF"/>
        </w:rPr>
        <w:t>utstandin</w:t>
      </w:r>
      <w:r>
        <w:rPr>
          <w:rFonts w:ascii="Arial" w:cs="Arial" w:eastAsia="Arial" w:hAnsi="Arial"/>
          <w:sz w:val="15"/>
          <w:szCs w:val="15"/>
          <w:b w:val="1"/>
          <w:bCs w:val="1"/>
          <w:color w:val="0000FF"/>
        </w:rPr>
        <w:t xml:space="preserve">g Advances </w:t>
      </w:r>
      <w:r>
        <w:rPr>
          <w:rFonts w:ascii="Arial" w:cs="Arial" w:eastAsia="Arial" w:hAnsi="Arial"/>
          <w:sz w:val="15"/>
          <w:szCs w:val="15"/>
          <w:color w:val="010101"/>
        </w:rPr>
        <w:t>at any time exceed $</w:t>
      </w:r>
      <w:r>
        <w:rPr>
          <w:rFonts w:ascii="Arial" w:cs="Arial" w:eastAsia="Arial" w:hAnsi="Arial"/>
          <w:sz w:val="15"/>
          <w:szCs w:val="15"/>
          <w:color w:val="FF0000"/>
          <w:strike w:val="1"/>
        </w:rPr>
        <w:t>450,000,000</w:t>
      </w:r>
      <w:r>
        <w:rPr>
          <w:rFonts w:ascii="Arial" w:cs="Arial" w:eastAsia="Arial" w:hAnsi="Arial"/>
          <w:sz w:val="15"/>
          <w:szCs w:val="15"/>
          <w:b w:val="1"/>
          <w:bCs w:val="1"/>
          <w:u w:val="single" w:color="auto"/>
          <w:color w:val="0000FF"/>
        </w:rPr>
        <w:t>600,000,000</w:t>
      </w:r>
      <w:r>
        <w:rPr>
          <w:rFonts w:ascii="Arial" w:cs="Arial" w:eastAsia="Arial" w:hAnsi="Arial"/>
          <w:sz w:val="15"/>
          <w:szCs w:val="15"/>
          <w:b w:val="1"/>
          <w:bCs w:val="1"/>
          <w:color w:val="0000FF"/>
        </w:rPr>
        <w:t xml:space="preserve"> </w:t>
      </w:r>
      <w:r>
        <w:rPr>
          <w:rFonts w:ascii="Arial" w:cs="Arial" w:eastAsia="Arial" w:hAnsi="Arial"/>
          <w:sz w:val="15"/>
          <w:szCs w:val="15"/>
          <w:color w:val="010101"/>
        </w:rPr>
        <w:t>and (C) no Default or Event of Default shall have occurred and be continuing on such Increase</w:t>
      </w:r>
      <w:r>
        <w:rPr>
          <w:rFonts w:ascii="Arial" w:cs="Arial" w:eastAsia="Arial" w:hAnsi="Arial"/>
          <w:sz w:val="15"/>
          <w:szCs w:val="15"/>
          <w:b w:val="1"/>
          <w:bCs w:val="1"/>
          <w:color w:val="0000FF"/>
        </w:rPr>
        <w:t xml:space="preserve"> </w:t>
      </w:r>
      <w:r>
        <w:rPr>
          <w:rFonts w:ascii="Arial" w:cs="Arial" w:eastAsia="Arial" w:hAnsi="Arial"/>
          <w:sz w:val="15"/>
          <w:szCs w:val="15"/>
          <w:color w:val="010101"/>
        </w:rPr>
        <w:t xml:space="preserve">Date. The Administrative Agent shall notify the Lenders thereof promptly upon its receipt of any such notice. The Administrative Agent agrees that it will cooperate with the Borrowers in discussions with the Lenders and other Eligible Assignees with a view to arranging the proposed </w:t>
      </w:r>
      <w:r>
        <w:rPr>
          <w:rFonts w:ascii="Arial" w:cs="Arial" w:eastAsia="Arial" w:hAnsi="Arial"/>
          <w:sz w:val="15"/>
          <w:szCs w:val="15"/>
          <w:color w:val="FF0000"/>
          <w:strike w:val="1"/>
        </w:rPr>
        <w:t>Commitment Increase</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 Facility</w:t>
      </w:r>
      <w:r>
        <w:rPr>
          <w:rFonts w:ascii="Arial" w:cs="Arial" w:eastAsia="Arial" w:hAnsi="Arial"/>
          <w:sz w:val="15"/>
          <w:szCs w:val="15"/>
          <w:color w:val="010101"/>
        </w:rPr>
        <w:t xml:space="preserve"> through the increase of the Commitments </w:t>
      </w:r>
      <w:r>
        <w:rPr>
          <w:rFonts w:ascii="Arial" w:cs="Arial" w:eastAsia="Arial" w:hAnsi="Arial"/>
          <w:sz w:val="15"/>
          <w:szCs w:val="15"/>
          <w:b w:val="1"/>
          <w:bCs w:val="1"/>
          <w:u w:val="single" w:color="auto"/>
          <w:color w:val="0000FF"/>
        </w:rPr>
        <w:t>o</w:t>
      </w:r>
      <w:r>
        <w:rPr>
          <w:rFonts w:ascii="Arial" w:cs="Arial" w:eastAsia="Arial" w:hAnsi="Arial"/>
          <w:sz w:val="15"/>
          <w:szCs w:val="15"/>
          <w:b w:val="1"/>
          <w:bCs w:val="1"/>
          <w:color w:val="0000FF"/>
        </w:rPr>
        <w:t>r T</w:t>
      </w:r>
      <w:r>
        <w:rPr>
          <w:rFonts w:ascii="Arial" w:cs="Arial" w:eastAsia="Arial" w:hAnsi="Arial"/>
          <w:sz w:val="15"/>
          <w:szCs w:val="15"/>
          <w:b w:val="1"/>
          <w:bCs w:val="1"/>
          <w:u w:val="single" w:color="auto"/>
          <w:color w:val="0000FF"/>
        </w:rPr>
        <w:t>er</w:t>
      </w:r>
      <w:r>
        <w:rPr>
          <w:rFonts w:ascii="Arial" w:cs="Arial" w:eastAsia="Arial" w:hAnsi="Arial"/>
          <w:sz w:val="15"/>
          <w:szCs w:val="15"/>
          <w:b w:val="1"/>
          <w:bCs w:val="1"/>
          <w:color w:val="0000FF"/>
        </w:rPr>
        <w:t>m L</w:t>
      </w:r>
      <w:r>
        <w:rPr>
          <w:rFonts w:ascii="Arial" w:cs="Arial" w:eastAsia="Arial" w:hAnsi="Arial"/>
          <w:sz w:val="15"/>
          <w:szCs w:val="15"/>
          <w:b w:val="1"/>
          <w:bCs w:val="1"/>
          <w:u w:val="single" w:color="auto"/>
          <w:color w:val="0000FF"/>
        </w:rPr>
        <w:t>oa</w:t>
      </w:r>
      <w:r>
        <w:rPr>
          <w:rFonts w:ascii="Arial" w:cs="Arial" w:eastAsia="Arial" w:hAnsi="Arial"/>
          <w:sz w:val="15"/>
          <w:szCs w:val="15"/>
          <w:b w:val="1"/>
          <w:bCs w:val="1"/>
          <w:color w:val="0000FF"/>
        </w:rPr>
        <w:t>n C</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ommitments</w:t>
      </w:r>
      <w:r>
        <w:rPr>
          <w:rFonts w:ascii="Arial" w:cs="Arial" w:eastAsia="Arial" w:hAnsi="Arial"/>
          <w:sz w:val="15"/>
          <w:szCs w:val="15"/>
          <w:b w:val="1"/>
          <w:bCs w:val="1"/>
          <w:color w:val="0000FF"/>
        </w:rPr>
        <w:t>, as a</w:t>
      </w:r>
      <w:r>
        <w:rPr>
          <w:rFonts w:ascii="Arial" w:cs="Arial" w:eastAsia="Arial" w:hAnsi="Arial"/>
          <w:sz w:val="15"/>
          <w:szCs w:val="15"/>
          <w:b w:val="1"/>
          <w:bCs w:val="1"/>
          <w:u w:val="single" w:color="auto"/>
          <w:color w:val="0000FF"/>
        </w:rPr>
        <w:t>pplicable</w:t>
      </w:r>
      <w:r>
        <w:rPr>
          <w:rFonts w:ascii="Arial" w:cs="Arial" w:eastAsia="Arial" w:hAnsi="Arial"/>
          <w:sz w:val="15"/>
          <w:szCs w:val="15"/>
          <w:b w:val="1"/>
          <w:bCs w:val="1"/>
          <w:color w:val="0000FF"/>
        </w:rPr>
        <w:t>, or the</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establishmen</w:t>
      </w:r>
      <w:r>
        <w:rPr>
          <w:rFonts w:ascii="Arial" w:cs="Arial" w:eastAsia="Arial" w:hAnsi="Arial"/>
          <w:sz w:val="15"/>
          <w:szCs w:val="15"/>
          <w:color w:val="010101"/>
        </w:rPr>
        <w:t xml:space="preserve"> </w:t>
      </w:r>
      <w:r>
        <w:rPr>
          <w:rFonts w:ascii="Arial" w:cs="Arial" w:eastAsia="Arial" w:hAnsi="Arial"/>
          <w:sz w:val="15"/>
          <w:szCs w:val="15"/>
          <w:b w:val="1"/>
          <w:bCs w:val="1"/>
          <w:color w:val="0000FF"/>
        </w:rPr>
        <w:t>t of an I</w:t>
      </w:r>
      <w:r>
        <w:rPr>
          <w:rFonts w:ascii="Arial" w:cs="Arial" w:eastAsia="Arial" w:hAnsi="Arial"/>
          <w:sz w:val="15"/>
          <w:szCs w:val="15"/>
          <w:b w:val="1"/>
          <w:bCs w:val="1"/>
          <w:u w:val="single" w:color="auto"/>
          <w:color w:val="0000FF"/>
        </w:rPr>
        <w:t>ncrementa</w:t>
      </w:r>
      <w:r>
        <w:rPr>
          <w:rFonts w:ascii="Arial" w:cs="Arial" w:eastAsia="Arial" w:hAnsi="Arial"/>
          <w:sz w:val="15"/>
          <w:szCs w:val="15"/>
          <w:b w:val="1"/>
          <w:bCs w:val="1"/>
          <w:color w:val="0000FF"/>
        </w:rPr>
        <w:t>l T</w:t>
      </w:r>
      <w:r>
        <w:rPr>
          <w:rFonts w:ascii="Arial" w:cs="Arial" w:eastAsia="Arial" w:hAnsi="Arial"/>
          <w:sz w:val="15"/>
          <w:szCs w:val="15"/>
          <w:b w:val="1"/>
          <w:bCs w:val="1"/>
          <w:u w:val="single" w:color="auto"/>
          <w:color w:val="0000FF"/>
        </w:rPr>
        <w:t>er</w:t>
      </w:r>
      <w:r>
        <w:rPr>
          <w:rFonts w:ascii="Arial" w:cs="Arial" w:eastAsia="Arial" w:hAnsi="Arial"/>
          <w:sz w:val="15"/>
          <w:szCs w:val="15"/>
          <w:b w:val="1"/>
          <w:bCs w:val="1"/>
          <w:color w:val="0000FF"/>
        </w:rPr>
        <w:t>m L</w:t>
      </w:r>
      <w:r>
        <w:rPr>
          <w:rFonts w:ascii="Arial" w:cs="Arial" w:eastAsia="Arial" w:hAnsi="Arial"/>
          <w:sz w:val="15"/>
          <w:szCs w:val="15"/>
          <w:b w:val="1"/>
          <w:bCs w:val="1"/>
          <w:u w:val="single" w:color="auto"/>
          <w:color w:val="0000FF"/>
        </w:rPr>
        <w:t>oa</w:t>
      </w:r>
      <w:r>
        <w:rPr>
          <w:rFonts w:ascii="Arial" w:cs="Arial" w:eastAsia="Arial" w:hAnsi="Arial"/>
          <w:sz w:val="15"/>
          <w:szCs w:val="15"/>
          <w:b w:val="1"/>
          <w:bCs w:val="1"/>
          <w:color w:val="0000FF"/>
        </w:rPr>
        <w:t>n Commitment</w:t>
      </w:r>
      <w:r>
        <w:rPr>
          <w:rFonts w:ascii="Arial" w:cs="Arial" w:eastAsia="Arial" w:hAnsi="Arial"/>
          <w:sz w:val="15"/>
          <w:szCs w:val="15"/>
          <w:color w:val="010101"/>
        </w:rPr>
        <w:t xml:space="preserve"> of one or more of the applicable Lenders (each such Lender that is willing to increase its </w:t>
      </w:r>
      <w:r>
        <w:rPr>
          <w:rFonts w:ascii="Arial" w:cs="Arial" w:eastAsia="Arial" w:hAnsi="Arial"/>
          <w:sz w:val="15"/>
          <w:szCs w:val="15"/>
          <w:b w:val="1"/>
          <w:bCs w:val="1"/>
          <w:u w:val="single" w:color="auto"/>
          <w:color w:val="0000FF"/>
        </w:rPr>
        <w:t>Commitmen</w:t>
      </w:r>
      <w:r>
        <w:rPr>
          <w:rFonts w:ascii="Arial" w:cs="Arial" w:eastAsia="Arial" w:hAnsi="Arial"/>
          <w:sz w:val="15"/>
          <w:szCs w:val="15"/>
          <w:color w:val="010101"/>
        </w:rPr>
        <w:t xml:space="preserve"> </w:t>
      </w:r>
      <w:r>
        <w:rPr>
          <w:rFonts w:ascii="Arial" w:cs="Arial" w:eastAsia="Arial" w:hAnsi="Arial"/>
          <w:sz w:val="15"/>
          <w:szCs w:val="15"/>
          <w:b w:val="1"/>
          <w:bCs w:val="1"/>
          <w:color w:val="0000FF"/>
        </w:rPr>
        <w:t>t or T</w:t>
      </w:r>
      <w:r>
        <w:rPr>
          <w:rFonts w:ascii="Arial" w:cs="Arial" w:eastAsia="Arial" w:hAnsi="Arial"/>
          <w:sz w:val="15"/>
          <w:szCs w:val="15"/>
          <w:b w:val="1"/>
          <w:bCs w:val="1"/>
          <w:u w:val="single" w:color="auto"/>
          <w:color w:val="0000FF"/>
        </w:rPr>
        <w:t>er</w:t>
      </w:r>
      <w:r>
        <w:rPr>
          <w:rFonts w:ascii="Arial" w:cs="Arial" w:eastAsia="Arial" w:hAnsi="Arial"/>
          <w:sz w:val="15"/>
          <w:szCs w:val="15"/>
          <w:b w:val="1"/>
          <w:bCs w:val="1"/>
          <w:color w:val="0000FF"/>
        </w:rPr>
        <w:t>m Loan</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Commitment, as applicable, or provide a portion of such</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Incremental Term Loan</w:t>
      </w:r>
      <w:r>
        <w:rPr>
          <w:rFonts w:ascii="Arial" w:cs="Arial" w:eastAsia="Arial" w:hAnsi="Arial"/>
          <w:sz w:val="15"/>
          <w:szCs w:val="15"/>
          <w:b w:val="1"/>
          <w:bCs w:val="1"/>
          <w:color w:val="0000FF"/>
        </w:rPr>
        <w:t xml:space="preserve"> </w:t>
      </w:r>
      <w:r>
        <w:rPr>
          <w:rFonts w:ascii="Arial" w:cs="Arial" w:eastAsia="Arial" w:hAnsi="Arial"/>
          <w:sz w:val="15"/>
          <w:szCs w:val="15"/>
          <w:color w:val="010101"/>
        </w:rPr>
        <w:t>Commitment hereunder being an “Increasing Lender”) and the addition of one or more other Eligible Assignees as Assuming Lenders and as</w:t>
      </w:r>
      <w:r>
        <w:rPr>
          <w:rFonts w:ascii="Arial" w:cs="Arial" w:eastAsia="Arial" w:hAnsi="Arial"/>
          <w:sz w:val="15"/>
          <w:szCs w:val="15"/>
          <w:b w:val="1"/>
          <w:bCs w:val="1"/>
          <w:color w:val="0000FF"/>
        </w:rPr>
        <w:t xml:space="preserve"> </w:t>
      </w:r>
      <w:r>
        <w:rPr>
          <w:rFonts w:ascii="Arial" w:cs="Arial" w:eastAsia="Arial" w:hAnsi="Arial"/>
          <w:sz w:val="15"/>
          <w:szCs w:val="15"/>
          <w:color w:val="010101"/>
        </w:rPr>
        <w:t xml:space="preserve">parties to this Agreement; provided, however, that it shall be in each Lender’s sole discretion whether to increase its Commitment </w:t>
      </w:r>
      <w:r>
        <w:rPr>
          <w:rFonts w:ascii="Arial" w:cs="Arial" w:eastAsia="Arial" w:hAnsi="Arial"/>
          <w:sz w:val="15"/>
          <w:szCs w:val="15"/>
          <w:b w:val="1"/>
          <w:bCs w:val="1"/>
          <w:u w:val="single" w:color="auto"/>
          <w:color w:val="0000FF"/>
        </w:rPr>
        <w:t>o</w:t>
      </w:r>
      <w:r>
        <w:rPr>
          <w:rFonts w:ascii="Arial" w:cs="Arial" w:eastAsia="Arial" w:hAnsi="Arial"/>
          <w:sz w:val="15"/>
          <w:szCs w:val="15"/>
          <w:b w:val="1"/>
          <w:bCs w:val="1"/>
          <w:color w:val="0000FF"/>
        </w:rPr>
        <w:t>r Term</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Loan Commitment, as</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applicable, or provide a portion of such Incremental Term Loan Commitment</w:t>
      </w:r>
      <w:r>
        <w:rPr>
          <w:rFonts w:ascii="Arial" w:cs="Arial" w:eastAsia="Arial" w:hAnsi="Arial"/>
          <w:sz w:val="15"/>
          <w:szCs w:val="15"/>
          <w:b w:val="1"/>
          <w:bCs w:val="1"/>
          <w:color w:val="0000FF"/>
        </w:rPr>
        <w:t xml:space="preserve"> </w:t>
      </w:r>
      <w:r>
        <w:rPr>
          <w:rFonts w:ascii="Arial" w:cs="Arial" w:eastAsia="Arial" w:hAnsi="Arial"/>
          <w:sz w:val="15"/>
          <w:szCs w:val="15"/>
          <w:color w:val="010101"/>
        </w:rPr>
        <w:t>hereunder in connection with the proposed</w:t>
      </w:r>
      <w:r>
        <w:rPr>
          <w:rFonts w:ascii="Arial" w:cs="Arial" w:eastAsia="Arial" w:hAnsi="Arial"/>
          <w:sz w:val="15"/>
          <w:szCs w:val="15"/>
          <w:b w:val="1"/>
          <w:bCs w:val="1"/>
          <w:color w:val="0000FF"/>
        </w:rPr>
        <w:t xml:space="preserve"> </w:t>
      </w:r>
      <w:r>
        <w:rPr>
          <w:rFonts w:ascii="Arial" w:cs="Arial" w:eastAsia="Arial" w:hAnsi="Arial"/>
          <w:sz w:val="15"/>
          <w:szCs w:val="15"/>
          <w:color w:val="FF0000"/>
          <w:strike w:val="1"/>
        </w:rPr>
        <w:t>Commitment Increase</w:t>
      </w:r>
      <w:r>
        <w:rPr>
          <w:rFonts w:ascii="Arial" w:cs="Arial" w:eastAsia="Arial" w:hAnsi="Arial"/>
          <w:sz w:val="15"/>
          <w:szCs w:val="15"/>
          <w:b w:val="1"/>
          <w:bCs w:val="1"/>
          <w:u w:val="single" w:color="auto"/>
          <w:color w:val="0000FF"/>
        </w:rPr>
        <w:t>Incremental</w:t>
      </w:r>
      <w:r>
        <w:rPr>
          <w:rFonts w:ascii="Arial" w:cs="Arial" w:eastAsia="Arial" w:hAnsi="Arial"/>
          <w:sz w:val="15"/>
          <w:szCs w:val="15"/>
          <w:b w:val="1"/>
          <w:bCs w:val="1"/>
          <w:color w:val="0000FF"/>
        </w:rPr>
        <w:t xml:space="preserve"> </w:t>
      </w:r>
      <w:r>
        <w:rPr>
          <w:rFonts w:ascii="Arial" w:cs="Arial" w:eastAsia="Arial" w:hAnsi="Arial"/>
          <w:sz w:val="15"/>
          <w:szCs w:val="15"/>
          <w:b w:val="1"/>
          <w:bCs w:val="1"/>
          <w:u w:val="single" w:color="auto"/>
          <w:color w:val="0000FF"/>
        </w:rPr>
        <w:t>Facility</w:t>
      </w:r>
      <w:r>
        <w:rPr>
          <w:rFonts w:ascii="Arial" w:cs="Arial" w:eastAsia="Arial" w:hAnsi="Arial"/>
          <w:sz w:val="15"/>
          <w:szCs w:val="15"/>
          <w:color w:val="010101"/>
        </w:rPr>
        <w:t>; and provided further that the minimum Commitment</w:t>
      </w:r>
      <w:r>
        <w:rPr>
          <w:rFonts w:ascii="Arial" w:cs="Arial" w:eastAsia="Arial" w:hAnsi="Arial"/>
          <w:sz w:val="15"/>
          <w:szCs w:val="15"/>
          <w:b w:val="1"/>
          <w:bCs w:val="1"/>
          <w:u w:val="single" w:color="auto"/>
          <w:color w:val="0000FF"/>
        </w:rPr>
        <w:t>, Ter</w:t>
      </w:r>
      <w:r>
        <w:rPr>
          <w:rFonts w:ascii="Arial" w:cs="Arial" w:eastAsia="Arial" w:hAnsi="Arial"/>
          <w:sz w:val="15"/>
          <w:szCs w:val="15"/>
          <w:b w:val="1"/>
          <w:bCs w:val="1"/>
          <w:color w:val="0000FF"/>
        </w:rPr>
        <w:t>m L</w:t>
      </w:r>
      <w:r>
        <w:rPr>
          <w:rFonts w:ascii="Arial" w:cs="Arial" w:eastAsia="Arial" w:hAnsi="Arial"/>
          <w:sz w:val="15"/>
          <w:szCs w:val="15"/>
          <w:b w:val="1"/>
          <w:bCs w:val="1"/>
          <w:u w:val="single" w:color="auto"/>
          <w:color w:val="0000FF"/>
        </w:rPr>
        <w:t>oa</w:t>
      </w:r>
      <w:r>
        <w:rPr>
          <w:rFonts w:ascii="Arial" w:cs="Arial" w:eastAsia="Arial" w:hAnsi="Arial"/>
          <w:sz w:val="15"/>
          <w:szCs w:val="15"/>
          <w:b w:val="1"/>
          <w:bCs w:val="1"/>
          <w:color w:val="0000FF"/>
        </w:rPr>
        <w:t>n C</w:t>
      </w:r>
      <w:r>
        <w:rPr>
          <w:rFonts w:ascii="Arial" w:cs="Arial" w:eastAsia="Arial" w:hAnsi="Arial"/>
          <w:sz w:val="15"/>
          <w:szCs w:val="15"/>
          <w:b w:val="1"/>
          <w:bCs w:val="1"/>
          <w:u w:val="single" w:color="auto"/>
          <w:color w:val="0000FF"/>
        </w:rPr>
        <w:t>ommitmen</w:t>
      </w:r>
      <w:r>
        <w:rPr>
          <w:rFonts w:ascii="Arial" w:cs="Arial" w:eastAsia="Arial" w:hAnsi="Arial"/>
          <w:sz w:val="15"/>
          <w:szCs w:val="15"/>
          <w:b w:val="1"/>
          <w:bCs w:val="1"/>
          <w:color w:val="0000FF"/>
        </w:rPr>
        <w:t xml:space="preserve">t or </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 T</w:t>
      </w:r>
      <w:r>
        <w:rPr>
          <w:rFonts w:ascii="Arial" w:cs="Arial" w:eastAsia="Arial" w:hAnsi="Arial"/>
          <w:sz w:val="15"/>
          <w:szCs w:val="15"/>
          <w:b w:val="1"/>
          <w:bCs w:val="1"/>
          <w:u w:val="single" w:color="auto"/>
          <w:color w:val="0000FF"/>
        </w:rPr>
        <w:t>er</w:t>
      </w:r>
      <w:r>
        <w:rPr>
          <w:rFonts w:ascii="Arial" w:cs="Arial" w:eastAsia="Arial" w:hAnsi="Arial"/>
          <w:sz w:val="15"/>
          <w:szCs w:val="15"/>
          <w:b w:val="1"/>
          <w:bCs w:val="1"/>
          <w:color w:val="0000FF"/>
        </w:rPr>
        <w:t>m L</w:t>
      </w:r>
      <w:r>
        <w:rPr>
          <w:rFonts w:ascii="Arial" w:cs="Arial" w:eastAsia="Arial" w:hAnsi="Arial"/>
          <w:sz w:val="15"/>
          <w:szCs w:val="15"/>
          <w:b w:val="1"/>
          <w:bCs w:val="1"/>
          <w:u w:val="single" w:color="auto"/>
          <w:color w:val="0000FF"/>
        </w:rPr>
        <w:t>oa</w:t>
      </w:r>
      <w:r>
        <w:rPr>
          <w:rFonts w:ascii="Arial" w:cs="Arial" w:eastAsia="Arial" w:hAnsi="Arial"/>
          <w:sz w:val="15"/>
          <w:szCs w:val="15"/>
          <w:b w:val="1"/>
          <w:bCs w:val="1"/>
          <w:color w:val="0000FF"/>
        </w:rPr>
        <w:t>n C</w:t>
      </w:r>
      <w:r>
        <w:rPr>
          <w:rFonts w:ascii="Arial" w:cs="Arial" w:eastAsia="Arial" w:hAnsi="Arial"/>
          <w:sz w:val="15"/>
          <w:szCs w:val="15"/>
          <w:b w:val="1"/>
          <w:bCs w:val="1"/>
          <w:u w:val="single" w:color="auto"/>
          <w:color w:val="0000FF"/>
        </w:rPr>
        <w:t>ommitment</w:t>
      </w:r>
      <w:r>
        <w:rPr>
          <w:rFonts w:ascii="Arial" w:cs="Arial" w:eastAsia="Arial" w:hAnsi="Arial"/>
          <w:sz w:val="15"/>
          <w:szCs w:val="15"/>
          <w:b w:val="1"/>
          <w:bCs w:val="1"/>
          <w:color w:val="0000FF"/>
        </w:rPr>
        <w:t xml:space="preserve">, as applicable, </w:t>
      </w:r>
      <w:r>
        <w:rPr>
          <w:rFonts w:ascii="Arial" w:cs="Arial" w:eastAsia="Arial" w:hAnsi="Arial"/>
          <w:sz w:val="15"/>
          <w:szCs w:val="15"/>
          <w:color w:val="010101"/>
        </w:rPr>
        <w:t>of each such</w:t>
      </w:r>
      <w:r>
        <w:rPr>
          <w:rFonts w:ascii="Arial" w:cs="Arial" w:eastAsia="Arial" w:hAnsi="Arial"/>
          <w:sz w:val="15"/>
          <w:szCs w:val="15"/>
          <w:b w:val="1"/>
          <w:bCs w:val="1"/>
          <w:color w:val="0000FF"/>
        </w:rPr>
        <w:t xml:space="preserve"> </w:t>
      </w:r>
      <w:r>
        <w:rPr>
          <w:rFonts w:ascii="Arial" w:cs="Arial" w:eastAsia="Arial" w:hAnsi="Arial"/>
          <w:sz w:val="15"/>
          <w:szCs w:val="15"/>
          <w:color w:val="010101"/>
        </w:rPr>
        <w:t>Assuming Lender that becomes a party to this Agreement pursuant to this Section 2.05(b), shall be at least equal to</w:t>
      </w:r>
    </w:p>
    <w:p>
      <w:pPr>
        <w:spacing w:after="0" w:line="2" w:lineRule="exact"/>
        <w:rPr>
          <w:sz w:val="20"/>
          <w:szCs w:val="20"/>
          <w:color w:val="auto"/>
        </w:rPr>
      </w:pPr>
    </w:p>
    <w:p>
      <w:pPr>
        <w:jc w:val="both"/>
        <w:ind w:left="20"/>
        <w:spacing w:after="0" w:line="229" w:lineRule="auto"/>
        <w:rPr>
          <w:sz w:val="20"/>
          <w:szCs w:val="20"/>
          <w:color w:val="auto"/>
        </w:rPr>
      </w:pPr>
      <w:r>
        <w:rPr>
          <w:rFonts w:ascii="Arial" w:cs="Arial" w:eastAsia="Arial" w:hAnsi="Arial"/>
          <w:sz w:val="15"/>
          <w:szCs w:val="15"/>
          <w:color w:val="010101"/>
        </w:rPr>
        <w:t xml:space="preserve">$10,000,000 (or such lesser amount as the Administrative Agent may agree). If any of the Lenders agree to increase their respective Commitments </w:t>
      </w:r>
      <w:r>
        <w:rPr>
          <w:rFonts w:ascii="Arial" w:cs="Arial" w:eastAsia="Arial" w:hAnsi="Arial"/>
          <w:sz w:val="15"/>
          <w:szCs w:val="15"/>
          <w:b w:val="1"/>
          <w:bCs w:val="1"/>
          <w:u w:val="single" w:color="auto"/>
          <w:color w:val="0000FF"/>
        </w:rPr>
        <w:t>o</w:t>
      </w:r>
      <w:r>
        <w:rPr>
          <w:rFonts w:ascii="Arial" w:cs="Arial" w:eastAsia="Arial" w:hAnsi="Arial"/>
          <w:sz w:val="15"/>
          <w:szCs w:val="15"/>
          <w:b w:val="1"/>
          <w:bCs w:val="1"/>
          <w:color w:val="0000FF"/>
        </w:rPr>
        <w:t>r T</w:t>
      </w:r>
      <w:r>
        <w:rPr>
          <w:rFonts w:ascii="Arial" w:cs="Arial" w:eastAsia="Arial" w:hAnsi="Arial"/>
          <w:sz w:val="15"/>
          <w:szCs w:val="15"/>
          <w:b w:val="1"/>
          <w:bCs w:val="1"/>
          <w:u w:val="single" w:color="auto"/>
          <w:color w:val="0000FF"/>
        </w:rPr>
        <w:t>er</w:t>
      </w:r>
      <w:r>
        <w:rPr>
          <w:rFonts w:ascii="Arial" w:cs="Arial" w:eastAsia="Arial" w:hAnsi="Arial"/>
          <w:sz w:val="15"/>
          <w:szCs w:val="15"/>
          <w:b w:val="1"/>
          <w:bCs w:val="1"/>
          <w:color w:val="0000FF"/>
        </w:rPr>
        <w:t>m L</w:t>
      </w:r>
      <w:r>
        <w:rPr>
          <w:rFonts w:ascii="Arial" w:cs="Arial" w:eastAsia="Arial" w:hAnsi="Arial"/>
          <w:sz w:val="15"/>
          <w:szCs w:val="15"/>
          <w:b w:val="1"/>
          <w:bCs w:val="1"/>
          <w:u w:val="single" w:color="auto"/>
          <w:color w:val="0000FF"/>
        </w:rPr>
        <w:t>oa</w:t>
      </w:r>
      <w:r>
        <w:rPr>
          <w:rFonts w:ascii="Arial" w:cs="Arial" w:eastAsia="Arial" w:hAnsi="Arial"/>
          <w:sz w:val="15"/>
          <w:szCs w:val="15"/>
          <w:b w:val="1"/>
          <w:bCs w:val="1"/>
          <w:color w:val="0000FF"/>
        </w:rPr>
        <w:t>n</w:t>
      </w:r>
      <w:r>
        <w:rPr>
          <w:rFonts w:ascii="Arial" w:cs="Arial" w:eastAsia="Arial" w:hAnsi="Arial"/>
          <w:sz w:val="15"/>
          <w:szCs w:val="15"/>
          <w:color w:val="010101"/>
        </w:rPr>
        <w:t xml:space="preserve"> </w:t>
      </w:r>
      <w:r>
        <w:rPr>
          <w:rFonts w:ascii="Arial" w:cs="Arial" w:eastAsia="Arial" w:hAnsi="Arial"/>
          <w:sz w:val="15"/>
          <w:szCs w:val="15"/>
          <w:b w:val="1"/>
          <w:bCs w:val="1"/>
          <w:color w:val="0000FF"/>
        </w:rPr>
        <w:t>C</w:t>
      </w:r>
      <w:r>
        <w:rPr>
          <w:rFonts w:ascii="Arial" w:cs="Arial" w:eastAsia="Arial" w:hAnsi="Arial"/>
          <w:sz w:val="15"/>
          <w:szCs w:val="15"/>
          <w:b w:val="1"/>
          <w:bCs w:val="1"/>
          <w:u w:val="single" w:color="auto"/>
          <w:color w:val="0000FF"/>
        </w:rPr>
        <w:t>ommitments</w:t>
      </w:r>
      <w:r>
        <w:rPr>
          <w:rFonts w:ascii="Arial" w:cs="Arial" w:eastAsia="Arial" w:hAnsi="Arial"/>
          <w:sz w:val="15"/>
          <w:szCs w:val="15"/>
          <w:b w:val="1"/>
          <w:bCs w:val="1"/>
          <w:color w:val="0000FF"/>
        </w:rPr>
        <w:t xml:space="preserve">, as </w:t>
      </w:r>
      <w:r>
        <w:rPr>
          <w:rFonts w:ascii="Arial" w:cs="Arial" w:eastAsia="Arial" w:hAnsi="Arial"/>
          <w:sz w:val="15"/>
          <w:szCs w:val="15"/>
          <w:b w:val="1"/>
          <w:bCs w:val="1"/>
          <w:u w:val="single" w:color="auto"/>
          <w:color w:val="0000FF"/>
        </w:rPr>
        <w:t>applicable</w:t>
      </w:r>
      <w:r>
        <w:rPr>
          <w:rFonts w:ascii="Arial" w:cs="Arial" w:eastAsia="Arial" w:hAnsi="Arial"/>
          <w:sz w:val="15"/>
          <w:szCs w:val="15"/>
          <w:b w:val="1"/>
          <w:bCs w:val="1"/>
          <w:color w:val="0000FF"/>
        </w:rPr>
        <w:t>, or p</w:t>
      </w:r>
      <w:r>
        <w:rPr>
          <w:rFonts w:ascii="Arial" w:cs="Arial" w:eastAsia="Arial" w:hAnsi="Arial"/>
          <w:sz w:val="15"/>
          <w:szCs w:val="15"/>
          <w:b w:val="1"/>
          <w:bCs w:val="1"/>
          <w:u w:val="single" w:color="auto"/>
          <w:color w:val="0000FF"/>
        </w:rPr>
        <w:t>rovid</w:t>
      </w:r>
      <w:r>
        <w:rPr>
          <w:rFonts w:ascii="Arial" w:cs="Arial" w:eastAsia="Arial" w:hAnsi="Arial"/>
          <w:sz w:val="15"/>
          <w:szCs w:val="15"/>
          <w:b w:val="1"/>
          <w:bCs w:val="1"/>
          <w:color w:val="0000FF"/>
        </w:rPr>
        <w:t>e an I</w:t>
      </w:r>
      <w:r>
        <w:rPr>
          <w:rFonts w:ascii="Arial" w:cs="Arial" w:eastAsia="Arial" w:hAnsi="Arial"/>
          <w:sz w:val="15"/>
          <w:szCs w:val="15"/>
          <w:b w:val="1"/>
          <w:bCs w:val="1"/>
          <w:u w:val="single" w:color="auto"/>
          <w:color w:val="0000FF"/>
        </w:rPr>
        <w:t>ncrementa</w:t>
      </w:r>
      <w:r>
        <w:rPr>
          <w:rFonts w:ascii="Arial" w:cs="Arial" w:eastAsia="Arial" w:hAnsi="Arial"/>
          <w:sz w:val="15"/>
          <w:szCs w:val="15"/>
          <w:b w:val="1"/>
          <w:bCs w:val="1"/>
          <w:color w:val="0000FF"/>
        </w:rPr>
        <w:t>l T</w:t>
      </w:r>
      <w:r>
        <w:rPr>
          <w:rFonts w:ascii="Arial" w:cs="Arial" w:eastAsia="Arial" w:hAnsi="Arial"/>
          <w:sz w:val="15"/>
          <w:szCs w:val="15"/>
          <w:b w:val="1"/>
          <w:bCs w:val="1"/>
          <w:u w:val="single" w:color="auto"/>
          <w:color w:val="0000FF"/>
        </w:rPr>
        <w:t>er</w:t>
      </w:r>
      <w:r>
        <w:rPr>
          <w:rFonts w:ascii="Arial" w:cs="Arial" w:eastAsia="Arial" w:hAnsi="Arial"/>
          <w:sz w:val="15"/>
          <w:szCs w:val="15"/>
          <w:b w:val="1"/>
          <w:bCs w:val="1"/>
          <w:color w:val="0000FF"/>
        </w:rPr>
        <w:t>m L</w:t>
      </w:r>
      <w:r>
        <w:rPr>
          <w:rFonts w:ascii="Arial" w:cs="Arial" w:eastAsia="Arial" w:hAnsi="Arial"/>
          <w:sz w:val="15"/>
          <w:szCs w:val="15"/>
          <w:b w:val="1"/>
          <w:bCs w:val="1"/>
          <w:u w:val="single" w:color="auto"/>
          <w:color w:val="0000FF"/>
        </w:rPr>
        <w:t>oa</w:t>
      </w:r>
      <w:r>
        <w:rPr>
          <w:rFonts w:ascii="Arial" w:cs="Arial" w:eastAsia="Arial" w:hAnsi="Arial"/>
          <w:sz w:val="15"/>
          <w:szCs w:val="15"/>
          <w:b w:val="1"/>
          <w:bCs w:val="1"/>
          <w:color w:val="0000FF"/>
        </w:rPr>
        <w:t xml:space="preserve">n Commitment </w:t>
      </w:r>
      <w:r>
        <w:rPr>
          <w:rFonts w:ascii="Arial" w:cs="Arial" w:eastAsia="Arial" w:hAnsi="Arial"/>
          <w:sz w:val="15"/>
          <w:szCs w:val="15"/>
          <w:color w:val="010101"/>
        </w:rPr>
        <w:t>by an aggregate amount in excess of the proposed</w:t>
      </w:r>
      <w:r>
        <w:rPr>
          <w:rFonts w:ascii="Arial" w:cs="Arial" w:eastAsia="Arial" w:hAnsi="Arial"/>
          <w:sz w:val="15"/>
          <w:szCs w:val="15"/>
          <w:b w:val="1"/>
          <w:bCs w:val="1"/>
          <w:color w:val="0000FF"/>
        </w:rPr>
        <w:t xml:space="preserve"> </w:t>
      </w:r>
      <w:r>
        <w:rPr>
          <w:rFonts w:ascii="Arial" w:cs="Arial" w:eastAsia="Arial" w:hAnsi="Arial"/>
          <w:sz w:val="15"/>
          <w:szCs w:val="15"/>
          <w:color w:val="FF0000"/>
          <w:strike w:val="1"/>
        </w:rPr>
        <w:t>Commitment</w:t>
      </w:r>
      <w:r>
        <w:rPr>
          <w:rFonts w:ascii="Arial" w:cs="Arial" w:eastAsia="Arial" w:hAnsi="Arial"/>
          <w:sz w:val="15"/>
          <w:szCs w:val="15"/>
          <w:b w:val="1"/>
          <w:bCs w:val="1"/>
          <w:color w:val="0000FF"/>
        </w:rPr>
        <w:t xml:space="preserve"> </w:t>
      </w:r>
      <w:r>
        <w:rPr>
          <w:rFonts w:ascii="Arial" w:cs="Arial" w:eastAsia="Arial" w:hAnsi="Arial"/>
          <w:sz w:val="15"/>
          <w:szCs w:val="15"/>
          <w:color w:val="FF0000"/>
          <w:strike w:val="1"/>
        </w:rPr>
        <w:t>Increase</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 Facility</w:t>
      </w:r>
      <w:r>
        <w:rPr>
          <w:rFonts w:ascii="Arial" w:cs="Arial" w:eastAsia="Arial" w:hAnsi="Arial"/>
          <w:sz w:val="15"/>
          <w:szCs w:val="15"/>
          <w:color w:val="FF0000"/>
        </w:rPr>
        <w:t xml:space="preserve"> </w:t>
      </w:r>
      <w:r>
        <w:rPr>
          <w:rFonts w:ascii="Arial" w:cs="Arial" w:eastAsia="Arial" w:hAnsi="Arial"/>
          <w:sz w:val="15"/>
          <w:szCs w:val="15"/>
          <w:color w:val="010101"/>
        </w:rPr>
        <w:t>, the proposed</w:t>
      </w:r>
      <w:r>
        <w:rPr>
          <w:rFonts w:ascii="Arial" w:cs="Arial" w:eastAsia="Arial" w:hAnsi="Arial"/>
          <w:sz w:val="15"/>
          <w:szCs w:val="15"/>
          <w:color w:val="FF0000"/>
        </w:rPr>
        <w:t xml:space="preserve"> </w:t>
      </w:r>
      <w:r>
        <w:rPr>
          <w:rFonts w:ascii="Arial" w:cs="Arial" w:eastAsia="Arial" w:hAnsi="Arial"/>
          <w:sz w:val="15"/>
          <w:szCs w:val="15"/>
          <w:color w:val="FF0000"/>
          <w:strike w:val="1"/>
        </w:rPr>
        <w:t>Commitment Increase</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 Facility</w:t>
      </w:r>
      <w:r>
        <w:rPr>
          <w:rFonts w:ascii="Arial" w:cs="Arial" w:eastAsia="Arial" w:hAnsi="Arial"/>
          <w:sz w:val="15"/>
          <w:szCs w:val="15"/>
          <w:color w:val="FF0000"/>
        </w:rPr>
        <w:t xml:space="preserve"> </w:t>
      </w:r>
      <w:r>
        <w:rPr>
          <w:rFonts w:ascii="Arial" w:cs="Arial" w:eastAsia="Arial" w:hAnsi="Arial"/>
          <w:sz w:val="15"/>
          <w:szCs w:val="15"/>
          <w:color w:val="010101"/>
        </w:rPr>
        <w:t>shall be allocated among such Lenders in proportion to their respective</w:t>
      </w:r>
      <w:r>
        <w:rPr>
          <w:rFonts w:ascii="Arial" w:cs="Arial" w:eastAsia="Arial" w:hAnsi="Arial"/>
          <w:sz w:val="15"/>
          <w:szCs w:val="15"/>
          <w:color w:val="FF0000"/>
        </w:rPr>
        <w:t xml:space="preserve"> </w:t>
      </w:r>
      <w:r>
        <w:rPr>
          <w:rFonts w:ascii="Arial" w:cs="Arial" w:eastAsia="Arial" w:hAnsi="Arial"/>
          <w:sz w:val="15"/>
          <w:szCs w:val="15"/>
          <w:color w:val="010101"/>
        </w:rPr>
        <w:t xml:space="preserve">Commitments </w:t>
      </w:r>
      <w:r>
        <w:rPr>
          <w:rFonts w:ascii="Arial" w:cs="Arial" w:eastAsia="Arial" w:hAnsi="Arial"/>
          <w:sz w:val="15"/>
          <w:szCs w:val="15"/>
          <w:b w:val="1"/>
          <w:bCs w:val="1"/>
          <w:u w:val="single" w:color="auto"/>
          <w:color w:val="0000FF"/>
        </w:rPr>
        <w:t>o</w:t>
      </w:r>
      <w:r>
        <w:rPr>
          <w:rFonts w:ascii="Arial" w:cs="Arial" w:eastAsia="Arial" w:hAnsi="Arial"/>
          <w:sz w:val="15"/>
          <w:szCs w:val="15"/>
          <w:b w:val="1"/>
          <w:bCs w:val="1"/>
          <w:color w:val="0000FF"/>
        </w:rPr>
        <w:t>r</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Ter</w:t>
      </w:r>
      <w:r>
        <w:rPr>
          <w:rFonts w:ascii="Arial" w:cs="Arial" w:eastAsia="Arial" w:hAnsi="Arial"/>
          <w:sz w:val="15"/>
          <w:szCs w:val="15"/>
          <w:b w:val="1"/>
          <w:bCs w:val="1"/>
          <w:color w:val="0000FF"/>
        </w:rPr>
        <w:t>m</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Loa</w:t>
      </w:r>
      <w:r>
        <w:rPr>
          <w:rFonts w:ascii="Arial" w:cs="Arial" w:eastAsia="Arial" w:hAnsi="Arial"/>
          <w:sz w:val="15"/>
          <w:szCs w:val="15"/>
          <w:b w:val="1"/>
          <w:bCs w:val="1"/>
          <w:color w:val="0000FF"/>
        </w:rPr>
        <w:t>n</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Commitments</w:t>
      </w:r>
      <w:r>
        <w:rPr>
          <w:rFonts w:ascii="Arial" w:cs="Arial" w:eastAsia="Arial" w:hAnsi="Arial"/>
          <w:sz w:val="15"/>
          <w:szCs w:val="15"/>
          <w:color w:val="010101"/>
        </w:rPr>
        <w:t xml:space="preserve"> </w:t>
      </w:r>
      <w:r>
        <w:rPr>
          <w:rFonts w:ascii="Arial" w:cs="Arial" w:eastAsia="Arial" w:hAnsi="Arial"/>
          <w:sz w:val="15"/>
          <w:szCs w:val="15"/>
          <w:b w:val="1"/>
          <w:bCs w:val="1"/>
          <w:color w:val="0000FF"/>
        </w:rPr>
        <w:t>,</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a</w:t>
      </w:r>
      <w:r>
        <w:rPr>
          <w:rFonts w:ascii="Arial" w:cs="Arial" w:eastAsia="Arial" w:hAnsi="Arial"/>
          <w:sz w:val="15"/>
          <w:szCs w:val="15"/>
          <w:b w:val="1"/>
          <w:bCs w:val="1"/>
          <w:color w:val="0000FF"/>
        </w:rPr>
        <w:t>s applicable,</w:t>
      </w:r>
      <w:r>
        <w:rPr>
          <w:rFonts w:ascii="Arial" w:cs="Arial" w:eastAsia="Arial" w:hAnsi="Arial"/>
          <w:sz w:val="15"/>
          <w:szCs w:val="15"/>
          <w:color w:val="010101"/>
        </w:rPr>
        <w:t xml:space="preserve"> immediately prior to the </w:t>
      </w:r>
      <w:r>
        <w:rPr>
          <w:rFonts w:ascii="Arial" w:cs="Arial" w:eastAsia="Arial" w:hAnsi="Arial"/>
          <w:sz w:val="15"/>
          <w:szCs w:val="15"/>
          <w:color w:val="FF0000"/>
          <w:strike w:val="1"/>
        </w:rPr>
        <w:t>Increase Date</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 Facility</w:t>
      </w:r>
      <w:r>
        <w:rPr>
          <w:rFonts w:ascii="Arial" w:cs="Arial" w:eastAsia="Arial" w:hAnsi="Arial"/>
          <w:sz w:val="15"/>
          <w:szCs w:val="15"/>
          <w:color w:val="010101"/>
        </w:rPr>
        <w:t xml:space="preserve">. If agreement is reached on or prior to the applicable Commitment Date with any Increasing Lenders and Assuming Lenders as to </w:t>
      </w:r>
      <w:r>
        <w:rPr>
          <w:rFonts w:ascii="Arial" w:cs="Arial" w:eastAsia="Arial" w:hAnsi="Arial"/>
          <w:sz w:val="15"/>
          <w:szCs w:val="15"/>
          <w:color w:val="FF0000"/>
          <w:strike w:val="1"/>
        </w:rPr>
        <w:t>a Commitment Increase</w:t>
      </w:r>
      <w:r>
        <w:rPr>
          <w:rFonts w:ascii="Arial" w:cs="Arial" w:eastAsia="Arial" w:hAnsi="Arial"/>
          <w:sz w:val="15"/>
          <w:szCs w:val="15"/>
          <w:b w:val="1"/>
          <w:bCs w:val="1"/>
          <w:u w:val="single" w:color="auto"/>
          <w:color w:val="0000FF"/>
        </w:rPr>
        <w:t>a</w:t>
      </w:r>
      <w:r>
        <w:rPr>
          <w:rFonts w:ascii="Arial" w:cs="Arial" w:eastAsia="Arial" w:hAnsi="Arial"/>
          <w:sz w:val="15"/>
          <w:szCs w:val="15"/>
          <w:b w:val="1"/>
          <w:bCs w:val="1"/>
          <w:color w:val="0000FF"/>
        </w:rPr>
        <w:t>n I</w:t>
      </w:r>
      <w:r>
        <w:rPr>
          <w:rFonts w:ascii="Arial" w:cs="Arial" w:eastAsia="Arial" w:hAnsi="Arial"/>
          <w:sz w:val="15"/>
          <w:szCs w:val="15"/>
          <w:color w:val="010101"/>
        </w:rPr>
        <w:t xml:space="preserve"> </w:t>
      </w:r>
      <w:r>
        <w:rPr>
          <w:rFonts w:ascii="Arial" w:cs="Arial" w:eastAsia="Arial" w:hAnsi="Arial"/>
          <w:sz w:val="15"/>
          <w:szCs w:val="15"/>
          <w:b w:val="1"/>
          <w:bCs w:val="1"/>
          <w:u w:val="single" w:color="auto"/>
          <w:color w:val="0000FF"/>
        </w:rPr>
        <w:t>ncrementa</w:t>
      </w:r>
      <w:r>
        <w:rPr>
          <w:rFonts w:ascii="Arial" w:cs="Arial" w:eastAsia="Arial" w:hAnsi="Arial"/>
          <w:sz w:val="15"/>
          <w:szCs w:val="15"/>
          <w:b w:val="1"/>
          <w:bCs w:val="1"/>
          <w:color w:val="0000FF"/>
        </w:rPr>
        <w:t>l Facility</w:t>
      </w:r>
      <w:r>
        <w:rPr>
          <w:rFonts w:ascii="Arial" w:cs="Arial" w:eastAsia="Arial" w:hAnsi="Arial"/>
          <w:sz w:val="15"/>
          <w:szCs w:val="15"/>
          <w:color w:val="010101"/>
        </w:rPr>
        <w:t xml:space="preserve"> (which may be less than but not greater than specified in the applicable notice from the Company), such agreement to be evidenced by a notice in reasonable detail from the Company to the Administrative Agent on or prior to the applicable Commitment Date, such Assuming Lenders, if any, shall become Lenders hereunder as of the applicable </w:t>
      </w:r>
      <w:r>
        <w:rPr>
          <w:rFonts w:ascii="Arial" w:cs="Arial" w:eastAsia="Arial" w:hAnsi="Arial"/>
          <w:sz w:val="15"/>
          <w:szCs w:val="15"/>
          <w:color w:val="FF0000"/>
          <w:strike w:val="1"/>
        </w:rPr>
        <w:t>Increase</w:t>
      </w:r>
      <w:r>
        <w:rPr>
          <w:rFonts w:ascii="Arial" w:cs="Arial" w:eastAsia="Arial" w:hAnsi="Arial"/>
          <w:sz w:val="15"/>
          <w:szCs w:val="15"/>
          <w:color w:val="010101"/>
        </w:rPr>
        <w:t xml:space="preserve"> </w:t>
      </w:r>
      <w:r>
        <w:rPr>
          <w:rFonts w:ascii="Arial" w:cs="Arial" w:eastAsia="Arial" w:hAnsi="Arial"/>
          <w:sz w:val="15"/>
          <w:szCs w:val="15"/>
          <w:color w:val="FF0000"/>
          <w:strike w:val="1"/>
        </w:rPr>
        <w:t>Date</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 Facility</w:t>
      </w:r>
      <w:r>
        <w:rPr>
          <w:rFonts w:ascii="Arial" w:cs="Arial" w:eastAsia="Arial" w:hAnsi="Arial"/>
          <w:sz w:val="15"/>
          <w:szCs w:val="15"/>
          <w:color w:val="FF0000"/>
        </w:rPr>
        <w:t xml:space="preserve"> </w:t>
      </w:r>
      <w:r>
        <w:rPr>
          <w:rFonts w:ascii="Arial" w:cs="Arial" w:eastAsia="Arial" w:hAnsi="Arial"/>
          <w:sz w:val="15"/>
          <w:szCs w:val="15"/>
          <w:color w:val="010101"/>
        </w:rPr>
        <w:t>and the</w:t>
      </w:r>
      <w:r>
        <w:rPr>
          <w:rFonts w:ascii="Arial" w:cs="Arial" w:eastAsia="Arial" w:hAnsi="Arial"/>
          <w:sz w:val="15"/>
          <w:szCs w:val="15"/>
          <w:color w:val="FF0000"/>
        </w:rPr>
        <w:t xml:space="preserve"> </w:t>
      </w:r>
      <w:r>
        <w:rPr>
          <w:rFonts w:ascii="Arial" w:cs="Arial" w:eastAsia="Arial" w:hAnsi="Arial"/>
          <w:sz w:val="15"/>
          <w:szCs w:val="15"/>
          <w:b w:val="1"/>
          <w:bCs w:val="1"/>
          <w:u w:val="single" w:color="auto"/>
          <w:color w:val="0000FF"/>
        </w:rPr>
        <w:t>Commitments</w:t>
      </w:r>
      <w:r>
        <w:rPr>
          <w:rFonts w:ascii="Arial" w:cs="Arial" w:eastAsia="Arial" w:hAnsi="Arial"/>
          <w:sz w:val="15"/>
          <w:szCs w:val="15"/>
          <w:color w:val="FF0000"/>
        </w:rPr>
        <w:t xml:space="preserve"> </w:t>
      </w:r>
      <w:r>
        <w:rPr>
          <w:rFonts w:ascii="Arial" w:cs="Arial" w:eastAsia="Arial" w:hAnsi="Arial"/>
          <w:sz w:val="15"/>
          <w:szCs w:val="15"/>
          <w:b w:val="1"/>
          <w:bCs w:val="1"/>
          <w:color w:val="0000FF"/>
        </w:rPr>
        <w:t>, T</w:t>
      </w:r>
      <w:r>
        <w:rPr>
          <w:rFonts w:ascii="Arial" w:cs="Arial" w:eastAsia="Arial" w:hAnsi="Arial"/>
          <w:sz w:val="15"/>
          <w:szCs w:val="15"/>
          <w:b w:val="1"/>
          <w:bCs w:val="1"/>
          <w:u w:val="single" w:color="auto"/>
          <w:color w:val="0000FF"/>
        </w:rPr>
        <w:t>er</w:t>
      </w:r>
      <w:r>
        <w:rPr>
          <w:rFonts w:ascii="Arial" w:cs="Arial" w:eastAsia="Arial" w:hAnsi="Arial"/>
          <w:sz w:val="15"/>
          <w:szCs w:val="15"/>
          <w:b w:val="1"/>
          <w:bCs w:val="1"/>
          <w:color w:val="0000FF"/>
        </w:rPr>
        <w:t>m L</w:t>
      </w:r>
      <w:r>
        <w:rPr>
          <w:rFonts w:ascii="Arial" w:cs="Arial" w:eastAsia="Arial" w:hAnsi="Arial"/>
          <w:sz w:val="15"/>
          <w:szCs w:val="15"/>
          <w:b w:val="1"/>
          <w:bCs w:val="1"/>
          <w:u w:val="single" w:color="auto"/>
          <w:color w:val="0000FF"/>
        </w:rPr>
        <w:t>oa</w:t>
      </w:r>
      <w:r>
        <w:rPr>
          <w:rFonts w:ascii="Arial" w:cs="Arial" w:eastAsia="Arial" w:hAnsi="Arial"/>
          <w:sz w:val="15"/>
          <w:szCs w:val="15"/>
          <w:b w:val="1"/>
          <w:bCs w:val="1"/>
          <w:color w:val="0000FF"/>
        </w:rPr>
        <w:t>n C</w:t>
      </w:r>
      <w:r>
        <w:rPr>
          <w:rFonts w:ascii="Arial" w:cs="Arial" w:eastAsia="Arial" w:hAnsi="Arial"/>
          <w:sz w:val="15"/>
          <w:szCs w:val="15"/>
          <w:b w:val="1"/>
          <w:bCs w:val="1"/>
          <w:u w:val="single" w:color="auto"/>
          <w:color w:val="0000FF"/>
        </w:rPr>
        <w:t>ommitment</w:t>
      </w:r>
      <w:r>
        <w:rPr>
          <w:rFonts w:ascii="Arial" w:cs="Arial" w:eastAsia="Arial" w:hAnsi="Arial"/>
          <w:sz w:val="15"/>
          <w:szCs w:val="15"/>
          <w:b w:val="1"/>
          <w:bCs w:val="1"/>
          <w:color w:val="0000FF"/>
        </w:rPr>
        <w:t>s or</w:t>
      </w:r>
      <w:r>
        <w:rPr>
          <w:rFonts w:ascii="Arial" w:cs="Arial" w:eastAsia="Arial" w:hAnsi="Arial"/>
          <w:sz w:val="15"/>
          <w:szCs w:val="15"/>
          <w:color w:val="FF0000"/>
        </w:rPr>
        <w:t xml:space="preserve"> </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w:t>
      </w:r>
      <w:r>
        <w:rPr>
          <w:rFonts w:ascii="Arial" w:cs="Arial" w:eastAsia="Arial" w:hAnsi="Arial"/>
          <w:sz w:val="15"/>
          <w:szCs w:val="15"/>
          <w:color w:val="FF0000"/>
        </w:rPr>
        <w:t xml:space="preserve"> </w:t>
      </w:r>
      <w:r>
        <w:rPr>
          <w:rFonts w:ascii="Arial" w:cs="Arial" w:eastAsia="Arial" w:hAnsi="Arial"/>
          <w:sz w:val="15"/>
          <w:szCs w:val="15"/>
          <w:b w:val="1"/>
          <w:bCs w:val="1"/>
          <w:u w:val="single" w:color="auto"/>
          <w:color w:val="0000FF"/>
        </w:rPr>
        <w:t>Ter</w:t>
      </w:r>
      <w:r>
        <w:rPr>
          <w:rFonts w:ascii="Arial" w:cs="Arial" w:eastAsia="Arial" w:hAnsi="Arial"/>
          <w:sz w:val="15"/>
          <w:szCs w:val="15"/>
          <w:b w:val="1"/>
          <w:bCs w:val="1"/>
          <w:color w:val="0000FF"/>
        </w:rPr>
        <w:t>m Loan</w:t>
      </w:r>
      <w:r>
        <w:rPr>
          <w:rFonts w:ascii="Arial" w:cs="Arial" w:eastAsia="Arial" w:hAnsi="Arial"/>
          <w:sz w:val="15"/>
          <w:szCs w:val="15"/>
          <w:color w:val="FF0000"/>
        </w:rPr>
        <w:t xml:space="preserve"> </w:t>
      </w:r>
      <w:r>
        <w:rPr>
          <w:rFonts w:ascii="Arial" w:cs="Arial" w:eastAsia="Arial" w:hAnsi="Arial"/>
          <w:sz w:val="15"/>
          <w:szCs w:val="15"/>
          <w:color w:val="010101"/>
        </w:rPr>
        <w:t>Commitments of such Increasing Lenders and such</w:t>
      </w:r>
      <w:r>
        <w:rPr>
          <w:rFonts w:ascii="Arial" w:cs="Arial" w:eastAsia="Arial" w:hAnsi="Arial"/>
          <w:sz w:val="15"/>
          <w:szCs w:val="15"/>
          <w:color w:val="FF0000"/>
        </w:rPr>
        <w:t xml:space="preserve"> </w:t>
      </w:r>
      <w:r>
        <w:rPr>
          <w:rFonts w:ascii="Arial" w:cs="Arial" w:eastAsia="Arial" w:hAnsi="Arial"/>
          <w:sz w:val="15"/>
          <w:szCs w:val="15"/>
          <w:color w:val="010101"/>
        </w:rPr>
        <w:t>Assuming Lenders shall become or be, as the case may be, as of the Increase Date, the amounts specified in such notice; provided that:</w:t>
      </w:r>
    </w:p>
    <w:p>
      <w:pPr>
        <w:spacing w:after="0" w:line="152" w:lineRule="exact"/>
        <w:rPr>
          <w:sz w:val="20"/>
          <w:szCs w:val="20"/>
          <w:color w:val="auto"/>
        </w:rPr>
      </w:pPr>
    </w:p>
    <w:p>
      <w:pPr>
        <w:jc w:val="both"/>
        <w:ind w:left="500" w:firstLine="492"/>
        <w:spacing w:after="0" w:line="225" w:lineRule="auto"/>
        <w:tabs>
          <w:tab w:leader="none" w:pos="1389" w:val="left"/>
        </w:tabs>
        <w:numPr>
          <w:ilvl w:val="0"/>
          <w:numId w:val="64"/>
        </w:numPr>
        <w:rPr>
          <w:rFonts w:ascii="Arial" w:cs="Arial" w:eastAsia="Arial" w:hAnsi="Arial"/>
          <w:sz w:val="16"/>
          <w:szCs w:val="16"/>
          <w:color w:val="010101"/>
        </w:rPr>
      </w:pPr>
      <w:r>
        <w:rPr>
          <w:rFonts w:ascii="Arial" w:cs="Arial" w:eastAsia="Arial" w:hAnsi="Arial"/>
          <w:sz w:val="16"/>
          <w:szCs w:val="16"/>
          <w:color w:val="010101"/>
        </w:rPr>
        <w:t xml:space="preserve">the Administrative Agent shall have received (with copies for each Lender, including each such Assuming Lender) by no later than 10:00 A.M. (New York City time) on the applicable Increase Date (1) certified copies of resolutions of the board of directors (or equivalent governing body) of the Borrowers approving the </w:t>
      </w:r>
      <w:r>
        <w:rPr>
          <w:rFonts w:ascii="Arial" w:cs="Arial" w:eastAsia="Arial" w:hAnsi="Arial"/>
          <w:sz w:val="16"/>
          <w:szCs w:val="16"/>
          <w:color w:val="FF0000"/>
          <w:strike w:val="1"/>
        </w:rPr>
        <w:t>Commitment Increase</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l Facility</w:t>
      </w:r>
      <w:r>
        <w:rPr>
          <w:rFonts w:ascii="Arial" w:cs="Arial" w:eastAsia="Arial" w:hAnsi="Arial"/>
          <w:sz w:val="16"/>
          <w:szCs w:val="16"/>
          <w:color w:val="010101"/>
        </w:rPr>
        <w:t xml:space="preserve"> and (2) an opinion of counsel for the Borrowers, in form and substance reasonably satisfactory to the Administrative Agent;</w:t>
      </w:r>
    </w:p>
    <w:p>
      <w:pPr>
        <w:spacing w:after="0" w:line="148" w:lineRule="exact"/>
        <w:rPr>
          <w:rFonts w:ascii="Arial" w:cs="Arial" w:eastAsia="Arial" w:hAnsi="Arial"/>
          <w:sz w:val="16"/>
          <w:szCs w:val="16"/>
          <w:color w:val="010101"/>
        </w:rPr>
      </w:pPr>
    </w:p>
    <w:p>
      <w:pPr>
        <w:jc w:val="both"/>
        <w:ind w:left="500" w:firstLine="492"/>
        <w:spacing w:after="0" w:line="230" w:lineRule="auto"/>
        <w:tabs>
          <w:tab w:leader="none" w:pos="1389" w:val="left"/>
        </w:tabs>
        <w:numPr>
          <w:ilvl w:val="0"/>
          <w:numId w:val="64"/>
        </w:numPr>
        <w:rPr>
          <w:rFonts w:ascii="Arial" w:cs="Arial" w:eastAsia="Arial" w:hAnsi="Arial"/>
          <w:sz w:val="16"/>
          <w:szCs w:val="16"/>
          <w:color w:val="010101"/>
        </w:rPr>
      </w:pPr>
      <w:r>
        <w:rPr>
          <w:rFonts w:ascii="Arial" w:cs="Arial" w:eastAsia="Arial" w:hAnsi="Arial"/>
          <w:sz w:val="16"/>
          <w:szCs w:val="16"/>
          <w:color w:val="010101"/>
        </w:rPr>
        <w:t>each such Assuming Lender shall have delivered to the Administrative Agent, by no later than 10:00 A.M. (New York City time) on such Increase Date, an appropriate Assumption Agreement in substantially the form of Exhibit D hereto, duly executed by such Assuming Lender and the Company, on behalf of the Borrowers;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1" w:right="519" w:bottom="1440" w:gutter="0" w:footer="0" w:header="0"/>
        </w:sectPr>
      </w:pPr>
    </w:p>
    <w:bookmarkStart w:id="109" w:name="page110"/>
    <w:bookmarkEnd w:id="109"/>
    <w:p>
      <w:pPr>
        <w:jc w:val="both"/>
        <w:ind w:left="500" w:firstLine="492"/>
        <w:spacing w:after="0" w:line="230" w:lineRule="auto"/>
        <w:tabs>
          <w:tab w:leader="none" w:pos="1389" w:val="left"/>
        </w:tabs>
        <w:numPr>
          <w:ilvl w:val="0"/>
          <w:numId w:val="65"/>
        </w:numPr>
        <w:rPr>
          <w:rFonts w:ascii="Arial" w:cs="Arial" w:eastAsia="Arial" w:hAnsi="Arial"/>
          <w:sz w:val="16"/>
          <w:szCs w:val="16"/>
          <w:color w:val="010101"/>
        </w:rPr>
      </w:pPr>
      <w:r>
        <w:rPr>
          <w:rFonts w:ascii="Arial" w:cs="Arial" w:eastAsia="Arial" w:hAnsi="Arial"/>
          <w:sz w:val="16"/>
          <w:szCs w:val="16"/>
          <w:color w:val="010101"/>
        </w:rPr>
        <w:t xml:space="preserve">each such Increasing Lender shall have delivered to the Administrative Agent, by no later than 10:00 A.M. (New York City time) on such Increase Date, (A) its existing Note, if any, and (B) confirmation in writing satisfactory to the Administrative Agent as to its increased Commitment </w:t>
      </w:r>
      <w:r>
        <w:rPr>
          <w:rFonts w:ascii="Arial" w:cs="Arial" w:eastAsia="Arial" w:hAnsi="Arial"/>
          <w:sz w:val="16"/>
          <w:szCs w:val="16"/>
          <w:b w:val="1"/>
          <w:bCs w:val="1"/>
          <w:u w:val="single" w:color="auto"/>
          <w:color w:val="0000FF"/>
        </w:rPr>
        <w:t>or Ter</w:t>
      </w:r>
      <w:r>
        <w:rPr>
          <w:rFonts w:ascii="Arial" w:cs="Arial" w:eastAsia="Arial" w:hAnsi="Arial"/>
          <w:sz w:val="16"/>
          <w:szCs w:val="16"/>
          <w:b w:val="1"/>
          <w:bCs w:val="1"/>
          <w:color w:val="0000FF"/>
        </w:rPr>
        <w:t>m</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w:t>
      </w:r>
      <w:r>
        <w:rPr>
          <w:rFonts w:ascii="Arial" w:cs="Arial" w:eastAsia="Arial" w:hAnsi="Arial"/>
          <w:sz w:val="16"/>
          <w:szCs w:val="16"/>
          <w:color w:val="010101"/>
        </w:rPr>
        <w:t xml:space="preserve"> </w:t>
      </w:r>
      <w:r>
        <w:rPr>
          <w:rFonts w:ascii="Arial" w:cs="Arial" w:eastAsia="Arial" w:hAnsi="Arial"/>
          <w:sz w:val="16"/>
          <w:szCs w:val="16"/>
          <w:b w:val="1"/>
          <w:bCs w:val="1"/>
          <w:color w:val="0000FF"/>
        </w:rPr>
        <w:t>C</w:t>
      </w:r>
      <w:r>
        <w:rPr>
          <w:rFonts w:ascii="Arial" w:cs="Arial" w:eastAsia="Arial" w:hAnsi="Arial"/>
          <w:sz w:val="16"/>
          <w:szCs w:val="16"/>
          <w:b w:val="1"/>
          <w:bCs w:val="1"/>
          <w:u w:val="single" w:color="auto"/>
          <w:color w:val="0000FF"/>
        </w:rPr>
        <w:t>ommitmen</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it</w:t>
      </w:r>
      <w:r>
        <w:rPr>
          <w:rFonts w:ascii="Arial" w:cs="Arial" w:eastAsia="Arial" w:hAnsi="Arial"/>
          <w:sz w:val="16"/>
          <w:szCs w:val="16"/>
          <w:b w:val="1"/>
          <w:bCs w:val="1"/>
          <w:color w:val="0000FF"/>
        </w:rPr>
        <w:t xml:space="preserve">s Incremental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 xml:space="preserve">m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 Commitment</w:t>
      </w:r>
      <w:r>
        <w:rPr>
          <w:rFonts w:ascii="Arial" w:cs="Arial" w:eastAsia="Arial" w:hAnsi="Arial"/>
          <w:sz w:val="16"/>
          <w:szCs w:val="16"/>
          <w:color w:val="010101"/>
        </w:rPr>
        <w:t>;</w:t>
      </w:r>
    </w:p>
    <w:p>
      <w:pPr>
        <w:spacing w:after="0" w:line="144" w:lineRule="exact"/>
        <w:rPr>
          <w:rFonts w:ascii="Arial" w:cs="Arial" w:eastAsia="Arial" w:hAnsi="Arial"/>
          <w:sz w:val="16"/>
          <w:szCs w:val="16"/>
          <w:color w:val="010101"/>
        </w:rPr>
      </w:pPr>
    </w:p>
    <w:p>
      <w:pPr>
        <w:ind w:left="1400" w:hanging="408"/>
        <w:spacing w:after="0"/>
        <w:tabs>
          <w:tab w:leader="none" w:pos="1400" w:val="left"/>
        </w:tabs>
        <w:numPr>
          <w:ilvl w:val="0"/>
          <w:numId w:val="65"/>
        </w:numPr>
        <w:rPr>
          <w:rFonts w:ascii="Arial" w:cs="Arial" w:eastAsia="Arial" w:hAnsi="Arial"/>
          <w:sz w:val="14"/>
          <w:szCs w:val="14"/>
          <w:color w:val="010101"/>
        </w:rPr>
      </w:pPr>
      <w:r>
        <w:rPr>
          <w:rFonts w:ascii="Arial" w:cs="Arial" w:eastAsia="Arial" w:hAnsi="Arial"/>
          <w:sz w:val="14"/>
          <w:szCs w:val="14"/>
          <w:color w:val="010101"/>
        </w:rPr>
        <w:t xml:space="preserve">the proceeds of any </w:t>
      </w:r>
      <w:r>
        <w:rPr>
          <w:rFonts w:ascii="Arial" w:cs="Arial" w:eastAsia="Arial" w:hAnsi="Arial"/>
          <w:sz w:val="14"/>
          <w:szCs w:val="14"/>
          <w:color w:val="FF0000"/>
          <w:strike w:val="1"/>
        </w:rPr>
        <w:t>Commitment Increase</w:t>
      </w:r>
      <w:r>
        <w:rPr>
          <w:rFonts w:ascii="Arial" w:cs="Arial" w:eastAsia="Arial" w:hAnsi="Arial"/>
          <w:sz w:val="14"/>
          <w:szCs w:val="14"/>
          <w:b w:val="1"/>
          <w:bCs w:val="1"/>
          <w:u w:val="single" w:color="auto"/>
          <w:color w:val="0000FF"/>
        </w:rPr>
        <w:t>Incrementa</w:t>
      </w:r>
      <w:r>
        <w:rPr>
          <w:rFonts w:ascii="Arial" w:cs="Arial" w:eastAsia="Arial" w:hAnsi="Arial"/>
          <w:sz w:val="14"/>
          <w:szCs w:val="14"/>
          <w:b w:val="1"/>
          <w:bCs w:val="1"/>
          <w:color w:val="0000FF"/>
        </w:rPr>
        <w:t>l Facility</w:t>
      </w:r>
      <w:r>
        <w:rPr>
          <w:rFonts w:ascii="Arial" w:cs="Arial" w:eastAsia="Arial" w:hAnsi="Arial"/>
          <w:sz w:val="14"/>
          <w:szCs w:val="14"/>
          <w:color w:val="010101"/>
        </w:rPr>
        <w:t xml:space="preserve"> shall be used for general corporate purposes of the Company and its Subsidiaries;</w:t>
      </w:r>
    </w:p>
    <w:p>
      <w:pPr>
        <w:spacing w:after="0" w:line="192" w:lineRule="exact"/>
        <w:rPr>
          <w:rFonts w:ascii="Arial" w:cs="Arial" w:eastAsia="Arial" w:hAnsi="Arial"/>
          <w:sz w:val="14"/>
          <w:szCs w:val="14"/>
          <w:color w:val="010101"/>
        </w:rPr>
      </w:pPr>
    </w:p>
    <w:p>
      <w:pPr>
        <w:ind w:left="500" w:firstLine="492"/>
        <w:spacing w:after="0" w:line="244" w:lineRule="auto"/>
        <w:tabs>
          <w:tab w:leader="none" w:pos="1389" w:val="left"/>
        </w:tabs>
        <w:numPr>
          <w:ilvl w:val="0"/>
          <w:numId w:val="65"/>
        </w:numPr>
        <w:rPr>
          <w:rFonts w:ascii="Arial" w:cs="Arial" w:eastAsia="Arial" w:hAnsi="Arial"/>
          <w:sz w:val="16"/>
          <w:szCs w:val="16"/>
          <w:color w:val="010101"/>
        </w:rPr>
      </w:pPr>
      <w:r>
        <w:rPr>
          <w:rFonts w:ascii="Arial" w:cs="Arial" w:eastAsia="Arial" w:hAnsi="Arial"/>
          <w:sz w:val="16"/>
          <w:szCs w:val="16"/>
          <w:color w:val="010101"/>
        </w:rPr>
        <w:t xml:space="preserve">each </w:t>
      </w:r>
      <w:r>
        <w:rPr>
          <w:rFonts w:ascii="Arial" w:cs="Arial" w:eastAsia="Arial" w:hAnsi="Arial"/>
          <w:sz w:val="16"/>
          <w:szCs w:val="16"/>
          <w:color w:val="FF0000"/>
          <w:strike w:val="1"/>
        </w:rPr>
        <w:t>Commitment Increase</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l Facility</w:t>
      </w:r>
      <w:r>
        <w:rPr>
          <w:rFonts w:ascii="Arial" w:cs="Arial" w:eastAsia="Arial" w:hAnsi="Arial"/>
          <w:sz w:val="16"/>
          <w:szCs w:val="16"/>
          <w:color w:val="010101"/>
        </w:rPr>
        <w:t xml:space="preserve"> (and the loans made thereunder) shall constitute obligations of the Borrowers and shall be guaranteed with the other Extensions of Credit and Guaranteed Obligations on a pari passu basis as set forth in Article VIII;</w:t>
      </w:r>
    </w:p>
    <w:p>
      <w:pPr>
        <w:spacing w:after="0" w:line="135" w:lineRule="exact"/>
        <w:rPr>
          <w:rFonts w:ascii="Arial" w:cs="Arial" w:eastAsia="Arial" w:hAnsi="Arial"/>
          <w:sz w:val="16"/>
          <w:szCs w:val="16"/>
          <w:color w:val="010101"/>
        </w:rPr>
      </w:pPr>
    </w:p>
    <w:p>
      <w:pPr>
        <w:ind w:left="500" w:firstLine="492"/>
        <w:spacing w:after="0" w:line="239" w:lineRule="auto"/>
        <w:tabs>
          <w:tab w:leader="none" w:pos="1389" w:val="left"/>
        </w:tabs>
        <w:numPr>
          <w:ilvl w:val="0"/>
          <w:numId w:val="65"/>
        </w:numPr>
        <w:rPr>
          <w:rFonts w:ascii="Arial" w:cs="Arial" w:eastAsia="Arial" w:hAnsi="Arial"/>
          <w:sz w:val="16"/>
          <w:szCs w:val="16"/>
          <w:color w:val="010101"/>
        </w:rPr>
      </w:pPr>
      <w:r>
        <w:rPr>
          <w:rFonts w:ascii="Arial" w:cs="Arial" w:eastAsia="Arial" w:hAnsi="Arial"/>
          <w:sz w:val="16"/>
          <w:szCs w:val="16"/>
          <w:color w:val="010101"/>
        </w:rPr>
        <w:t xml:space="preserve">the Company shall be in pro forma compliance with each of the financial covenants set forth in Section 5.03, both before and after giving effect (on a Pro Forma Basis) to any </w:t>
      </w:r>
      <w:r>
        <w:rPr>
          <w:rFonts w:ascii="Arial" w:cs="Arial" w:eastAsia="Arial" w:hAnsi="Arial"/>
          <w:sz w:val="16"/>
          <w:szCs w:val="16"/>
          <w:color w:val="FF0000"/>
          <w:strike w:val="1"/>
        </w:rPr>
        <w:t>Commitment Increase</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l Facility</w:t>
      </w:r>
      <w:r>
        <w:rPr>
          <w:rFonts w:ascii="Arial" w:cs="Arial" w:eastAsia="Arial" w:hAnsi="Arial"/>
          <w:sz w:val="16"/>
          <w:szCs w:val="16"/>
          <w:color w:val="010101"/>
        </w:rPr>
        <w:t>;</w:t>
      </w:r>
    </w:p>
    <w:p>
      <w:pPr>
        <w:spacing w:after="0" w:line="144" w:lineRule="exact"/>
        <w:rPr>
          <w:rFonts w:ascii="Arial" w:cs="Arial" w:eastAsia="Arial" w:hAnsi="Arial"/>
          <w:sz w:val="16"/>
          <w:szCs w:val="16"/>
          <w:color w:val="010101"/>
        </w:rPr>
      </w:pPr>
    </w:p>
    <w:p>
      <w:pPr>
        <w:ind w:left="500" w:firstLine="492"/>
        <w:spacing w:after="0" w:line="244" w:lineRule="auto"/>
        <w:tabs>
          <w:tab w:leader="none" w:pos="1389" w:val="left"/>
        </w:tabs>
        <w:numPr>
          <w:ilvl w:val="0"/>
          <w:numId w:val="65"/>
        </w:numPr>
        <w:rPr>
          <w:rFonts w:ascii="Arial" w:cs="Arial" w:eastAsia="Arial" w:hAnsi="Arial"/>
          <w:sz w:val="16"/>
          <w:szCs w:val="16"/>
          <w:color w:val="010101"/>
        </w:rPr>
      </w:pPr>
      <w:r>
        <w:rPr>
          <w:rFonts w:ascii="Arial" w:cs="Arial" w:eastAsia="Arial" w:hAnsi="Arial"/>
          <w:sz w:val="16"/>
          <w:szCs w:val="16"/>
          <w:color w:val="010101"/>
        </w:rPr>
        <w:t xml:space="preserve">all terms and conditions applicable to any </w:t>
      </w:r>
      <w:r>
        <w:rPr>
          <w:rFonts w:ascii="Arial" w:cs="Arial" w:eastAsia="Arial" w:hAnsi="Arial"/>
          <w:sz w:val="16"/>
          <w:szCs w:val="16"/>
          <w:color w:val="FF0000"/>
          <w:strike w:val="1"/>
        </w:rPr>
        <w:t>Commitment Increase</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l Facility</w:t>
      </w:r>
      <w:r>
        <w:rPr>
          <w:rFonts w:ascii="Arial" w:cs="Arial" w:eastAsia="Arial" w:hAnsi="Arial"/>
          <w:sz w:val="16"/>
          <w:szCs w:val="16"/>
          <w:color w:val="010101"/>
        </w:rPr>
        <w:t xml:space="preserve"> with respect to an incremental term loan shall be reasonably satisfactory to the Administrative Agent and the Company; and</w:t>
      </w:r>
    </w:p>
    <w:p>
      <w:pPr>
        <w:spacing w:after="0" w:line="141" w:lineRule="exact"/>
        <w:rPr>
          <w:rFonts w:ascii="Arial" w:cs="Arial" w:eastAsia="Arial" w:hAnsi="Arial"/>
          <w:sz w:val="16"/>
          <w:szCs w:val="16"/>
          <w:color w:val="010101"/>
        </w:rPr>
      </w:pPr>
    </w:p>
    <w:p>
      <w:pPr>
        <w:jc w:val="both"/>
        <w:ind w:left="500" w:firstLine="492"/>
        <w:spacing w:after="0" w:line="231" w:lineRule="auto"/>
        <w:tabs>
          <w:tab w:leader="none" w:pos="1389" w:val="left"/>
        </w:tabs>
        <w:numPr>
          <w:ilvl w:val="0"/>
          <w:numId w:val="65"/>
        </w:numPr>
        <w:rPr>
          <w:rFonts w:ascii="Arial" w:cs="Arial" w:eastAsia="Arial" w:hAnsi="Arial"/>
          <w:sz w:val="16"/>
          <w:szCs w:val="16"/>
          <w:color w:val="010101"/>
        </w:rPr>
      </w:pPr>
      <w:r>
        <w:rPr>
          <w:rFonts w:ascii="Arial" w:cs="Arial" w:eastAsia="Arial" w:hAnsi="Arial"/>
          <w:sz w:val="16"/>
          <w:szCs w:val="16"/>
          <w:color w:val="010101"/>
        </w:rPr>
        <w:t xml:space="preserve">any </w:t>
      </w:r>
      <w:r>
        <w:rPr>
          <w:rFonts w:ascii="Arial" w:cs="Arial" w:eastAsia="Arial" w:hAnsi="Arial"/>
          <w:sz w:val="16"/>
          <w:szCs w:val="16"/>
          <w:color w:val="FF0000"/>
          <w:strike w:val="1"/>
        </w:rPr>
        <w:t>Commitment Increase</w:t>
      </w:r>
      <w:r>
        <w:rPr>
          <w:rFonts w:ascii="Arial" w:cs="Arial" w:eastAsia="Arial" w:hAnsi="Arial"/>
          <w:sz w:val="16"/>
          <w:szCs w:val="16"/>
          <w:b w:val="1"/>
          <w:bCs w:val="1"/>
          <w:u w:val="single" w:color="auto"/>
          <w:color w:val="0000FF"/>
        </w:rPr>
        <w:t>Incrementa</w:t>
      </w:r>
      <w:r>
        <w:rPr>
          <w:rFonts w:ascii="Arial" w:cs="Arial" w:eastAsia="Arial" w:hAnsi="Arial"/>
          <w:sz w:val="16"/>
          <w:szCs w:val="16"/>
          <w:b w:val="1"/>
          <w:bCs w:val="1"/>
          <w:color w:val="0000FF"/>
        </w:rPr>
        <w:t>l Facility</w:t>
      </w:r>
      <w:r>
        <w:rPr>
          <w:rFonts w:ascii="Arial" w:cs="Arial" w:eastAsia="Arial" w:hAnsi="Arial"/>
          <w:sz w:val="16"/>
          <w:szCs w:val="16"/>
          <w:color w:val="010101"/>
        </w:rPr>
        <w:t xml:space="preserve"> with respect to a revolving credit facility increase shall be subject to the same terms and conditions as the existing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Advances but shall bear interest and be entitled to fees, in each case at a rate determined by the applicable Increasing Lenders and the Company;</w:t>
      </w:r>
    </w:p>
    <w:p>
      <w:pPr>
        <w:spacing w:after="0" w:line="136" w:lineRule="exact"/>
        <w:rPr>
          <w:sz w:val="20"/>
          <w:szCs w:val="20"/>
          <w:color w:val="auto"/>
        </w:rPr>
      </w:pPr>
    </w:p>
    <w:p>
      <w:pPr>
        <w:jc w:val="both"/>
        <w:ind w:left="20" w:firstLine="972"/>
        <w:spacing w:after="0" w:line="232" w:lineRule="auto"/>
        <w:tabs>
          <w:tab w:leader="none" w:pos="1231" w:val="left"/>
        </w:tabs>
        <w:numPr>
          <w:ilvl w:val="1"/>
          <w:numId w:val="66"/>
        </w:numPr>
        <w:rPr>
          <w:rFonts w:ascii="Arial" w:cs="Arial" w:eastAsia="Arial" w:hAnsi="Arial"/>
          <w:sz w:val="15"/>
          <w:szCs w:val="15"/>
          <w:color w:val="FF0000"/>
          <w:strike w:val="1"/>
        </w:rPr>
      </w:pPr>
      <w:r>
        <w:rPr>
          <w:rFonts w:ascii="Arial" w:cs="Arial" w:eastAsia="Arial" w:hAnsi="Arial"/>
          <w:sz w:val="15"/>
          <w:szCs w:val="15"/>
          <w:color w:val="010101"/>
        </w:rPr>
        <w:t xml:space="preserve">In the event that the Administrative Agent shall have received notice from the Company as to its agreement to </w:t>
      </w:r>
      <w:r>
        <w:rPr>
          <w:rFonts w:ascii="Arial" w:cs="Arial" w:eastAsia="Arial" w:hAnsi="Arial"/>
          <w:sz w:val="15"/>
          <w:szCs w:val="15"/>
          <w:color w:val="FF0000"/>
          <w:strike w:val="1"/>
        </w:rPr>
        <w:t>a Commitment Increase</w:t>
      </w:r>
      <w:r>
        <w:rPr>
          <w:rFonts w:ascii="Arial" w:cs="Arial" w:eastAsia="Arial" w:hAnsi="Arial"/>
          <w:sz w:val="15"/>
          <w:szCs w:val="15"/>
          <w:b w:val="1"/>
          <w:bCs w:val="1"/>
          <w:u w:val="single" w:color="auto"/>
          <w:color w:val="0000FF"/>
        </w:rPr>
        <w:t>a</w:t>
      </w:r>
      <w:r>
        <w:rPr>
          <w:rFonts w:ascii="Arial" w:cs="Arial" w:eastAsia="Arial" w:hAnsi="Arial"/>
          <w:sz w:val="15"/>
          <w:szCs w:val="15"/>
          <w:b w:val="1"/>
          <w:bCs w:val="1"/>
          <w:color w:val="0000FF"/>
        </w:rPr>
        <w:t>n I</w:t>
      </w:r>
      <w:r>
        <w:rPr>
          <w:rFonts w:ascii="Arial" w:cs="Arial" w:eastAsia="Arial" w:hAnsi="Arial"/>
          <w:sz w:val="15"/>
          <w:szCs w:val="15"/>
          <w:b w:val="1"/>
          <w:bCs w:val="1"/>
          <w:u w:val="single" w:color="auto"/>
          <w:color w:val="0000FF"/>
        </w:rPr>
        <w:t>ncrementa</w:t>
      </w:r>
      <w:r>
        <w:rPr>
          <w:rFonts w:ascii="Arial" w:cs="Arial" w:eastAsia="Arial" w:hAnsi="Arial"/>
          <w:sz w:val="15"/>
          <w:szCs w:val="15"/>
          <w:b w:val="1"/>
          <w:bCs w:val="1"/>
          <w:color w:val="0000FF"/>
        </w:rPr>
        <w:t>l</w:t>
      </w:r>
      <w:r>
        <w:rPr>
          <w:rFonts w:ascii="Arial" w:cs="Arial" w:eastAsia="Arial" w:hAnsi="Arial"/>
          <w:sz w:val="15"/>
          <w:szCs w:val="15"/>
          <w:color w:val="010101"/>
        </w:rPr>
        <w:t xml:space="preserve"> </w:t>
      </w:r>
      <w:r>
        <w:rPr>
          <w:rFonts w:ascii="Arial" w:cs="Arial" w:eastAsia="Arial" w:hAnsi="Arial"/>
          <w:sz w:val="15"/>
          <w:szCs w:val="15"/>
          <w:b w:val="1"/>
          <w:bCs w:val="1"/>
          <w:color w:val="0000FF"/>
        </w:rPr>
        <w:t xml:space="preserve">Facility </w:t>
      </w:r>
      <w:r>
        <w:rPr>
          <w:rFonts w:ascii="Arial" w:cs="Arial" w:eastAsia="Arial" w:hAnsi="Arial"/>
          <w:sz w:val="15"/>
          <w:szCs w:val="15"/>
          <w:color w:val="010101"/>
        </w:rPr>
        <w:t>on or prior to the applicable Commitment Date and each of the actions provided for in clauses (1) through (3) above shall have occurred prior to 10:00 A.M.</w:t>
      </w:r>
      <w:r>
        <w:rPr>
          <w:rFonts w:ascii="Arial" w:cs="Arial" w:eastAsia="Arial" w:hAnsi="Arial"/>
          <w:sz w:val="15"/>
          <w:szCs w:val="15"/>
          <w:b w:val="1"/>
          <w:bCs w:val="1"/>
          <w:color w:val="0000FF"/>
        </w:rPr>
        <w:t xml:space="preserve"> </w:t>
      </w:r>
      <w:r>
        <w:rPr>
          <w:rFonts w:ascii="Arial" w:cs="Arial" w:eastAsia="Arial" w:hAnsi="Arial"/>
          <w:sz w:val="15"/>
          <w:szCs w:val="15"/>
          <w:color w:val="010101"/>
        </w:rPr>
        <w:t xml:space="preserve">(New York City time) on the applicable Increase Date to the reasonable satisfaction of the Administrative Agent, the Administrative Agent shall notify the Lenders (including any Assuming Lenders) and the Company of the occurrence of such </w:t>
      </w:r>
      <w:r>
        <w:rPr>
          <w:rFonts w:ascii="Arial" w:cs="Arial" w:eastAsia="Arial" w:hAnsi="Arial"/>
          <w:sz w:val="15"/>
          <w:szCs w:val="15"/>
          <w:color w:val="FF0000"/>
          <w:strike w:val="1"/>
        </w:rPr>
        <w:t>Commitment Increase</w:t>
      </w:r>
      <w:r>
        <w:rPr>
          <w:rFonts w:ascii="Arial" w:cs="Arial" w:eastAsia="Arial" w:hAnsi="Arial"/>
          <w:sz w:val="15"/>
          <w:szCs w:val="15"/>
          <w:b w:val="1"/>
          <w:bCs w:val="1"/>
          <w:u w:val="single" w:color="auto"/>
          <w:color w:val="0000FF"/>
        </w:rPr>
        <w:t>Incrementa</w:t>
      </w:r>
      <w:r>
        <w:rPr>
          <w:rFonts w:ascii="Arial" w:cs="Arial" w:eastAsia="Arial" w:hAnsi="Arial"/>
          <w:sz w:val="15"/>
          <w:szCs w:val="15"/>
          <w:b w:val="1"/>
          <w:bCs w:val="1"/>
          <w:color w:val="0000FF"/>
        </w:rPr>
        <w:t>l Facility</w:t>
      </w:r>
      <w:r>
        <w:rPr>
          <w:rFonts w:ascii="Arial" w:cs="Arial" w:eastAsia="Arial" w:hAnsi="Arial"/>
          <w:sz w:val="15"/>
          <w:szCs w:val="15"/>
          <w:color w:val="010101"/>
        </w:rPr>
        <w:t xml:space="preserve"> by telephone, confirmed at once in writing, or telecopier, and in any event no later than 1:00 P.M. (New York City time) on such Increase Date and shall record in the Register the relevant information with respect to each Increasing Lender and Assuming Lender. Each Increasing Lender and each Assuming Lender shall, to the extent applicable, before 2:00 P.M. (New York City time) on the applicable Increase Date, purchase at par that portion of outstanding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Advances and L/C Obligations of the other Lenders or take such other actions as the Administrative Agent may reasonably determine to be necessary to cause the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Advances to be funded and L/C Obligations held pro rata by the Lenders in accordance with the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Commitments.</w:t>
      </w:r>
    </w:p>
    <w:p>
      <w:pPr>
        <w:spacing w:after="0" w:line="150" w:lineRule="exact"/>
        <w:rPr>
          <w:rFonts w:ascii="Arial" w:cs="Arial" w:eastAsia="Arial" w:hAnsi="Arial"/>
          <w:sz w:val="15"/>
          <w:szCs w:val="15"/>
          <w:color w:val="FF0000"/>
          <w:strike w:val="1"/>
        </w:rPr>
      </w:pPr>
    </w:p>
    <w:p>
      <w:pPr>
        <w:jc w:val="both"/>
        <w:ind w:left="20" w:firstLine="487"/>
        <w:spacing w:after="0" w:line="230" w:lineRule="auto"/>
        <w:tabs>
          <w:tab w:leader="none" w:pos="910" w:val="left"/>
        </w:tabs>
        <w:numPr>
          <w:ilvl w:val="0"/>
          <w:numId w:val="67"/>
        </w:numPr>
        <w:rPr>
          <w:rFonts w:ascii="Arial" w:cs="Arial" w:eastAsia="Arial" w:hAnsi="Arial"/>
          <w:sz w:val="16"/>
          <w:szCs w:val="16"/>
          <w:color w:val="auto"/>
        </w:rPr>
      </w:pPr>
      <w:r>
        <w:rPr>
          <w:rFonts w:ascii="Arial" w:cs="Arial" w:eastAsia="Arial" w:hAnsi="Arial"/>
          <w:sz w:val="16"/>
          <w:szCs w:val="16"/>
          <w:color w:val="010101"/>
        </w:rPr>
        <w:t xml:space="preserve">In the event that the Administrative Agent shall not have received notice from the Company as to such agreement on or prior to the applicable Commitment Date or the Company shall, by notice to the Administrative Agent prior to the applicable Increase Date, withdraw its proposal for </w:t>
      </w:r>
      <w:r>
        <w:rPr>
          <w:rFonts w:ascii="Arial" w:cs="Arial" w:eastAsia="Arial" w:hAnsi="Arial"/>
          <w:sz w:val="16"/>
          <w:szCs w:val="16"/>
          <w:color w:val="FF0000"/>
          <w:strike w:val="1"/>
        </w:rPr>
        <w:t>a Commitment Increase</w:t>
      </w:r>
      <w:r>
        <w:rPr>
          <w:rFonts w:ascii="Arial" w:cs="Arial" w:eastAsia="Arial" w:hAnsi="Arial"/>
          <w:sz w:val="16"/>
          <w:szCs w:val="16"/>
          <w:b w:val="1"/>
          <w:bCs w:val="1"/>
          <w:u w:val="single" w:color="auto"/>
          <w:color w:val="0000FF"/>
        </w:rPr>
        <w:t>a</w:t>
      </w:r>
      <w:r>
        <w:rPr>
          <w:rFonts w:ascii="Arial" w:cs="Arial" w:eastAsia="Arial" w:hAnsi="Arial"/>
          <w:sz w:val="16"/>
          <w:szCs w:val="16"/>
          <w:b w:val="1"/>
          <w:bCs w:val="1"/>
          <w:color w:val="0000FF"/>
        </w:rPr>
        <w:t>n I</w:t>
      </w:r>
      <w:r>
        <w:rPr>
          <w:rFonts w:ascii="Arial" w:cs="Arial" w:eastAsia="Arial" w:hAnsi="Arial"/>
          <w:sz w:val="16"/>
          <w:szCs w:val="16"/>
          <w:b w:val="1"/>
          <w:bCs w:val="1"/>
          <w:u w:val="single" w:color="auto"/>
          <w:color w:val="0000FF"/>
        </w:rPr>
        <w:t>ncrementa</w:t>
      </w:r>
      <w:r>
        <w:rPr>
          <w:rFonts w:ascii="Arial" w:cs="Arial" w:eastAsia="Arial" w:hAnsi="Arial"/>
          <w:sz w:val="16"/>
          <w:szCs w:val="16"/>
          <w:b w:val="1"/>
          <w:bCs w:val="1"/>
          <w:color w:val="0000FF"/>
        </w:rPr>
        <w:t>l</w:t>
      </w:r>
      <w:r>
        <w:rPr>
          <w:rFonts w:ascii="Arial" w:cs="Arial" w:eastAsia="Arial" w:hAnsi="Arial"/>
          <w:sz w:val="16"/>
          <w:szCs w:val="16"/>
          <w:color w:val="010101"/>
        </w:rPr>
        <w:t xml:space="preserve"> </w:t>
      </w:r>
      <w:r>
        <w:rPr>
          <w:rFonts w:ascii="Arial" w:cs="Arial" w:eastAsia="Arial" w:hAnsi="Arial"/>
          <w:sz w:val="16"/>
          <w:szCs w:val="16"/>
          <w:b w:val="1"/>
          <w:bCs w:val="1"/>
          <w:color w:val="0000FF"/>
        </w:rPr>
        <w:t xml:space="preserve">Facility </w:t>
      </w:r>
      <w:r>
        <w:rPr>
          <w:rFonts w:ascii="Arial" w:cs="Arial" w:eastAsia="Arial" w:hAnsi="Arial"/>
          <w:sz w:val="16"/>
          <w:szCs w:val="16"/>
          <w:color w:val="010101"/>
        </w:rPr>
        <w:t>or any of the actions provided for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10" w:name="page111"/>
    <w:bookmarkEnd w:id="110"/>
    <w:p>
      <w:pPr>
        <w:jc w:val="both"/>
        <w:ind w:left="20" w:right="40"/>
        <w:spacing w:after="0" w:line="230" w:lineRule="auto"/>
        <w:rPr>
          <w:sz w:val="20"/>
          <w:szCs w:val="20"/>
          <w:color w:val="auto"/>
        </w:rPr>
      </w:pPr>
      <w:r>
        <w:rPr>
          <w:rFonts w:ascii="Arial" w:cs="Arial" w:eastAsia="Arial" w:hAnsi="Arial"/>
          <w:sz w:val="16"/>
          <w:szCs w:val="16"/>
          <w:color w:val="010101"/>
        </w:rPr>
        <w:t>above in clauses (i)(1) through (i)(3) shall not have occurred by 10:00 A.M. (New York City time) on such Increase Date, such proposal by the Company shall be deemed not to have been made. In such event, any actions theretofore taken under clauses (i)(1) through (i)(3) above shall be deemed to be of no effect and all the rights and obligations of the parties shall continue as if no such proposal had been made.</w:t>
      </w:r>
    </w:p>
    <w:p>
      <w:pPr>
        <w:spacing w:after="0" w:line="148" w:lineRule="exact"/>
        <w:rPr>
          <w:sz w:val="20"/>
          <w:szCs w:val="20"/>
          <w:color w:val="auto"/>
        </w:rPr>
      </w:pPr>
    </w:p>
    <w:p>
      <w:pPr>
        <w:jc w:val="both"/>
        <w:ind w:left="20" w:right="40" w:firstLine="487"/>
        <w:spacing w:after="0" w:line="230" w:lineRule="auto"/>
        <w:tabs>
          <w:tab w:leader="none" w:pos="909" w:val="left"/>
        </w:tabs>
        <w:numPr>
          <w:ilvl w:val="0"/>
          <w:numId w:val="68"/>
        </w:numPr>
        <w:rPr>
          <w:rFonts w:ascii="Arial" w:cs="Arial" w:eastAsia="Arial" w:hAnsi="Arial"/>
          <w:sz w:val="16"/>
          <w:szCs w:val="16"/>
          <w:color w:val="010101"/>
        </w:rPr>
      </w:pPr>
      <w:r>
        <w:rPr>
          <w:rFonts w:ascii="Arial" w:cs="Arial" w:eastAsia="Arial" w:hAnsi="Arial"/>
          <w:sz w:val="16"/>
          <w:szCs w:val="16"/>
          <w:color w:val="010101"/>
        </w:rPr>
        <w:t>Notwithstanding anything to the contrary set forth in Section 9.01, the Company, on behalf of the Borrowers, the Administrative Agent, each Increasing Lender and each Assuming Lender may enter into amendments to this Agreement (without the consent of any other Lender) to implement and effect any Commitment Increase complying with the above provisions and each Lender hereto agrees to the foregoing.</w:t>
      </w:r>
    </w:p>
    <w:p>
      <w:pPr>
        <w:spacing w:after="0" w:line="144"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2.06.</w:t>
      </w:r>
      <w:r>
        <w:rPr>
          <w:sz w:val="20"/>
          <w:szCs w:val="20"/>
          <w:color w:val="auto"/>
        </w:rPr>
        <w:tab/>
      </w:r>
      <w:r>
        <w:rPr>
          <w:rFonts w:ascii="Arial" w:cs="Arial" w:eastAsia="Arial" w:hAnsi="Arial"/>
          <w:sz w:val="14"/>
          <w:szCs w:val="14"/>
          <w:color w:val="010101"/>
        </w:rPr>
        <w:t xml:space="preserve">Repayment of </w:t>
      </w:r>
      <w:r>
        <w:rPr>
          <w:rFonts w:ascii="Arial" w:cs="Arial" w:eastAsia="Arial" w:hAnsi="Arial"/>
          <w:sz w:val="14"/>
          <w:szCs w:val="14"/>
          <w:b w:val="1"/>
          <w:bCs w:val="1"/>
          <w:u w:val="single" w:color="auto"/>
          <w:color w:val="0000FF"/>
        </w:rPr>
        <w:t>Revolving</w:t>
      </w:r>
      <w:r>
        <w:rPr>
          <w:rFonts w:ascii="Arial" w:cs="Arial" w:eastAsia="Arial" w:hAnsi="Arial"/>
          <w:sz w:val="14"/>
          <w:szCs w:val="14"/>
          <w:color w:val="010101"/>
        </w:rPr>
        <w:t xml:space="preserve"> Advances</w:t>
      </w:r>
    </w:p>
    <w:p>
      <w:pPr>
        <w:spacing w:after="0" w:line="160" w:lineRule="exact"/>
        <w:rPr>
          <w:sz w:val="20"/>
          <w:szCs w:val="20"/>
          <w:color w:val="auto"/>
        </w:rPr>
      </w:pPr>
    </w:p>
    <w:p>
      <w:pPr>
        <w:jc w:val="both"/>
        <w:ind w:left="20" w:right="20" w:firstLine="487"/>
        <w:spacing w:after="0" w:line="236" w:lineRule="auto"/>
        <w:tabs>
          <w:tab w:leader="none" w:pos="610" w:val="left"/>
        </w:tabs>
        <w:numPr>
          <w:ilvl w:val="0"/>
          <w:numId w:val="69"/>
        </w:numPr>
        <w:rPr>
          <w:rFonts w:ascii="Arial" w:cs="Arial" w:eastAsia="Arial" w:hAnsi="Arial"/>
          <w:sz w:val="15"/>
          <w:szCs w:val="15"/>
          <w:color w:val="010101"/>
        </w:rPr>
      </w:pPr>
      <w:r>
        <w:rPr>
          <w:rFonts w:ascii="Arial" w:cs="Arial" w:eastAsia="Arial" w:hAnsi="Arial"/>
          <w:sz w:val="15"/>
          <w:szCs w:val="15"/>
          <w:color w:val="010101"/>
        </w:rPr>
        <w:t xml:space="preserve">The Borrowers shall repay the outstanding principal amount of all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Advances in full on the Termination Date in the Currencies in which such </w:t>
      </w:r>
      <w:r>
        <w:rPr>
          <w:rFonts w:ascii="Arial" w:cs="Arial" w:eastAsia="Arial" w:hAnsi="Arial"/>
          <w:sz w:val="15"/>
          <w:szCs w:val="15"/>
          <w:b w:val="1"/>
          <w:bCs w:val="1"/>
          <w:u w:val="single" w:color="auto"/>
          <w:color w:val="0000FF"/>
        </w:rPr>
        <w:t>Revolving</w:t>
      </w:r>
      <w:r>
        <w:rPr>
          <w:rFonts w:ascii="Arial" w:cs="Arial" w:eastAsia="Arial" w:hAnsi="Arial"/>
          <w:sz w:val="15"/>
          <w:szCs w:val="15"/>
          <w:b w:val="1"/>
          <w:bCs w:val="1"/>
          <w:color w:val="0000FF"/>
        </w:rPr>
        <w:t xml:space="preserve"> </w:t>
      </w:r>
      <w:r>
        <w:rPr>
          <w:rFonts w:ascii="Arial" w:cs="Arial" w:eastAsia="Arial" w:hAnsi="Arial"/>
          <w:sz w:val="15"/>
          <w:szCs w:val="15"/>
          <w:color w:val="010101"/>
        </w:rPr>
        <w:t>Advances are denominated, together with all accrued but unpaid interest thereon and other amounts payable with respect to such</w:t>
      </w:r>
      <w:r>
        <w:rPr>
          <w:rFonts w:ascii="Arial" w:cs="Arial" w:eastAsia="Arial" w:hAnsi="Arial"/>
          <w:sz w:val="15"/>
          <w:szCs w:val="15"/>
          <w:b w:val="1"/>
          <w:bCs w:val="1"/>
          <w:color w:val="0000FF"/>
        </w:rPr>
        <w:t xml:space="preserve"> </w:t>
      </w:r>
      <w:r>
        <w:rPr>
          <w:rFonts w:ascii="Arial" w:cs="Arial" w:eastAsia="Arial" w:hAnsi="Arial"/>
          <w:sz w:val="15"/>
          <w:szCs w:val="15"/>
          <w:b w:val="1"/>
          <w:bCs w:val="1"/>
          <w:u w:val="single" w:color="auto"/>
          <w:color w:val="0000FF"/>
        </w:rPr>
        <w:t>Revolving</w:t>
      </w:r>
      <w:r>
        <w:rPr>
          <w:rFonts w:ascii="Arial" w:cs="Arial" w:eastAsia="Arial" w:hAnsi="Arial"/>
          <w:sz w:val="15"/>
          <w:szCs w:val="15"/>
          <w:b w:val="1"/>
          <w:bCs w:val="1"/>
          <w:color w:val="0000FF"/>
        </w:rPr>
        <w:t xml:space="preserve"> </w:t>
      </w:r>
      <w:r>
        <w:rPr>
          <w:rFonts w:ascii="Arial" w:cs="Arial" w:eastAsia="Arial" w:hAnsi="Arial"/>
          <w:sz w:val="15"/>
          <w:szCs w:val="15"/>
          <w:color w:val="010101"/>
        </w:rPr>
        <w:t>Advances. If at</w:t>
      </w:r>
      <w:r>
        <w:rPr>
          <w:rFonts w:ascii="Arial" w:cs="Arial" w:eastAsia="Arial" w:hAnsi="Arial"/>
          <w:sz w:val="15"/>
          <w:szCs w:val="15"/>
          <w:b w:val="1"/>
          <w:bCs w:val="1"/>
          <w:color w:val="0000FF"/>
        </w:rPr>
        <w:t xml:space="preserve"> </w:t>
      </w:r>
      <w:r>
        <w:rPr>
          <w:rFonts w:ascii="Arial" w:cs="Arial" w:eastAsia="Arial" w:hAnsi="Arial"/>
          <w:sz w:val="15"/>
          <w:szCs w:val="15"/>
          <w:color w:val="010101"/>
        </w:rPr>
        <w:t xml:space="preserve">any time the Dollar Equivalent of Revolving Credit Outstandings exceed the aggregate Commitments (other than as a result of changes in the Spot Rate), the Company agrees to repay promptly upon notice from the Administrative Agent, by payment to the Administrative Agent for the account of the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Lenders, Extensions of Credit in an amount equal to such excess with each such repayment applied first, to the principal amount of outstanding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Advances and second, to Cash Collateralize Letters of Credit then outstanding, in an amount necessary to eliminate such excess.</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2.07.</w:t>
      </w:r>
      <w:r>
        <w:rPr>
          <w:sz w:val="20"/>
          <w:szCs w:val="20"/>
          <w:color w:val="auto"/>
        </w:rPr>
        <w:tab/>
      </w:r>
      <w:r>
        <w:rPr>
          <w:rFonts w:ascii="Arial" w:cs="Arial" w:eastAsia="Arial" w:hAnsi="Arial"/>
          <w:sz w:val="14"/>
          <w:szCs w:val="14"/>
          <w:u w:val="single" w:color="auto"/>
          <w:color w:val="010101"/>
        </w:rPr>
        <w:t>Interest on Advances</w:t>
      </w:r>
    </w:p>
    <w:p>
      <w:pPr>
        <w:spacing w:after="0" w:line="170" w:lineRule="exact"/>
        <w:rPr>
          <w:sz w:val="20"/>
          <w:szCs w:val="20"/>
          <w:color w:val="auto"/>
        </w:rPr>
      </w:pPr>
    </w:p>
    <w:p>
      <w:pPr>
        <w:ind w:left="20" w:right="520" w:firstLine="487"/>
        <w:spacing w:after="0" w:line="239" w:lineRule="auto"/>
        <w:tabs>
          <w:tab w:leader="none" w:pos="586" w:val="left"/>
        </w:tabs>
        <w:numPr>
          <w:ilvl w:val="0"/>
          <w:numId w:val="70"/>
        </w:numPr>
        <w:rPr>
          <w:rFonts w:ascii="Arial" w:cs="Arial" w:eastAsia="Arial" w:hAnsi="Arial"/>
          <w:sz w:val="16"/>
          <w:szCs w:val="16"/>
          <w:color w:val="010101"/>
        </w:rPr>
      </w:pPr>
      <w:r>
        <w:rPr>
          <w:rFonts w:ascii="Arial" w:cs="Arial" w:eastAsia="Arial" w:hAnsi="Arial"/>
          <w:sz w:val="16"/>
          <w:szCs w:val="16"/>
          <w:color w:val="010101"/>
        </w:rPr>
        <w:t>(a) Scheduled Interest. Each Borrower shall pay interest on the unpaid principal amount of each Advance to it owing to each Lender from the date of such Advance until such principal amount shall be paid in full, at the following rates per annum:</w:t>
      </w:r>
    </w:p>
    <w:p>
      <w:pPr>
        <w:spacing w:after="0" w:line="138" w:lineRule="exact"/>
        <w:rPr>
          <w:rFonts w:ascii="Arial" w:cs="Arial" w:eastAsia="Arial" w:hAnsi="Arial"/>
          <w:sz w:val="16"/>
          <w:szCs w:val="16"/>
          <w:color w:val="010101"/>
        </w:rPr>
      </w:pPr>
    </w:p>
    <w:p>
      <w:pPr>
        <w:jc w:val="both"/>
        <w:ind w:left="500" w:right="40" w:firstLine="492"/>
        <w:spacing w:after="0" w:line="230" w:lineRule="auto"/>
        <w:tabs>
          <w:tab w:leader="none" w:pos="1389"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010101"/>
        </w:rPr>
        <w:t>Base Rate Advances</w:t>
      </w:r>
      <w:r>
        <w:rPr>
          <w:rFonts w:ascii="Arial" w:cs="Arial" w:eastAsia="Arial" w:hAnsi="Arial"/>
          <w:sz w:val="16"/>
          <w:szCs w:val="16"/>
          <w:color w:val="010101"/>
        </w:rPr>
        <w:t xml:space="preserve">. During such periods as an Advance is a Base Rate Advance, a rate per annum equal at all times to the sum of (x) the Base Rate in effect from time to time </w:t>
      </w:r>
      <w:r>
        <w:rPr>
          <w:rFonts w:ascii="Arial" w:cs="Arial" w:eastAsia="Arial" w:hAnsi="Arial"/>
          <w:sz w:val="16"/>
          <w:szCs w:val="16"/>
          <w:u w:val="single" w:color="auto"/>
          <w:color w:val="010101"/>
        </w:rPr>
        <w:t>plus</w:t>
      </w:r>
      <w:r>
        <w:rPr>
          <w:rFonts w:ascii="Arial" w:cs="Arial" w:eastAsia="Arial" w:hAnsi="Arial"/>
          <w:sz w:val="16"/>
          <w:szCs w:val="16"/>
          <w:color w:val="010101"/>
        </w:rPr>
        <w:t xml:space="preserve"> (y) the Applicable Margin in effect from time to time, payable in arrears quarterly on the last day of each March, June, September and December during such periods and on the date such Base Rate Advance shall be Converted or paid in full; or</w:t>
      </w:r>
    </w:p>
    <w:p>
      <w:pPr>
        <w:spacing w:after="0" w:line="198" w:lineRule="exact"/>
        <w:rPr>
          <w:rFonts w:ascii="Arial" w:cs="Arial" w:eastAsia="Arial" w:hAnsi="Arial"/>
          <w:sz w:val="16"/>
          <w:szCs w:val="16"/>
          <w:color w:val="auto"/>
        </w:rPr>
      </w:pPr>
    </w:p>
    <w:p>
      <w:pPr>
        <w:jc w:val="both"/>
        <w:ind w:left="500" w:firstLine="492"/>
        <w:spacing w:after="0" w:line="220" w:lineRule="auto"/>
        <w:tabs>
          <w:tab w:leader="none" w:pos="1389"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010101"/>
        </w:rPr>
        <w:t>Other Advances</w:t>
      </w:r>
      <w:r>
        <w:rPr>
          <w:rFonts w:ascii="Arial" w:cs="Arial" w:eastAsia="Arial" w:hAnsi="Arial"/>
          <w:sz w:val="16"/>
          <w:szCs w:val="16"/>
          <w:color w:val="010101"/>
        </w:rPr>
        <w:t>. During such periods as an Advance is (A) a Daily Simple RFR Advance denominated in Sterling, a rate per annum equal at all times to the sum of (x) Daily Simple RFR plus (y) the Applicable Margin, (B) a Daily Simple RFR Advance denominated in a Foreign Currency (other than Sterling), a rate per annum equal at all times to the sum of (x) Daily Simple RFR plus (y) the Applicable Margin, (C) a Term SOFR Advance, a rate per annum equal at all times to the sum of (x) Term SOFR plus (y) the Applicable Margin, and (D) Eurocurrency Rate Advances, a rate per annum equal at all times to the sum of (x) the applicable Adjusted Eurocurrency Rate plus (y) the Applicable Margin, payable in arrears on the Interest Payment Date and on the date such Advance shall be Converted or paid in full.</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49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11" w:name="page112"/>
    <w:bookmarkEnd w:id="111"/>
    <w:p>
      <w:pPr>
        <w:jc w:val="both"/>
        <w:ind w:left="20"/>
        <w:spacing w:after="0"/>
        <w:rPr>
          <w:sz w:val="20"/>
          <w:szCs w:val="20"/>
          <w:color w:val="auto"/>
        </w:rPr>
      </w:pPr>
      <w:r>
        <w:rPr>
          <w:rFonts w:ascii="Arial" w:cs="Arial" w:eastAsia="Arial" w:hAnsi="Arial"/>
          <w:sz w:val="15"/>
          <w:szCs w:val="15"/>
          <w:color w:val="010101"/>
        </w:rPr>
        <w:t>Notwithstanding anything in this Agreement (including this Section 2.07) to the contrary, with respect to any Advance denominated in US Dollars as of the Effective Date, (A) the interest rate with respect to such Advance shall continue to be determined in accordance with the terms of this Agreement immediately prior to the Effective Date through and until the last day of the current Interest Period with respect to such Advance and (B) after the termination of such current Interest Period with respect to such Advance, the interest rate for such Advance will thereafter be determined in accordance with the current terms of this Agreement.</w:t>
      </w:r>
    </w:p>
    <w:p>
      <w:pPr>
        <w:spacing w:after="0" w:line="149" w:lineRule="exact"/>
        <w:rPr>
          <w:sz w:val="20"/>
          <w:szCs w:val="20"/>
          <w:color w:val="auto"/>
        </w:rPr>
      </w:pPr>
    </w:p>
    <w:p>
      <w:pPr>
        <w:ind w:left="20" w:right="20" w:firstLine="487"/>
        <w:spacing w:after="0" w:line="220" w:lineRule="auto"/>
        <w:tabs>
          <w:tab w:leader="none" w:pos="909"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010101"/>
        </w:rPr>
        <w:t>Default Interest</w:t>
      </w:r>
      <w:r>
        <w:rPr>
          <w:rFonts w:ascii="Arial" w:cs="Arial" w:eastAsia="Arial" w:hAnsi="Arial"/>
          <w:sz w:val="16"/>
          <w:szCs w:val="16"/>
          <w:color w:val="010101"/>
        </w:rPr>
        <w:t>. Upon the occurrence and during the continuance of an Event of Default under Section 6.01(a), the Administrative Agent may, and upon the request of the Required Lenders shall, require each applicable Borrower to pay interest (“</w:t>
      </w:r>
      <w:r>
        <w:rPr>
          <w:rFonts w:ascii="Arial" w:cs="Arial" w:eastAsia="Arial" w:hAnsi="Arial"/>
          <w:sz w:val="16"/>
          <w:szCs w:val="16"/>
          <w:u w:val="single" w:color="auto"/>
          <w:color w:val="010101"/>
        </w:rPr>
        <w:t>Default Interest</w:t>
      </w:r>
      <w:r>
        <w:rPr>
          <w:rFonts w:ascii="Arial" w:cs="Arial" w:eastAsia="Arial" w:hAnsi="Arial"/>
          <w:sz w:val="16"/>
          <w:szCs w:val="16"/>
          <w:color w:val="010101"/>
        </w:rPr>
        <w:t>”) on</w:t>
      </w:r>
    </w:p>
    <w:p>
      <w:pPr>
        <w:jc w:val="both"/>
        <w:ind w:left="20" w:firstLine="2"/>
        <w:spacing w:after="0" w:line="247" w:lineRule="auto"/>
        <w:tabs>
          <w:tab w:leader="none" w:pos="219" w:val="left"/>
        </w:tabs>
        <w:numPr>
          <w:ilvl w:val="0"/>
          <w:numId w:val="72"/>
        </w:numPr>
        <w:rPr>
          <w:rFonts w:ascii="Arial" w:cs="Arial" w:eastAsia="Arial" w:hAnsi="Arial"/>
          <w:sz w:val="14"/>
          <w:szCs w:val="14"/>
          <w:color w:val="010101"/>
        </w:rPr>
      </w:pPr>
      <w:r>
        <w:rPr>
          <w:rFonts w:ascii="Arial" w:cs="Arial" w:eastAsia="Arial" w:hAnsi="Arial"/>
          <w:sz w:val="14"/>
          <w:szCs w:val="14"/>
          <w:color w:val="010101"/>
        </w:rPr>
        <w:t xml:space="preserve">overdue principal of each Advance made to it, or such other Borrower Obligations (including L/C Obligations) arising hereunder or under any other Loan Document, owing to each Lender and Issuing Lender, payable in arrears on the dates referred to in clause (a)(i) or (a)(ii) above, at a rate per annum equal at all times to 2% per annum above the rate per annum required to be paid on such Advance pursuant to clause (a)(i) or (a)(ii) above (or, with respect to such other Borrower Obligations, on the dates and at the rate per annum required to be paid with respect on Base Rate Advances pursuant to clause (a)(i) above) and (ii) to the fullest extent permitted by law, the amount of any overdue interest, Letter of Credit commission, fee or other amount payable hereunder with respect to Advances made to it,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however</w:t>
      </w:r>
      <w:r>
        <w:rPr>
          <w:rFonts w:ascii="Arial" w:cs="Arial" w:eastAsia="Arial" w:hAnsi="Arial"/>
          <w:sz w:val="14"/>
          <w:szCs w:val="14"/>
          <w:color w:val="010101"/>
        </w:rPr>
        <w:t>, that following acceleration of the Advances pursuant to Section 6.01, Default Interest shall accrue and be payable hereunder whether or not previously required by the Administrative Agent.</w:t>
      </w:r>
    </w:p>
    <w:p>
      <w:pPr>
        <w:spacing w:after="0" w:line="196" w:lineRule="exact"/>
        <w:rPr>
          <w:rFonts w:ascii="Arial" w:cs="Arial" w:eastAsia="Arial" w:hAnsi="Arial"/>
          <w:sz w:val="14"/>
          <w:szCs w:val="14"/>
          <w:color w:val="010101"/>
        </w:rPr>
      </w:pPr>
    </w:p>
    <w:p>
      <w:pPr>
        <w:jc w:val="both"/>
        <w:ind w:left="20" w:right="20" w:firstLine="487"/>
        <w:spacing w:after="0" w:line="218" w:lineRule="auto"/>
        <w:tabs>
          <w:tab w:leader="none" w:pos="910"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010101"/>
        </w:rPr>
        <w:t>Maximum Rate</w:t>
      </w:r>
      <w:r>
        <w:rPr>
          <w:rFonts w:ascii="Arial" w:cs="Arial" w:eastAsia="Arial" w:hAnsi="Arial"/>
          <w:sz w:val="16"/>
          <w:szCs w:val="16"/>
          <w:color w:val="010101"/>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applicable Borrower any interest received by the Lenders in excess of the maximum lawful rate or (ii) apply such excess to the principal balance of the Borrower Obligations. It is the intent hereof that the Borrowers not pay or contract to pay, and that neither the Administrative Agent nor any Lender receive or contract to receive, directly or indirectly in any manner whatsoever, interest in excess of that which may be paid by the Borrowers under Applicable Law.</w:t>
      </w:r>
    </w:p>
    <w:p>
      <w:pPr>
        <w:spacing w:after="0" w:line="148" w:lineRule="exact"/>
        <w:rPr>
          <w:rFonts w:ascii="Arial" w:cs="Arial" w:eastAsia="Arial" w:hAnsi="Arial"/>
          <w:sz w:val="16"/>
          <w:szCs w:val="16"/>
          <w:color w:val="auto"/>
        </w:rPr>
      </w:pPr>
    </w:p>
    <w:p>
      <w:pPr>
        <w:jc w:val="both"/>
        <w:ind w:left="20" w:firstLine="487"/>
        <w:spacing w:after="0" w:line="225" w:lineRule="auto"/>
        <w:tabs>
          <w:tab w:leader="none" w:pos="90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010101"/>
        </w:rPr>
        <w:t>Interest Act (Canada)</w:t>
      </w:r>
      <w:r>
        <w:rPr>
          <w:rFonts w:ascii="Arial" w:cs="Arial" w:eastAsia="Arial" w:hAnsi="Arial"/>
          <w:sz w:val="16"/>
          <w:szCs w:val="16"/>
          <w:color w:val="010101"/>
        </w:rPr>
        <w:t>. For the purposes of the Interest Act (Canada), (i) whenever a rate of interest or fee rate hereunder is calculated on the basis of a year (the “</w:t>
      </w:r>
      <w:r>
        <w:rPr>
          <w:rFonts w:ascii="Arial" w:cs="Arial" w:eastAsia="Arial" w:hAnsi="Arial"/>
          <w:sz w:val="16"/>
          <w:szCs w:val="16"/>
          <w:u w:val="single" w:color="auto"/>
          <w:color w:val="010101"/>
        </w:rPr>
        <w:t>deemed year</w:t>
      </w:r>
      <w:r>
        <w:rPr>
          <w:rFonts w:ascii="Arial" w:cs="Arial" w:eastAsia="Arial" w:hAnsi="Arial"/>
          <w:sz w:val="16"/>
          <w:szCs w:val="16"/>
          <w:color w:val="010101"/>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12" w:name="page113"/>
    <w:bookmarkEnd w:id="112"/>
    <w:p>
      <w:pPr>
        <w:ind w:left="20"/>
        <w:spacing w:after="0"/>
        <w:rPr>
          <w:sz w:val="20"/>
          <w:szCs w:val="20"/>
          <w:color w:val="auto"/>
        </w:rPr>
      </w:pPr>
      <w:r>
        <w:rPr>
          <w:rFonts w:ascii="Arial" w:cs="Arial" w:eastAsia="Arial" w:hAnsi="Arial"/>
          <w:sz w:val="16"/>
          <w:szCs w:val="16"/>
          <w:color w:val="010101"/>
        </w:rPr>
        <w:t>apply to any interest calculation hereunder and (iii) the rates of interest stipulated herein are intended to be nominal rates and not effective rates or yields.</w:t>
      </w:r>
    </w:p>
    <w:p>
      <w:pPr>
        <w:spacing w:after="0" w:line="166"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2.08.</w:t>
      </w:r>
      <w:r>
        <w:rPr>
          <w:sz w:val="20"/>
          <w:szCs w:val="20"/>
          <w:color w:val="auto"/>
        </w:rPr>
        <w:tab/>
      </w:r>
      <w:r>
        <w:rPr>
          <w:rFonts w:ascii="Arial" w:cs="Arial" w:eastAsia="Arial" w:hAnsi="Arial"/>
          <w:sz w:val="14"/>
          <w:szCs w:val="14"/>
          <w:color w:val="FF0000"/>
          <w:strike w:val="1"/>
        </w:rPr>
        <w:t>[Reserved]</w:t>
      </w:r>
      <w:r>
        <w:rPr>
          <w:rFonts w:ascii="Arial" w:cs="Arial" w:eastAsia="Arial" w:hAnsi="Arial"/>
          <w:sz w:val="14"/>
          <w:szCs w:val="14"/>
          <w:b w:val="1"/>
          <w:bCs w:val="1"/>
          <w:u w:val="single" w:color="auto"/>
          <w:color w:val="0000FF"/>
          <w:strike w:val="1"/>
        </w:rPr>
        <w:t>Repayment of Term Loans</w:t>
      </w:r>
    </w:p>
    <w:p>
      <w:pPr>
        <w:spacing w:after="0" w:line="200" w:lineRule="exact"/>
        <w:rPr>
          <w:sz w:val="20"/>
          <w:szCs w:val="20"/>
          <w:color w:val="auto"/>
        </w:rPr>
      </w:pPr>
    </w:p>
    <w:p>
      <w:pPr>
        <w:spacing w:after="0" w:line="39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0000FF"/>
        </w:rPr>
        <w:t>.</w:t>
      </w:r>
    </w:p>
    <w:p>
      <w:pPr>
        <w:spacing w:after="0" w:line="160" w:lineRule="exact"/>
        <w:rPr>
          <w:sz w:val="20"/>
          <w:szCs w:val="20"/>
          <w:color w:val="auto"/>
        </w:rPr>
      </w:pPr>
    </w:p>
    <w:p>
      <w:pPr>
        <w:jc w:val="both"/>
        <w:ind w:left="20" w:right="20" w:firstLine="487"/>
        <w:spacing w:after="0" w:line="231" w:lineRule="auto"/>
        <w:tabs>
          <w:tab w:leader="none" w:pos="909" w:val="left"/>
        </w:tabs>
        <w:numPr>
          <w:ilvl w:val="0"/>
          <w:numId w:val="73"/>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oans</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e C</w:t>
      </w:r>
      <w:r>
        <w:rPr>
          <w:rFonts w:ascii="Arial" w:cs="Arial" w:eastAsia="Arial" w:hAnsi="Arial"/>
          <w:sz w:val="16"/>
          <w:szCs w:val="16"/>
          <w:b w:val="1"/>
          <w:bCs w:val="1"/>
          <w:u w:val="single" w:color="auto"/>
          <w:color w:val="0000FF"/>
        </w:rPr>
        <w:t>ompan</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shal</w:t>
      </w:r>
      <w:r>
        <w:rPr>
          <w:rFonts w:ascii="Arial" w:cs="Arial" w:eastAsia="Arial" w:hAnsi="Arial"/>
          <w:sz w:val="16"/>
          <w:szCs w:val="16"/>
          <w:b w:val="1"/>
          <w:bCs w:val="1"/>
          <w:color w:val="0000FF"/>
        </w:rPr>
        <w:t>l r</w:t>
      </w:r>
      <w:r>
        <w:rPr>
          <w:rFonts w:ascii="Arial" w:cs="Arial" w:eastAsia="Arial" w:hAnsi="Arial"/>
          <w:sz w:val="16"/>
          <w:szCs w:val="16"/>
          <w:b w:val="1"/>
          <w:bCs w:val="1"/>
          <w:u w:val="single" w:color="auto"/>
          <w:color w:val="0000FF"/>
        </w:rPr>
        <w:t>epa</w:t>
      </w:r>
      <w:r>
        <w:rPr>
          <w:rFonts w:ascii="Arial" w:cs="Arial" w:eastAsia="Arial" w:hAnsi="Arial"/>
          <w:sz w:val="16"/>
          <w:szCs w:val="16"/>
          <w:b w:val="1"/>
          <w:bCs w:val="1"/>
          <w:color w:val="0000FF"/>
        </w:rPr>
        <w:t>y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aggregat</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outstandin</w:t>
      </w:r>
      <w:r>
        <w:rPr>
          <w:rFonts w:ascii="Arial" w:cs="Arial" w:eastAsia="Arial" w:hAnsi="Arial"/>
          <w:sz w:val="16"/>
          <w:szCs w:val="16"/>
          <w:b w:val="1"/>
          <w:bCs w:val="1"/>
          <w:color w:val="0000FF"/>
        </w:rPr>
        <w:t xml:space="preserve">g principal </w:t>
      </w:r>
      <w:r>
        <w:rPr>
          <w:rFonts w:ascii="Arial" w:cs="Arial" w:eastAsia="Arial" w:hAnsi="Arial"/>
          <w:sz w:val="16"/>
          <w:szCs w:val="16"/>
          <w:b w:val="1"/>
          <w:bCs w:val="1"/>
          <w:u w:val="single" w:color="auto"/>
          <w:color w:val="0000FF"/>
        </w:rPr>
        <w:t>amount of the Term Loans in consecutive quarterly installments on the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last Business Day of each of March, June, September and December commencing December 31, 2023 as set forth below, in US Dollars, except as the amounts of individual installments may be adjuste</w:t>
      </w:r>
      <w:r>
        <w:rPr>
          <w:rFonts w:ascii="Arial" w:cs="Arial" w:eastAsia="Arial" w:hAnsi="Arial"/>
          <w:sz w:val="16"/>
          <w:szCs w:val="16"/>
          <w:b w:val="1"/>
          <w:bCs w:val="1"/>
          <w:color w:val="0000FF"/>
        </w:rPr>
        <w:t xml:space="preserve">d </w:t>
      </w:r>
      <w:r>
        <w:rPr>
          <w:rFonts w:ascii="Arial" w:cs="Arial" w:eastAsia="Arial" w:hAnsi="Arial"/>
          <w:sz w:val="16"/>
          <w:szCs w:val="16"/>
          <w:b w:val="1"/>
          <w:bCs w:val="1"/>
          <w:u w:val="single" w:color="auto"/>
          <w:color w:val="0000FF"/>
        </w:rPr>
        <w:t>pursuan</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t</w:t>
      </w:r>
      <w:r>
        <w:rPr>
          <w:rFonts w:ascii="Arial" w:cs="Arial" w:eastAsia="Arial" w:hAnsi="Arial"/>
          <w:sz w:val="16"/>
          <w:szCs w:val="16"/>
          <w:b w:val="1"/>
          <w:bCs w:val="1"/>
          <w:color w:val="0000FF"/>
        </w:rPr>
        <w:t xml:space="preserve">o </w:t>
      </w:r>
      <w:r>
        <w:rPr>
          <w:rFonts w:ascii="Arial" w:cs="Arial" w:eastAsia="Arial" w:hAnsi="Arial"/>
          <w:sz w:val="16"/>
          <w:szCs w:val="16"/>
          <w:b w:val="1"/>
          <w:bCs w:val="1"/>
          <w:u w:val="single" w:color="auto"/>
          <w:color w:val="0000FF"/>
        </w:rPr>
        <w:t>Sectio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2.10(b</w:t>
      </w:r>
      <w:r>
        <w:rPr>
          <w:rFonts w:ascii="Arial" w:cs="Arial" w:eastAsia="Arial" w:hAnsi="Arial"/>
          <w:sz w:val="16"/>
          <w:szCs w:val="16"/>
          <w:b w:val="1"/>
          <w:bCs w:val="1"/>
          <w:color w:val="0000FF"/>
        </w:rPr>
        <w:t>) hereof:</w:t>
      </w:r>
    </w:p>
    <w:p>
      <w:pPr>
        <w:spacing w:after="0" w:line="177" w:lineRule="exact"/>
        <w:rPr>
          <w:sz w:val="20"/>
          <w:szCs w:val="20"/>
          <w:color w:val="auto"/>
        </w:rPr>
      </w:pPr>
    </w:p>
    <w:tbl>
      <w:tblPr>
        <w:tblLayout w:type="fixed"/>
        <w:tblInd w:w="1570" w:type="dxa"/>
        <w:tblCellMar>
          <w:top w:w="0" w:type="dxa"/>
          <w:left w:w="0" w:type="dxa"/>
          <w:bottom w:w="0" w:type="dxa"/>
          <w:right w:w="0" w:type="dxa"/>
        </w:tblCellMar>
      </w:tblPr>
      <w:tr>
        <w:trPr>
          <w:trHeight w:val="172"/>
        </w:trPr>
        <w:tc>
          <w:tcPr>
            <w:tcW w:w="100" w:type="dxa"/>
            <w:vAlign w:val="bottom"/>
            <w:tcBorders>
              <w:top w:val="single" w:sz="8" w:color="auto"/>
              <w:left w:val="single" w:sz="8" w:color="auto"/>
              <w:bottom w:val="single" w:sz="8" w:color="CCCCFF"/>
            </w:tcBorders>
            <w:shd w:val="clear" w:color="auto" w:fill="CCCCFF"/>
          </w:tcPr>
          <w:p>
            <w:pPr>
              <w:spacing w:after="0"/>
              <w:rPr>
                <w:sz w:val="14"/>
                <w:szCs w:val="14"/>
                <w:color w:val="auto"/>
              </w:rPr>
            </w:pPr>
          </w:p>
        </w:tc>
        <w:tc>
          <w:tcPr>
            <w:tcW w:w="140" w:type="dxa"/>
            <w:vAlign w:val="bottom"/>
            <w:tcBorders>
              <w:top w:val="single" w:sz="8" w:color="auto"/>
              <w:bottom w:val="single" w:sz="8" w:color="CCCCFF"/>
            </w:tcBorders>
            <w:shd w:val="clear" w:color="auto" w:fill="CCCCFF"/>
          </w:tcPr>
          <w:p>
            <w:pPr>
              <w:spacing w:after="0"/>
              <w:rPr>
                <w:sz w:val="14"/>
                <w:szCs w:val="14"/>
                <w:color w:val="auto"/>
              </w:rPr>
            </w:pPr>
          </w:p>
        </w:tc>
        <w:tc>
          <w:tcPr>
            <w:tcW w:w="80" w:type="dxa"/>
            <w:vAlign w:val="bottom"/>
            <w:tcBorders>
              <w:top w:val="single" w:sz="8" w:color="auto"/>
              <w:bottom w:val="single" w:sz="8" w:color="CCCCFF"/>
            </w:tcBorders>
            <w:shd w:val="clear" w:color="auto" w:fill="CCCCFF"/>
          </w:tcPr>
          <w:p>
            <w:pPr>
              <w:spacing w:after="0"/>
              <w:rPr>
                <w:sz w:val="14"/>
                <w:szCs w:val="14"/>
                <w:color w:val="auto"/>
              </w:rPr>
            </w:pPr>
          </w:p>
        </w:tc>
        <w:tc>
          <w:tcPr>
            <w:tcW w:w="80" w:type="dxa"/>
            <w:vAlign w:val="bottom"/>
            <w:tcBorders>
              <w:top w:val="single" w:sz="8" w:color="auto"/>
              <w:bottom w:val="single" w:sz="8" w:color="CCCCFF"/>
            </w:tcBorders>
            <w:shd w:val="clear" w:color="auto" w:fill="CCCCFF"/>
          </w:tcPr>
          <w:p>
            <w:pPr>
              <w:spacing w:after="0"/>
              <w:rPr>
                <w:sz w:val="14"/>
                <w:szCs w:val="14"/>
                <w:color w:val="auto"/>
              </w:rPr>
            </w:pPr>
          </w:p>
        </w:tc>
        <w:tc>
          <w:tcPr>
            <w:tcW w:w="180" w:type="dxa"/>
            <w:vAlign w:val="bottom"/>
            <w:tcBorders>
              <w:top w:val="single" w:sz="8" w:color="auto"/>
              <w:bottom w:val="single" w:sz="8" w:color="CCCCFF"/>
            </w:tcBorders>
            <w:shd w:val="clear" w:color="auto" w:fill="CCCCFF"/>
          </w:tcPr>
          <w:p>
            <w:pPr>
              <w:spacing w:after="0"/>
              <w:rPr>
                <w:sz w:val="14"/>
                <w:szCs w:val="14"/>
                <w:color w:val="auto"/>
              </w:rPr>
            </w:pPr>
          </w:p>
        </w:tc>
        <w:tc>
          <w:tcPr>
            <w:tcW w:w="120" w:type="dxa"/>
            <w:vAlign w:val="bottom"/>
            <w:tcBorders>
              <w:top w:val="single" w:sz="8" w:color="auto"/>
              <w:bottom w:val="single" w:sz="8" w:color="CCCCFF"/>
            </w:tcBorders>
            <w:shd w:val="clear" w:color="auto" w:fill="CCCCFF"/>
          </w:tcPr>
          <w:p>
            <w:pPr>
              <w:spacing w:after="0"/>
              <w:rPr>
                <w:sz w:val="14"/>
                <w:szCs w:val="14"/>
                <w:color w:val="auto"/>
              </w:rPr>
            </w:pPr>
          </w:p>
        </w:tc>
        <w:tc>
          <w:tcPr>
            <w:tcW w:w="20" w:type="dxa"/>
            <w:vAlign w:val="bottom"/>
            <w:tcBorders>
              <w:top w:val="single" w:sz="8" w:color="auto"/>
              <w:bottom w:val="single" w:sz="8" w:color="CCCCFF"/>
            </w:tcBorders>
            <w:shd w:val="clear" w:color="auto" w:fill="CCCCFF"/>
          </w:tcPr>
          <w:p>
            <w:pPr>
              <w:spacing w:after="0"/>
              <w:rPr>
                <w:sz w:val="14"/>
                <w:szCs w:val="14"/>
                <w:color w:val="auto"/>
              </w:rPr>
            </w:pPr>
          </w:p>
        </w:tc>
        <w:tc>
          <w:tcPr>
            <w:tcW w:w="60" w:type="dxa"/>
            <w:vAlign w:val="bottom"/>
            <w:tcBorders>
              <w:top w:val="single" w:sz="8" w:color="auto"/>
              <w:bottom w:val="single" w:sz="8" w:color="CCCCFF"/>
            </w:tcBorders>
            <w:shd w:val="clear" w:color="auto" w:fill="CCCCFF"/>
          </w:tcPr>
          <w:p>
            <w:pPr>
              <w:spacing w:after="0"/>
              <w:rPr>
                <w:sz w:val="14"/>
                <w:szCs w:val="14"/>
                <w:color w:val="auto"/>
              </w:rPr>
            </w:pPr>
          </w:p>
        </w:tc>
        <w:tc>
          <w:tcPr>
            <w:tcW w:w="80" w:type="dxa"/>
            <w:vAlign w:val="bottom"/>
            <w:tcBorders>
              <w:top w:val="single" w:sz="8" w:color="auto"/>
              <w:bottom w:val="single" w:sz="8" w:color="CCCCFF"/>
            </w:tcBorders>
            <w:shd w:val="clear" w:color="auto" w:fill="CCCCFF"/>
          </w:tcPr>
          <w:p>
            <w:pPr>
              <w:spacing w:after="0"/>
              <w:rPr>
                <w:sz w:val="14"/>
                <w:szCs w:val="14"/>
                <w:color w:val="auto"/>
              </w:rPr>
            </w:pPr>
          </w:p>
        </w:tc>
        <w:tc>
          <w:tcPr>
            <w:tcW w:w="1540" w:type="dxa"/>
            <w:vAlign w:val="bottom"/>
            <w:tcBorders>
              <w:top w:val="single" w:sz="8" w:color="auto"/>
              <w:bottom w:val="single" w:sz="8" w:color="CCCCFF"/>
              <w:right w:val="single" w:sz="8" w:color="auto"/>
            </w:tcBorders>
            <w:shd w:val="clear" w:color="auto" w:fill="CCCCFF"/>
          </w:tcPr>
          <w:p>
            <w:pPr>
              <w:spacing w:after="0"/>
              <w:rPr>
                <w:sz w:val="14"/>
                <w:szCs w:val="14"/>
                <w:color w:val="auto"/>
              </w:rPr>
            </w:pPr>
          </w:p>
        </w:tc>
        <w:tc>
          <w:tcPr>
            <w:tcW w:w="80" w:type="dxa"/>
            <w:vAlign w:val="bottom"/>
            <w:tcBorders>
              <w:top w:val="single" w:sz="8" w:color="auto"/>
              <w:bottom w:val="single" w:sz="8" w:color="CCCCFF"/>
            </w:tcBorders>
            <w:shd w:val="clear" w:color="auto" w:fill="CCCCFF"/>
          </w:tcPr>
          <w:p>
            <w:pPr>
              <w:spacing w:after="0"/>
              <w:rPr>
                <w:sz w:val="14"/>
                <w:szCs w:val="14"/>
                <w:color w:val="auto"/>
              </w:rPr>
            </w:pPr>
          </w:p>
        </w:tc>
        <w:tc>
          <w:tcPr>
            <w:tcW w:w="180" w:type="dxa"/>
            <w:vAlign w:val="bottom"/>
            <w:tcBorders>
              <w:top w:val="single" w:sz="8" w:color="auto"/>
              <w:bottom w:val="single" w:sz="8" w:color="CCCCFF"/>
            </w:tcBorders>
            <w:shd w:val="clear" w:color="auto" w:fill="CCCCFF"/>
          </w:tcPr>
          <w:p>
            <w:pPr>
              <w:spacing w:after="0"/>
              <w:rPr>
                <w:sz w:val="14"/>
                <w:szCs w:val="14"/>
                <w:color w:val="auto"/>
              </w:rPr>
            </w:pPr>
          </w:p>
        </w:tc>
        <w:tc>
          <w:tcPr>
            <w:tcW w:w="140" w:type="dxa"/>
            <w:vAlign w:val="bottom"/>
            <w:tcBorders>
              <w:top w:val="single" w:sz="8" w:color="auto"/>
              <w:bottom w:val="single" w:sz="8" w:color="CCCCFF"/>
            </w:tcBorders>
            <w:shd w:val="clear" w:color="auto" w:fill="CCCCFF"/>
          </w:tcPr>
          <w:p>
            <w:pPr>
              <w:spacing w:after="0"/>
              <w:rPr>
                <w:sz w:val="14"/>
                <w:szCs w:val="14"/>
                <w:color w:val="auto"/>
              </w:rPr>
            </w:pPr>
          </w:p>
        </w:tc>
        <w:tc>
          <w:tcPr>
            <w:tcW w:w="820" w:type="dxa"/>
            <w:vAlign w:val="bottom"/>
            <w:tcBorders>
              <w:top w:val="single" w:sz="8" w:color="auto"/>
              <w:bottom w:val="single" w:sz="8" w:color="0000FF"/>
            </w:tcBorders>
            <w:gridSpan w:val="6"/>
            <w:shd w:val="clear" w:color="auto" w:fill="CCCCFF"/>
          </w:tcPr>
          <w:p>
            <w:pPr>
              <w:jc w:val="center"/>
              <w:spacing w:after="0"/>
              <w:rPr>
                <w:sz w:val="20"/>
                <w:szCs w:val="20"/>
                <w:color w:val="auto"/>
              </w:rPr>
            </w:pPr>
            <w:r>
              <w:rPr>
                <w:rFonts w:ascii="Arial" w:cs="Arial" w:eastAsia="Arial" w:hAnsi="Arial"/>
                <w:sz w:val="15"/>
                <w:szCs w:val="15"/>
                <w:b w:val="1"/>
                <w:bCs w:val="1"/>
                <w:color w:val="0000FF"/>
              </w:rPr>
              <w:t>PRINCIPAL</w:t>
            </w:r>
          </w:p>
        </w:tc>
        <w:tc>
          <w:tcPr>
            <w:tcW w:w="1160" w:type="dxa"/>
            <w:vAlign w:val="bottom"/>
            <w:tcBorders>
              <w:top w:val="single" w:sz="8" w:color="auto"/>
              <w:bottom w:val="single" w:sz="8" w:color="CCCCFF"/>
              <w:right w:val="single" w:sz="8" w:color="auto"/>
            </w:tcBorders>
            <w:gridSpan w:val="3"/>
            <w:shd w:val="clear" w:color="auto" w:fill="CCCCFF"/>
          </w:tcPr>
          <w:p>
            <w:pPr>
              <w:spacing w:after="0"/>
              <w:rPr>
                <w:sz w:val="14"/>
                <w:szCs w:val="14"/>
                <w:color w:val="auto"/>
              </w:rPr>
            </w:pPr>
          </w:p>
        </w:tc>
      </w:tr>
      <w:tr>
        <w:trPr>
          <w:trHeight w:val="212"/>
        </w:trPr>
        <w:tc>
          <w:tcPr>
            <w:tcW w:w="100" w:type="dxa"/>
            <w:vAlign w:val="bottom"/>
            <w:tcBorders>
              <w:left w:val="single" w:sz="8" w:color="auto"/>
              <w:bottom w:val="single" w:sz="8" w:color="auto"/>
            </w:tcBorders>
            <w:shd w:val="clear" w:color="auto" w:fill="CCCCFF"/>
          </w:tcPr>
          <w:p>
            <w:pPr>
              <w:spacing w:after="0"/>
              <w:rPr>
                <w:sz w:val="18"/>
                <w:szCs w:val="18"/>
                <w:color w:val="auto"/>
              </w:rPr>
            </w:pPr>
          </w:p>
        </w:tc>
        <w:tc>
          <w:tcPr>
            <w:tcW w:w="140" w:type="dxa"/>
            <w:vAlign w:val="bottom"/>
            <w:tcBorders>
              <w:bottom w:val="single" w:sz="8" w:color="auto"/>
            </w:tcBorders>
            <w:shd w:val="clear" w:color="auto" w:fill="CCCCFF"/>
          </w:tcPr>
          <w:p>
            <w:pPr>
              <w:spacing w:after="0"/>
              <w:rPr>
                <w:sz w:val="18"/>
                <w:szCs w:val="18"/>
                <w:color w:val="auto"/>
              </w:rPr>
            </w:pPr>
          </w:p>
        </w:tc>
        <w:tc>
          <w:tcPr>
            <w:tcW w:w="2160" w:type="dxa"/>
            <w:vAlign w:val="bottom"/>
            <w:tcBorders>
              <w:bottom w:val="single" w:sz="8" w:color="auto"/>
              <w:right w:val="single" w:sz="8" w:color="auto"/>
            </w:tcBorders>
            <w:gridSpan w:val="8"/>
            <w:shd w:val="clear" w:color="auto" w:fill="CCCCFF"/>
          </w:tcPr>
          <w:p>
            <w:pPr>
              <w:spacing w:after="0" w:line="142" w:lineRule="exact"/>
              <w:rPr>
                <w:sz w:val="20"/>
                <w:szCs w:val="20"/>
                <w:color w:val="auto"/>
              </w:rPr>
            </w:pPr>
            <w:r>
              <w:rPr>
                <w:rFonts w:ascii="Arial" w:cs="Arial" w:eastAsia="Arial" w:hAnsi="Arial"/>
                <w:sz w:val="15"/>
                <w:szCs w:val="15"/>
                <w:b w:val="1"/>
                <w:bCs w:val="1"/>
                <w:color w:val="0000FF"/>
              </w:rPr>
              <w:t>PAYMENT DATE</w:t>
            </w:r>
          </w:p>
        </w:tc>
        <w:tc>
          <w:tcPr>
            <w:tcW w:w="80" w:type="dxa"/>
            <w:vAlign w:val="bottom"/>
            <w:tcBorders>
              <w:bottom w:val="single" w:sz="8" w:color="auto"/>
            </w:tcBorders>
            <w:shd w:val="clear" w:color="auto" w:fill="CCCCFF"/>
          </w:tcPr>
          <w:p>
            <w:pPr>
              <w:spacing w:after="0"/>
              <w:rPr>
                <w:sz w:val="18"/>
                <w:szCs w:val="18"/>
                <w:color w:val="auto"/>
              </w:rPr>
            </w:pPr>
          </w:p>
        </w:tc>
        <w:tc>
          <w:tcPr>
            <w:tcW w:w="180" w:type="dxa"/>
            <w:vAlign w:val="bottom"/>
            <w:tcBorders>
              <w:bottom w:val="single" w:sz="8" w:color="auto"/>
            </w:tcBorders>
            <w:shd w:val="clear" w:color="auto" w:fill="CCCCFF"/>
          </w:tcPr>
          <w:p>
            <w:pPr>
              <w:spacing w:after="0"/>
              <w:rPr>
                <w:sz w:val="18"/>
                <w:szCs w:val="18"/>
                <w:color w:val="auto"/>
              </w:rPr>
            </w:pPr>
          </w:p>
        </w:tc>
        <w:tc>
          <w:tcPr>
            <w:tcW w:w="2120" w:type="dxa"/>
            <w:vAlign w:val="bottom"/>
            <w:tcBorders>
              <w:bottom w:val="single" w:sz="8" w:color="auto"/>
              <w:right w:val="single" w:sz="8" w:color="auto"/>
            </w:tcBorders>
            <w:gridSpan w:val="10"/>
            <w:shd w:val="clear" w:color="auto" w:fill="CCCCFF"/>
          </w:tcPr>
          <w:p>
            <w:pPr>
              <w:jc w:val="center"/>
              <w:ind w:right="1040"/>
              <w:spacing w:after="0" w:line="142" w:lineRule="exact"/>
              <w:rPr>
                <w:sz w:val="20"/>
                <w:szCs w:val="20"/>
                <w:color w:val="auto"/>
              </w:rPr>
            </w:pPr>
            <w:r>
              <w:rPr>
                <w:rFonts w:ascii="Arial" w:cs="Arial" w:eastAsia="Arial" w:hAnsi="Arial"/>
                <w:sz w:val="15"/>
                <w:szCs w:val="15"/>
                <w:b w:val="1"/>
                <w:bCs w:val="1"/>
                <w:color w:val="0000FF"/>
              </w:rPr>
              <w:t>INSTALLMENT</w:t>
            </w:r>
          </w:p>
        </w:tc>
      </w:tr>
      <w:tr>
        <w:trPr>
          <w:trHeight w:val="173"/>
        </w:trPr>
        <w:tc>
          <w:tcPr>
            <w:tcW w:w="780" w:type="dxa"/>
            <w:vAlign w:val="bottom"/>
            <w:tcBorders>
              <w:left w:val="single" w:sz="8" w:color="auto"/>
              <w:bottom w:val="single" w:sz="8" w:color="auto"/>
            </w:tcBorders>
            <w:gridSpan w:val="8"/>
            <w:shd w:val="clear" w:color="auto" w:fill="CCCCFF"/>
          </w:tcPr>
          <w:p>
            <w:pPr>
              <w:ind w:left="100"/>
              <w:spacing w:after="0" w:line="132" w:lineRule="exact"/>
              <w:rPr>
                <w:sz w:val="20"/>
                <w:szCs w:val="20"/>
                <w:color w:val="auto"/>
              </w:rPr>
            </w:pPr>
            <w:r>
              <w:rPr>
                <w:rFonts w:ascii="Arial" w:cs="Arial" w:eastAsia="Arial" w:hAnsi="Arial"/>
                <w:sz w:val="15"/>
                <w:szCs w:val="15"/>
                <w:b w:val="1"/>
                <w:bCs w:val="1"/>
                <w:color w:val="0000FF"/>
                <w:w w:val="87"/>
              </w:rPr>
              <w:t>12/31/2023</w:t>
            </w: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3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82"/>
        </w:trPr>
        <w:tc>
          <w:tcPr>
            <w:tcW w:w="700" w:type="dxa"/>
            <w:vAlign w:val="bottom"/>
            <w:tcBorders>
              <w:left w:val="single" w:sz="8" w:color="auto"/>
              <w:bottom w:val="single" w:sz="8" w:color="auto"/>
            </w:tcBorders>
            <w:gridSpan w:val="6"/>
            <w:shd w:val="clear" w:color="auto" w:fill="CCCCFF"/>
          </w:tcPr>
          <w:p>
            <w:pPr>
              <w:ind w:left="100"/>
              <w:spacing w:after="0" w:line="142" w:lineRule="exact"/>
              <w:rPr>
                <w:sz w:val="20"/>
                <w:szCs w:val="20"/>
                <w:color w:val="auto"/>
              </w:rPr>
            </w:pPr>
            <w:r>
              <w:rPr>
                <w:rFonts w:ascii="Arial" w:cs="Arial" w:eastAsia="Arial" w:hAnsi="Arial"/>
                <w:sz w:val="15"/>
                <w:szCs w:val="15"/>
                <w:b w:val="1"/>
                <w:bCs w:val="1"/>
                <w:color w:val="0000FF"/>
                <w:w w:val="86"/>
              </w:rPr>
              <w:t>3/31/2024</w:t>
            </w:r>
          </w:p>
        </w:tc>
        <w:tc>
          <w:tcPr>
            <w:tcW w:w="20" w:type="dxa"/>
            <w:vAlign w:val="bottom"/>
            <w:tcBorders>
              <w:bottom w:val="single" w:sz="8" w:color="auto"/>
            </w:tcBorders>
            <w:shd w:val="clear" w:color="auto" w:fill="CCCCFF"/>
          </w:tcPr>
          <w:p>
            <w:pPr>
              <w:spacing w:after="0"/>
              <w:rPr>
                <w:sz w:val="15"/>
                <w:szCs w:val="15"/>
                <w:color w:val="auto"/>
              </w:rPr>
            </w:pPr>
          </w:p>
        </w:tc>
        <w:tc>
          <w:tcPr>
            <w:tcW w:w="60" w:type="dxa"/>
            <w:vAlign w:val="bottom"/>
            <w:tcBorders>
              <w:bottom w:val="single" w:sz="8" w:color="auto"/>
            </w:tcBorders>
            <w:shd w:val="clear" w:color="auto" w:fill="CCCCFF"/>
          </w:tcPr>
          <w:p>
            <w:pPr>
              <w:spacing w:after="0"/>
              <w:rPr>
                <w:sz w:val="15"/>
                <w:szCs w:val="15"/>
                <w:color w:val="auto"/>
              </w:rPr>
            </w:pP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4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72"/>
        </w:trPr>
        <w:tc>
          <w:tcPr>
            <w:tcW w:w="700" w:type="dxa"/>
            <w:vAlign w:val="bottom"/>
            <w:tcBorders>
              <w:left w:val="single" w:sz="8" w:color="auto"/>
              <w:bottom w:val="single" w:sz="8" w:color="auto"/>
            </w:tcBorders>
            <w:gridSpan w:val="6"/>
            <w:shd w:val="clear" w:color="auto" w:fill="CCCCFF"/>
          </w:tcPr>
          <w:p>
            <w:pPr>
              <w:ind w:left="100"/>
              <w:spacing w:after="0" w:line="132" w:lineRule="exact"/>
              <w:rPr>
                <w:sz w:val="20"/>
                <w:szCs w:val="20"/>
                <w:color w:val="auto"/>
              </w:rPr>
            </w:pPr>
            <w:r>
              <w:rPr>
                <w:rFonts w:ascii="Arial" w:cs="Arial" w:eastAsia="Arial" w:hAnsi="Arial"/>
                <w:sz w:val="15"/>
                <w:szCs w:val="15"/>
                <w:b w:val="1"/>
                <w:bCs w:val="1"/>
                <w:color w:val="0000FF"/>
                <w:w w:val="86"/>
              </w:rPr>
              <w:t>6/30/2024</w:t>
            </w:r>
          </w:p>
        </w:tc>
        <w:tc>
          <w:tcPr>
            <w:tcW w:w="20" w:type="dxa"/>
            <w:vAlign w:val="bottom"/>
            <w:tcBorders>
              <w:bottom w:val="single" w:sz="8" w:color="auto"/>
            </w:tcBorders>
            <w:shd w:val="clear" w:color="auto" w:fill="CCCCFF"/>
          </w:tcPr>
          <w:p>
            <w:pPr>
              <w:spacing w:after="0"/>
              <w:rPr>
                <w:sz w:val="14"/>
                <w:szCs w:val="14"/>
                <w:color w:val="auto"/>
              </w:rPr>
            </w:pPr>
          </w:p>
        </w:tc>
        <w:tc>
          <w:tcPr>
            <w:tcW w:w="60" w:type="dxa"/>
            <w:vAlign w:val="bottom"/>
            <w:tcBorders>
              <w:bottom w:val="single" w:sz="8" w:color="auto"/>
            </w:tcBorders>
            <w:shd w:val="clear" w:color="auto" w:fill="CCCCFF"/>
          </w:tcPr>
          <w:p>
            <w:pPr>
              <w:spacing w:after="0"/>
              <w:rPr>
                <w:sz w:val="14"/>
                <w:szCs w:val="14"/>
                <w:color w:val="auto"/>
              </w:rPr>
            </w:pPr>
          </w:p>
        </w:tc>
        <w:tc>
          <w:tcPr>
            <w:tcW w:w="80" w:type="dxa"/>
            <w:vAlign w:val="bottom"/>
            <w:tcBorders>
              <w:bottom w:val="single" w:sz="8" w:color="auto"/>
            </w:tcBorders>
            <w:shd w:val="clear" w:color="auto" w:fill="CCCCFF"/>
          </w:tcPr>
          <w:p>
            <w:pPr>
              <w:spacing w:after="0"/>
              <w:rPr>
                <w:sz w:val="14"/>
                <w:szCs w:val="14"/>
                <w:color w:val="auto"/>
              </w:rPr>
            </w:pPr>
          </w:p>
        </w:tc>
        <w:tc>
          <w:tcPr>
            <w:tcW w:w="1540" w:type="dxa"/>
            <w:vAlign w:val="bottom"/>
            <w:tcBorders>
              <w:bottom w:val="single" w:sz="8" w:color="auto"/>
              <w:right w:val="single" w:sz="8" w:color="auto"/>
            </w:tcBorders>
            <w:shd w:val="clear" w:color="auto" w:fill="CCCCFF"/>
          </w:tcPr>
          <w:p>
            <w:pPr>
              <w:spacing w:after="0"/>
              <w:rPr>
                <w:sz w:val="14"/>
                <w:szCs w:val="14"/>
                <w:color w:val="auto"/>
              </w:rPr>
            </w:pPr>
          </w:p>
        </w:tc>
        <w:tc>
          <w:tcPr>
            <w:tcW w:w="780" w:type="dxa"/>
            <w:vAlign w:val="bottom"/>
            <w:tcBorders>
              <w:bottom w:val="single" w:sz="8" w:color="auto"/>
            </w:tcBorders>
            <w:gridSpan w:val="7"/>
            <w:shd w:val="clear" w:color="auto" w:fill="CCCCFF"/>
          </w:tcPr>
          <w:p>
            <w:pPr>
              <w:ind w:left="80"/>
              <w:spacing w:after="0" w:line="13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4"/>
                <w:szCs w:val="14"/>
                <w:color w:val="auto"/>
              </w:rPr>
            </w:pPr>
          </w:p>
        </w:tc>
        <w:tc>
          <w:tcPr>
            <w:tcW w:w="420" w:type="dxa"/>
            <w:vAlign w:val="bottom"/>
            <w:tcBorders>
              <w:bottom w:val="single" w:sz="8" w:color="auto"/>
            </w:tcBorders>
            <w:shd w:val="clear" w:color="auto" w:fill="CCCCFF"/>
          </w:tcPr>
          <w:p>
            <w:pPr>
              <w:spacing w:after="0"/>
              <w:rPr>
                <w:sz w:val="14"/>
                <w:szCs w:val="14"/>
                <w:color w:val="auto"/>
              </w:rPr>
            </w:pPr>
          </w:p>
        </w:tc>
        <w:tc>
          <w:tcPr>
            <w:tcW w:w="120" w:type="dxa"/>
            <w:vAlign w:val="bottom"/>
            <w:tcBorders>
              <w:bottom w:val="single" w:sz="8" w:color="auto"/>
            </w:tcBorders>
            <w:shd w:val="clear" w:color="auto" w:fill="CCCCFF"/>
          </w:tcPr>
          <w:p>
            <w:pPr>
              <w:spacing w:after="0"/>
              <w:rPr>
                <w:sz w:val="14"/>
                <w:szCs w:val="14"/>
                <w:color w:val="auto"/>
              </w:rPr>
            </w:pPr>
          </w:p>
        </w:tc>
        <w:tc>
          <w:tcPr>
            <w:tcW w:w="20" w:type="dxa"/>
            <w:vAlign w:val="bottom"/>
            <w:tcBorders>
              <w:bottom w:val="single" w:sz="8" w:color="auto"/>
            </w:tcBorders>
            <w:shd w:val="clear" w:color="auto" w:fill="CCCCFF"/>
          </w:tcPr>
          <w:p>
            <w:pPr>
              <w:spacing w:after="0"/>
              <w:rPr>
                <w:sz w:val="14"/>
                <w:szCs w:val="14"/>
                <w:color w:val="auto"/>
              </w:rPr>
            </w:pPr>
          </w:p>
        </w:tc>
        <w:tc>
          <w:tcPr>
            <w:tcW w:w="1020" w:type="dxa"/>
            <w:vAlign w:val="bottom"/>
            <w:tcBorders>
              <w:bottom w:val="single" w:sz="8" w:color="auto"/>
              <w:right w:val="single" w:sz="8" w:color="auto"/>
            </w:tcBorders>
            <w:shd w:val="clear" w:color="auto" w:fill="CCCCFF"/>
          </w:tcPr>
          <w:p>
            <w:pPr>
              <w:spacing w:after="0"/>
              <w:rPr>
                <w:sz w:val="14"/>
                <w:szCs w:val="14"/>
                <w:color w:val="auto"/>
              </w:rPr>
            </w:pPr>
          </w:p>
        </w:tc>
      </w:tr>
      <w:tr>
        <w:trPr>
          <w:trHeight w:val="182"/>
        </w:trPr>
        <w:tc>
          <w:tcPr>
            <w:tcW w:w="700" w:type="dxa"/>
            <w:vAlign w:val="bottom"/>
            <w:tcBorders>
              <w:left w:val="single" w:sz="8" w:color="auto"/>
              <w:bottom w:val="single" w:sz="8" w:color="auto"/>
            </w:tcBorders>
            <w:gridSpan w:val="6"/>
            <w:shd w:val="clear" w:color="auto" w:fill="CCCCFF"/>
          </w:tcPr>
          <w:p>
            <w:pPr>
              <w:ind w:left="100"/>
              <w:spacing w:after="0" w:line="142" w:lineRule="exact"/>
              <w:rPr>
                <w:sz w:val="20"/>
                <w:szCs w:val="20"/>
                <w:color w:val="auto"/>
              </w:rPr>
            </w:pPr>
            <w:r>
              <w:rPr>
                <w:rFonts w:ascii="Arial" w:cs="Arial" w:eastAsia="Arial" w:hAnsi="Arial"/>
                <w:sz w:val="15"/>
                <w:szCs w:val="15"/>
                <w:b w:val="1"/>
                <w:bCs w:val="1"/>
                <w:color w:val="0000FF"/>
                <w:w w:val="86"/>
              </w:rPr>
              <w:t>9/30/2024</w:t>
            </w:r>
          </w:p>
        </w:tc>
        <w:tc>
          <w:tcPr>
            <w:tcW w:w="20" w:type="dxa"/>
            <w:vAlign w:val="bottom"/>
            <w:tcBorders>
              <w:bottom w:val="single" w:sz="8" w:color="auto"/>
            </w:tcBorders>
            <w:shd w:val="clear" w:color="auto" w:fill="CCCCFF"/>
          </w:tcPr>
          <w:p>
            <w:pPr>
              <w:spacing w:after="0"/>
              <w:rPr>
                <w:sz w:val="15"/>
                <w:szCs w:val="15"/>
                <w:color w:val="auto"/>
              </w:rPr>
            </w:pPr>
          </w:p>
        </w:tc>
        <w:tc>
          <w:tcPr>
            <w:tcW w:w="60" w:type="dxa"/>
            <w:vAlign w:val="bottom"/>
            <w:tcBorders>
              <w:bottom w:val="single" w:sz="8" w:color="auto"/>
            </w:tcBorders>
            <w:shd w:val="clear" w:color="auto" w:fill="CCCCFF"/>
          </w:tcPr>
          <w:p>
            <w:pPr>
              <w:spacing w:after="0"/>
              <w:rPr>
                <w:sz w:val="15"/>
                <w:szCs w:val="15"/>
                <w:color w:val="auto"/>
              </w:rPr>
            </w:pP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4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82"/>
        </w:trPr>
        <w:tc>
          <w:tcPr>
            <w:tcW w:w="780" w:type="dxa"/>
            <w:vAlign w:val="bottom"/>
            <w:tcBorders>
              <w:left w:val="single" w:sz="8" w:color="auto"/>
              <w:bottom w:val="single" w:sz="8" w:color="auto"/>
            </w:tcBorders>
            <w:gridSpan w:val="8"/>
            <w:shd w:val="clear" w:color="auto" w:fill="CCCCFF"/>
          </w:tcPr>
          <w:p>
            <w:pPr>
              <w:ind w:left="100"/>
              <w:spacing w:after="0" w:line="142" w:lineRule="exact"/>
              <w:rPr>
                <w:sz w:val="20"/>
                <w:szCs w:val="20"/>
                <w:color w:val="auto"/>
              </w:rPr>
            </w:pPr>
            <w:r>
              <w:rPr>
                <w:rFonts w:ascii="Arial" w:cs="Arial" w:eastAsia="Arial" w:hAnsi="Arial"/>
                <w:sz w:val="15"/>
                <w:szCs w:val="15"/>
                <w:b w:val="1"/>
                <w:bCs w:val="1"/>
                <w:color w:val="0000FF"/>
                <w:w w:val="87"/>
              </w:rPr>
              <w:t>12/31/2024</w:t>
            </w: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4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72"/>
        </w:trPr>
        <w:tc>
          <w:tcPr>
            <w:tcW w:w="700" w:type="dxa"/>
            <w:vAlign w:val="bottom"/>
            <w:tcBorders>
              <w:left w:val="single" w:sz="8" w:color="auto"/>
              <w:bottom w:val="single" w:sz="8" w:color="auto"/>
            </w:tcBorders>
            <w:gridSpan w:val="6"/>
            <w:shd w:val="clear" w:color="auto" w:fill="CCCCFF"/>
          </w:tcPr>
          <w:p>
            <w:pPr>
              <w:ind w:left="100"/>
              <w:spacing w:after="0" w:line="132" w:lineRule="exact"/>
              <w:rPr>
                <w:sz w:val="20"/>
                <w:szCs w:val="20"/>
                <w:color w:val="auto"/>
              </w:rPr>
            </w:pPr>
            <w:r>
              <w:rPr>
                <w:rFonts w:ascii="Arial" w:cs="Arial" w:eastAsia="Arial" w:hAnsi="Arial"/>
                <w:sz w:val="15"/>
                <w:szCs w:val="15"/>
                <w:b w:val="1"/>
                <w:bCs w:val="1"/>
                <w:color w:val="0000FF"/>
                <w:w w:val="86"/>
              </w:rPr>
              <w:t>3/31/2025</w:t>
            </w:r>
          </w:p>
        </w:tc>
        <w:tc>
          <w:tcPr>
            <w:tcW w:w="20" w:type="dxa"/>
            <w:vAlign w:val="bottom"/>
            <w:tcBorders>
              <w:bottom w:val="single" w:sz="8" w:color="auto"/>
            </w:tcBorders>
            <w:shd w:val="clear" w:color="auto" w:fill="CCCCFF"/>
          </w:tcPr>
          <w:p>
            <w:pPr>
              <w:spacing w:after="0"/>
              <w:rPr>
                <w:sz w:val="14"/>
                <w:szCs w:val="14"/>
                <w:color w:val="auto"/>
              </w:rPr>
            </w:pPr>
          </w:p>
        </w:tc>
        <w:tc>
          <w:tcPr>
            <w:tcW w:w="60" w:type="dxa"/>
            <w:vAlign w:val="bottom"/>
            <w:tcBorders>
              <w:bottom w:val="single" w:sz="8" w:color="auto"/>
            </w:tcBorders>
            <w:shd w:val="clear" w:color="auto" w:fill="CCCCFF"/>
          </w:tcPr>
          <w:p>
            <w:pPr>
              <w:spacing w:after="0"/>
              <w:rPr>
                <w:sz w:val="14"/>
                <w:szCs w:val="14"/>
                <w:color w:val="auto"/>
              </w:rPr>
            </w:pPr>
          </w:p>
        </w:tc>
        <w:tc>
          <w:tcPr>
            <w:tcW w:w="80" w:type="dxa"/>
            <w:vAlign w:val="bottom"/>
            <w:tcBorders>
              <w:bottom w:val="single" w:sz="8" w:color="auto"/>
            </w:tcBorders>
            <w:shd w:val="clear" w:color="auto" w:fill="CCCCFF"/>
          </w:tcPr>
          <w:p>
            <w:pPr>
              <w:spacing w:after="0"/>
              <w:rPr>
                <w:sz w:val="14"/>
                <w:szCs w:val="14"/>
                <w:color w:val="auto"/>
              </w:rPr>
            </w:pPr>
          </w:p>
        </w:tc>
        <w:tc>
          <w:tcPr>
            <w:tcW w:w="1540" w:type="dxa"/>
            <w:vAlign w:val="bottom"/>
            <w:tcBorders>
              <w:bottom w:val="single" w:sz="8" w:color="auto"/>
              <w:right w:val="single" w:sz="8" w:color="auto"/>
            </w:tcBorders>
            <w:shd w:val="clear" w:color="auto" w:fill="CCCCFF"/>
          </w:tcPr>
          <w:p>
            <w:pPr>
              <w:spacing w:after="0"/>
              <w:rPr>
                <w:sz w:val="14"/>
                <w:szCs w:val="14"/>
                <w:color w:val="auto"/>
              </w:rPr>
            </w:pPr>
          </w:p>
        </w:tc>
        <w:tc>
          <w:tcPr>
            <w:tcW w:w="780" w:type="dxa"/>
            <w:vAlign w:val="bottom"/>
            <w:tcBorders>
              <w:bottom w:val="single" w:sz="8" w:color="auto"/>
            </w:tcBorders>
            <w:gridSpan w:val="7"/>
            <w:shd w:val="clear" w:color="auto" w:fill="CCCCFF"/>
          </w:tcPr>
          <w:p>
            <w:pPr>
              <w:ind w:left="80"/>
              <w:spacing w:after="0" w:line="13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4"/>
                <w:szCs w:val="14"/>
                <w:color w:val="auto"/>
              </w:rPr>
            </w:pPr>
          </w:p>
        </w:tc>
        <w:tc>
          <w:tcPr>
            <w:tcW w:w="420" w:type="dxa"/>
            <w:vAlign w:val="bottom"/>
            <w:tcBorders>
              <w:bottom w:val="single" w:sz="8" w:color="auto"/>
            </w:tcBorders>
            <w:shd w:val="clear" w:color="auto" w:fill="CCCCFF"/>
          </w:tcPr>
          <w:p>
            <w:pPr>
              <w:spacing w:after="0"/>
              <w:rPr>
                <w:sz w:val="14"/>
                <w:szCs w:val="14"/>
                <w:color w:val="auto"/>
              </w:rPr>
            </w:pPr>
          </w:p>
        </w:tc>
        <w:tc>
          <w:tcPr>
            <w:tcW w:w="120" w:type="dxa"/>
            <w:vAlign w:val="bottom"/>
            <w:tcBorders>
              <w:bottom w:val="single" w:sz="8" w:color="auto"/>
            </w:tcBorders>
            <w:shd w:val="clear" w:color="auto" w:fill="CCCCFF"/>
          </w:tcPr>
          <w:p>
            <w:pPr>
              <w:spacing w:after="0"/>
              <w:rPr>
                <w:sz w:val="14"/>
                <w:szCs w:val="14"/>
                <w:color w:val="auto"/>
              </w:rPr>
            </w:pPr>
          </w:p>
        </w:tc>
        <w:tc>
          <w:tcPr>
            <w:tcW w:w="20" w:type="dxa"/>
            <w:vAlign w:val="bottom"/>
            <w:tcBorders>
              <w:bottom w:val="single" w:sz="8" w:color="auto"/>
            </w:tcBorders>
            <w:shd w:val="clear" w:color="auto" w:fill="CCCCFF"/>
          </w:tcPr>
          <w:p>
            <w:pPr>
              <w:spacing w:after="0"/>
              <w:rPr>
                <w:sz w:val="14"/>
                <w:szCs w:val="14"/>
                <w:color w:val="auto"/>
              </w:rPr>
            </w:pPr>
          </w:p>
        </w:tc>
        <w:tc>
          <w:tcPr>
            <w:tcW w:w="1020" w:type="dxa"/>
            <w:vAlign w:val="bottom"/>
            <w:tcBorders>
              <w:bottom w:val="single" w:sz="8" w:color="auto"/>
              <w:right w:val="single" w:sz="8" w:color="auto"/>
            </w:tcBorders>
            <w:shd w:val="clear" w:color="auto" w:fill="CCCCFF"/>
          </w:tcPr>
          <w:p>
            <w:pPr>
              <w:spacing w:after="0"/>
              <w:rPr>
                <w:sz w:val="14"/>
                <w:szCs w:val="14"/>
                <w:color w:val="auto"/>
              </w:rPr>
            </w:pPr>
          </w:p>
        </w:tc>
      </w:tr>
      <w:tr>
        <w:trPr>
          <w:trHeight w:val="182"/>
        </w:trPr>
        <w:tc>
          <w:tcPr>
            <w:tcW w:w="700" w:type="dxa"/>
            <w:vAlign w:val="bottom"/>
            <w:tcBorders>
              <w:left w:val="single" w:sz="8" w:color="auto"/>
              <w:bottom w:val="single" w:sz="8" w:color="auto"/>
            </w:tcBorders>
            <w:gridSpan w:val="6"/>
            <w:shd w:val="clear" w:color="auto" w:fill="CCCCFF"/>
          </w:tcPr>
          <w:p>
            <w:pPr>
              <w:ind w:left="100"/>
              <w:spacing w:after="0" w:line="142" w:lineRule="exact"/>
              <w:rPr>
                <w:sz w:val="20"/>
                <w:szCs w:val="20"/>
                <w:color w:val="auto"/>
              </w:rPr>
            </w:pPr>
            <w:r>
              <w:rPr>
                <w:rFonts w:ascii="Arial" w:cs="Arial" w:eastAsia="Arial" w:hAnsi="Arial"/>
                <w:sz w:val="15"/>
                <w:szCs w:val="15"/>
                <w:b w:val="1"/>
                <w:bCs w:val="1"/>
                <w:color w:val="0000FF"/>
                <w:w w:val="86"/>
              </w:rPr>
              <w:t>6/30/2025</w:t>
            </w:r>
          </w:p>
        </w:tc>
        <w:tc>
          <w:tcPr>
            <w:tcW w:w="20" w:type="dxa"/>
            <w:vAlign w:val="bottom"/>
            <w:tcBorders>
              <w:bottom w:val="single" w:sz="8" w:color="auto"/>
            </w:tcBorders>
            <w:shd w:val="clear" w:color="auto" w:fill="CCCCFF"/>
          </w:tcPr>
          <w:p>
            <w:pPr>
              <w:spacing w:after="0"/>
              <w:rPr>
                <w:sz w:val="15"/>
                <w:szCs w:val="15"/>
                <w:color w:val="auto"/>
              </w:rPr>
            </w:pPr>
          </w:p>
        </w:tc>
        <w:tc>
          <w:tcPr>
            <w:tcW w:w="60" w:type="dxa"/>
            <w:vAlign w:val="bottom"/>
            <w:tcBorders>
              <w:bottom w:val="single" w:sz="8" w:color="auto"/>
            </w:tcBorders>
            <w:shd w:val="clear" w:color="auto" w:fill="CCCCFF"/>
          </w:tcPr>
          <w:p>
            <w:pPr>
              <w:spacing w:after="0"/>
              <w:rPr>
                <w:sz w:val="15"/>
                <w:szCs w:val="15"/>
                <w:color w:val="auto"/>
              </w:rPr>
            </w:pP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4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82"/>
        </w:trPr>
        <w:tc>
          <w:tcPr>
            <w:tcW w:w="700" w:type="dxa"/>
            <w:vAlign w:val="bottom"/>
            <w:tcBorders>
              <w:left w:val="single" w:sz="8" w:color="auto"/>
              <w:bottom w:val="single" w:sz="8" w:color="auto"/>
            </w:tcBorders>
            <w:gridSpan w:val="6"/>
            <w:shd w:val="clear" w:color="auto" w:fill="CCCCFF"/>
          </w:tcPr>
          <w:p>
            <w:pPr>
              <w:ind w:left="100"/>
              <w:spacing w:after="0" w:line="142" w:lineRule="exact"/>
              <w:rPr>
                <w:sz w:val="20"/>
                <w:szCs w:val="20"/>
                <w:color w:val="auto"/>
              </w:rPr>
            </w:pPr>
            <w:r>
              <w:rPr>
                <w:rFonts w:ascii="Arial" w:cs="Arial" w:eastAsia="Arial" w:hAnsi="Arial"/>
                <w:sz w:val="15"/>
                <w:szCs w:val="15"/>
                <w:b w:val="1"/>
                <w:bCs w:val="1"/>
                <w:color w:val="0000FF"/>
                <w:w w:val="86"/>
              </w:rPr>
              <w:t>9/30/2025</w:t>
            </w:r>
          </w:p>
        </w:tc>
        <w:tc>
          <w:tcPr>
            <w:tcW w:w="20" w:type="dxa"/>
            <w:vAlign w:val="bottom"/>
            <w:tcBorders>
              <w:bottom w:val="single" w:sz="8" w:color="auto"/>
            </w:tcBorders>
            <w:shd w:val="clear" w:color="auto" w:fill="CCCCFF"/>
          </w:tcPr>
          <w:p>
            <w:pPr>
              <w:spacing w:after="0"/>
              <w:rPr>
                <w:sz w:val="15"/>
                <w:szCs w:val="15"/>
                <w:color w:val="auto"/>
              </w:rPr>
            </w:pPr>
          </w:p>
        </w:tc>
        <w:tc>
          <w:tcPr>
            <w:tcW w:w="60" w:type="dxa"/>
            <w:vAlign w:val="bottom"/>
            <w:tcBorders>
              <w:bottom w:val="single" w:sz="8" w:color="auto"/>
            </w:tcBorders>
            <w:shd w:val="clear" w:color="auto" w:fill="CCCCFF"/>
          </w:tcPr>
          <w:p>
            <w:pPr>
              <w:spacing w:after="0"/>
              <w:rPr>
                <w:sz w:val="15"/>
                <w:szCs w:val="15"/>
                <w:color w:val="auto"/>
              </w:rPr>
            </w:pP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4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72"/>
        </w:trPr>
        <w:tc>
          <w:tcPr>
            <w:tcW w:w="780" w:type="dxa"/>
            <w:vAlign w:val="bottom"/>
            <w:tcBorders>
              <w:left w:val="single" w:sz="8" w:color="auto"/>
              <w:bottom w:val="single" w:sz="8" w:color="auto"/>
            </w:tcBorders>
            <w:gridSpan w:val="8"/>
            <w:shd w:val="clear" w:color="auto" w:fill="CCCCFF"/>
          </w:tcPr>
          <w:p>
            <w:pPr>
              <w:ind w:left="100"/>
              <w:spacing w:after="0" w:line="132" w:lineRule="exact"/>
              <w:rPr>
                <w:sz w:val="20"/>
                <w:szCs w:val="20"/>
                <w:color w:val="auto"/>
              </w:rPr>
            </w:pPr>
            <w:r>
              <w:rPr>
                <w:rFonts w:ascii="Arial" w:cs="Arial" w:eastAsia="Arial" w:hAnsi="Arial"/>
                <w:sz w:val="15"/>
                <w:szCs w:val="15"/>
                <w:b w:val="1"/>
                <w:bCs w:val="1"/>
                <w:color w:val="0000FF"/>
                <w:w w:val="87"/>
              </w:rPr>
              <w:t>12/31/2025</w:t>
            </w:r>
          </w:p>
        </w:tc>
        <w:tc>
          <w:tcPr>
            <w:tcW w:w="80" w:type="dxa"/>
            <w:vAlign w:val="bottom"/>
            <w:tcBorders>
              <w:bottom w:val="single" w:sz="8" w:color="auto"/>
            </w:tcBorders>
            <w:shd w:val="clear" w:color="auto" w:fill="CCCCFF"/>
          </w:tcPr>
          <w:p>
            <w:pPr>
              <w:spacing w:after="0"/>
              <w:rPr>
                <w:sz w:val="14"/>
                <w:szCs w:val="14"/>
                <w:color w:val="auto"/>
              </w:rPr>
            </w:pPr>
          </w:p>
        </w:tc>
        <w:tc>
          <w:tcPr>
            <w:tcW w:w="1540" w:type="dxa"/>
            <w:vAlign w:val="bottom"/>
            <w:tcBorders>
              <w:bottom w:val="single" w:sz="8" w:color="auto"/>
              <w:right w:val="single" w:sz="8" w:color="auto"/>
            </w:tcBorders>
            <w:shd w:val="clear" w:color="auto" w:fill="CCCCFF"/>
          </w:tcPr>
          <w:p>
            <w:pPr>
              <w:spacing w:after="0"/>
              <w:rPr>
                <w:sz w:val="14"/>
                <w:szCs w:val="14"/>
                <w:color w:val="auto"/>
              </w:rPr>
            </w:pPr>
          </w:p>
        </w:tc>
        <w:tc>
          <w:tcPr>
            <w:tcW w:w="780" w:type="dxa"/>
            <w:vAlign w:val="bottom"/>
            <w:tcBorders>
              <w:bottom w:val="single" w:sz="8" w:color="auto"/>
            </w:tcBorders>
            <w:gridSpan w:val="7"/>
            <w:shd w:val="clear" w:color="auto" w:fill="CCCCFF"/>
          </w:tcPr>
          <w:p>
            <w:pPr>
              <w:ind w:left="80"/>
              <w:spacing w:after="0" w:line="13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4"/>
                <w:szCs w:val="14"/>
                <w:color w:val="auto"/>
              </w:rPr>
            </w:pPr>
          </w:p>
        </w:tc>
        <w:tc>
          <w:tcPr>
            <w:tcW w:w="420" w:type="dxa"/>
            <w:vAlign w:val="bottom"/>
            <w:tcBorders>
              <w:bottom w:val="single" w:sz="8" w:color="auto"/>
            </w:tcBorders>
            <w:shd w:val="clear" w:color="auto" w:fill="CCCCFF"/>
          </w:tcPr>
          <w:p>
            <w:pPr>
              <w:spacing w:after="0"/>
              <w:rPr>
                <w:sz w:val="14"/>
                <w:szCs w:val="14"/>
                <w:color w:val="auto"/>
              </w:rPr>
            </w:pPr>
          </w:p>
        </w:tc>
        <w:tc>
          <w:tcPr>
            <w:tcW w:w="120" w:type="dxa"/>
            <w:vAlign w:val="bottom"/>
            <w:tcBorders>
              <w:bottom w:val="single" w:sz="8" w:color="auto"/>
            </w:tcBorders>
            <w:shd w:val="clear" w:color="auto" w:fill="CCCCFF"/>
          </w:tcPr>
          <w:p>
            <w:pPr>
              <w:spacing w:after="0"/>
              <w:rPr>
                <w:sz w:val="14"/>
                <w:szCs w:val="14"/>
                <w:color w:val="auto"/>
              </w:rPr>
            </w:pPr>
          </w:p>
        </w:tc>
        <w:tc>
          <w:tcPr>
            <w:tcW w:w="20" w:type="dxa"/>
            <w:vAlign w:val="bottom"/>
            <w:tcBorders>
              <w:bottom w:val="single" w:sz="8" w:color="auto"/>
            </w:tcBorders>
            <w:shd w:val="clear" w:color="auto" w:fill="CCCCFF"/>
          </w:tcPr>
          <w:p>
            <w:pPr>
              <w:spacing w:after="0"/>
              <w:rPr>
                <w:sz w:val="14"/>
                <w:szCs w:val="14"/>
                <w:color w:val="auto"/>
              </w:rPr>
            </w:pPr>
          </w:p>
        </w:tc>
        <w:tc>
          <w:tcPr>
            <w:tcW w:w="1020" w:type="dxa"/>
            <w:vAlign w:val="bottom"/>
            <w:tcBorders>
              <w:bottom w:val="single" w:sz="8" w:color="auto"/>
              <w:right w:val="single" w:sz="8" w:color="auto"/>
            </w:tcBorders>
            <w:shd w:val="clear" w:color="auto" w:fill="CCCCFF"/>
          </w:tcPr>
          <w:p>
            <w:pPr>
              <w:spacing w:after="0"/>
              <w:rPr>
                <w:sz w:val="14"/>
                <w:szCs w:val="14"/>
                <w:color w:val="auto"/>
              </w:rPr>
            </w:pPr>
          </w:p>
        </w:tc>
      </w:tr>
      <w:tr>
        <w:trPr>
          <w:trHeight w:val="182"/>
        </w:trPr>
        <w:tc>
          <w:tcPr>
            <w:tcW w:w="700" w:type="dxa"/>
            <w:vAlign w:val="bottom"/>
            <w:tcBorders>
              <w:left w:val="single" w:sz="8" w:color="auto"/>
              <w:bottom w:val="single" w:sz="8" w:color="auto"/>
            </w:tcBorders>
            <w:gridSpan w:val="6"/>
            <w:shd w:val="clear" w:color="auto" w:fill="CCCCFF"/>
          </w:tcPr>
          <w:p>
            <w:pPr>
              <w:ind w:left="100"/>
              <w:spacing w:after="0" w:line="142" w:lineRule="exact"/>
              <w:rPr>
                <w:sz w:val="20"/>
                <w:szCs w:val="20"/>
                <w:color w:val="auto"/>
              </w:rPr>
            </w:pPr>
            <w:r>
              <w:rPr>
                <w:rFonts w:ascii="Arial" w:cs="Arial" w:eastAsia="Arial" w:hAnsi="Arial"/>
                <w:sz w:val="15"/>
                <w:szCs w:val="15"/>
                <w:b w:val="1"/>
                <w:bCs w:val="1"/>
                <w:color w:val="0000FF"/>
                <w:w w:val="86"/>
              </w:rPr>
              <w:t>3/31/2026</w:t>
            </w:r>
          </w:p>
        </w:tc>
        <w:tc>
          <w:tcPr>
            <w:tcW w:w="20" w:type="dxa"/>
            <w:vAlign w:val="bottom"/>
            <w:tcBorders>
              <w:bottom w:val="single" w:sz="8" w:color="auto"/>
            </w:tcBorders>
            <w:shd w:val="clear" w:color="auto" w:fill="CCCCFF"/>
          </w:tcPr>
          <w:p>
            <w:pPr>
              <w:spacing w:after="0"/>
              <w:rPr>
                <w:sz w:val="15"/>
                <w:szCs w:val="15"/>
                <w:color w:val="auto"/>
              </w:rPr>
            </w:pPr>
          </w:p>
        </w:tc>
        <w:tc>
          <w:tcPr>
            <w:tcW w:w="60" w:type="dxa"/>
            <w:vAlign w:val="bottom"/>
            <w:tcBorders>
              <w:bottom w:val="single" w:sz="8" w:color="auto"/>
            </w:tcBorders>
            <w:shd w:val="clear" w:color="auto" w:fill="CCCCFF"/>
          </w:tcPr>
          <w:p>
            <w:pPr>
              <w:spacing w:after="0"/>
              <w:rPr>
                <w:sz w:val="15"/>
                <w:szCs w:val="15"/>
                <w:color w:val="auto"/>
              </w:rPr>
            </w:pP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4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82"/>
        </w:trPr>
        <w:tc>
          <w:tcPr>
            <w:tcW w:w="700" w:type="dxa"/>
            <w:vAlign w:val="bottom"/>
            <w:tcBorders>
              <w:left w:val="single" w:sz="8" w:color="auto"/>
              <w:bottom w:val="single" w:sz="8" w:color="auto"/>
            </w:tcBorders>
            <w:gridSpan w:val="6"/>
            <w:shd w:val="clear" w:color="auto" w:fill="CCCCFF"/>
          </w:tcPr>
          <w:p>
            <w:pPr>
              <w:ind w:left="100"/>
              <w:spacing w:after="0" w:line="142" w:lineRule="exact"/>
              <w:rPr>
                <w:sz w:val="20"/>
                <w:szCs w:val="20"/>
                <w:color w:val="auto"/>
              </w:rPr>
            </w:pPr>
            <w:r>
              <w:rPr>
                <w:rFonts w:ascii="Arial" w:cs="Arial" w:eastAsia="Arial" w:hAnsi="Arial"/>
                <w:sz w:val="15"/>
                <w:szCs w:val="15"/>
                <w:b w:val="1"/>
                <w:bCs w:val="1"/>
                <w:color w:val="0000FF"/>
                <w:w w:val="86"/>
              </w:rPr>
              <w:t>6/30/2026</w:t>
            </w:r>
          </w:p>
        </w:tc>
        <w:tc>
          <w:tcPr>
            <w:tcW w:w="20" w:type="dxa"/>
            <w:vAlign w:val="bottom"/>
            <w:tcBorders>
              <w:bottom w:val="single" w:sz="8" w:color="auto"/>
            </w:tcBorders>
            <w:shd w:val="clear" w:color="auto" w:fill="CCCCFF"/>
          </w:tcPr>
          <w:p>
            <w:pPr>
              <w:spacing w:after="0"/>
              <w:rPr>
                <w:sz w:val="15"/>
                <w:szCs w:val="15"/>
                <w:color w:val="auto"/>
              </w:rPr>
            </w:pPr>
          </w:p>
        </w:tc>
        <w:tc>
          <w:tcPr>
            <w:tcW w:w="60" w:type="dxa"/>
            <w:vAlign w:val="bottom"/>
            <w:tcBorders>
              <w:bottom w:val="single" w:sz="8" w:color="auto"/>
            </w:tcBorders>
            <w:shd w:val="clear" w:color="auto" w:fill="CCCCFF"/>
          </w:tcPr>
          <w:p>
            <w:pPr>
              <w:spacing w:after="0"/>
              <w:rPr>
                <w:sz w:val="15"/>
                <w:szCs w:val="15"/>
                <w:color w:val="auto"/>
              </w:rPr>
            </w:pP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4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72"/>
        </w:trPr>
        <w:tc>
          <w:tcPr>
            <w:tcW w:w="700" w:type="dxa"/>
            <w:vAlign w:val="bottom"/>
            <w:tcBorders>
              <w:left w:val="single" w:sz="8" w:color="auto"/>
              <w:bottom w:val="single" w:sz="8" w:color="auto"/>
            </w:tcBorders>
            <w:gridSpan w:val="6"/>
            <w:shd w:val="clear" w:color="auto" w:fill="CCCCFF"/>
          </w:tcPr>
          <w:p>
            <w:pPr>
              <w:ind w:left="100"/>
              <w:spacing w:after="0" w:line="132" w:lineRule="exact"/>
              <w:rPr>
                <w:sz w:val="20"/>
                <w:szCs w:val="20"/>
                <w:color w:val="auto"/>
              </w:rPr>
            </w:pPr>
            <w:r>
              <w:rPr>
                <w:rFonts w:ascii="Arial" w:cs="Arial" w:eastAsia="Arial" w:hAnsi="Arial"/>
                <w:sz w:val="15"/>
                <w:szCs w:val="15"/>
                <w:b w:val="1"/>
                <w:bCs w:val="1"/>
                <w:color w:val="0000FF"/>
                <w:w w:val="86"/>
              </w:rPr>
              <w:t>9/30/2026</w:t>
            </w:r>
          </w:p>
        </w:tc>
        <w:tc>
          <w:tcPr>
            <w:tcW w:w="20" w:type="dxa"/>
            <w:vAlign w:val="bottom"/>
            <w:tcBorders>
              <w:bottom w:val="single" w:sz="8" w:color="auto"/>
            </w:tcBorders>
            <w:shd w:val="clear" w:color="auto" w:fill="CCCCFF"/>
          </w:tcPr>
          <w:p>
            <w:pPr>
              <w:spacing w:after="0"/>
              <w:rPr>
                <w:sz w:val="14"/>
                <w:szCs w:val="14"/>
                <w:color w:val="auto"/>
              </w:rPr>
            </w:pPr>
          </w:p>
        </w:tc>
        <w:tc>
          <w:tcPr>
            <w:tcW w:w="60" w:type="dxa"/>
            <w:vAlign w:val="bottom"/>
            <w:tcBorders>
              <w:bottom w:val="single" w:sz="8" w:color="auto"/>
            </w:tcBorders>
            <w:shd w:val="clear" w:color="auto" w:fill="CCCCFF"/>
          </w:tcPr>
          <w:p>
            <w:pPr>
              <w:spacing w:after="0"/>
              <w:rPr>
                <w:sz w:val="14"/>
                <w:szCs w:val="14"/>
                <w:color w:val="auto"/>
              </w:rPr>
            </w:pPr>
          </w:p>
        </w:tc>
        <w:tc>
          <w:tcPr>
            <w:tcW w:w="80" w:type="dxa"/>
            <w:vAlign w:val="bottom"/>
            <w:tcBorders>
              <w:bottom w:val="single" w:sz="8" w:color="auto"/>
            </w:tcBorders>
            <w:shd w:val="clear" w:color="auto" w:fill="CCCCFF"/>
          </w:tcPr>
          <w:p>
            <w:pPr>
              <w:spacing w:after="0"/>
              <w:rPr>
                <w:sz w:val="14"/>
                <w:szCs w:val="14"/>
                <w:color w:val="auto"/>
              </w:rPr>
            </w:pPr>
          </w:p>
        </w:tc>
        <w:tc>
          <w:tcPr>
            <w:tcW w:w="1540" w:type="dxa"/>
            <w:vAlign w:val="bottom"/>
            <w:tcBorders>
              <w:bottom w:val="single" w:sz="8" w:color="auto"/>
              <w:right w:val="single" w:sz="8" w:color="auto"/>
            </w:tcBorders>
            <w:shd w:val="clear" w:color="auto" w:fill="CCCCFF"/>
          </w:tcPr>
          <w:p>
            <w:pPr>
              <w:spacing w:after="0"/>
              <w:rPr>
                <w:sz w:val="14"/>
                <w:szCs w:val="14"/>
                <w:color w:val="auto"/>
              </w:rPr>
            </w:pPr>
          </w:p>
        </w:tc>
        <w:tc>
          <w:tcPr>
            <w:tcW w:w="780" w:type="dxa"/>
            <w:vAlign w:val="bottom"/>
            <w:tcBorders>
              <w:bottom w:val="single" w:sz="8" w:color="auto"/>
            </w:tcBorders>
            <w:gridSpan w:val="7"/>
            <w:shd w:val="clear" w:color="auto" w:fill="CCCCFF"/>
          </w:tcPr>
          <w:p>
            <w:pPr>
              <w:ind w:left="80"/>
              <w:spacing w:after="0" w:line="13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4"/>
                <w:szCs w:val="14"/>
                <w:color w:val="auto"/>
              </w:rPr>
            </w:pPr>
          </w:p>
        </w:tc>
        <w:tc>
          <w:tcPr>
            <w:tcW w:w="420" w:type="dxa"/>
            <w:vAlign w:val="bottom"/>
            <w:tcBorders>
              <w:bottom w:val="single" w:sz="8" w:color="auto"/>
            </w:tcBorders>
            <w:shd w:val="clear" w:color="auto" w:fill="CCCCFF"/>
          </w:tcPr>
          <w:p>
            <w:pPr>
              <w:spacing w:after="0"/>
              <w:rPr>
                <w:sz w:val="14"/>
                <w:szCs w:val="14"/>
                <w:color w:val="auto"/>
              </w:rPr>
            </w:pPr>
          </w:p>
        </w:tc>
        <w:tc>
          <w:tcPr>
            <w:tcW w:w="120" w:type="dxa"/>
            <w:vAlign w:val="bottom"/>
            <w:tcBorders>
              <w:bottom w:val="single" w:sz="8" w:color="auto"/>
            </w:tcBorders>
            <w:shd w:val="clear" w:color="auto" w:fill="CCCCFF"/>
          </w:tcPr>
          <w:p>
            <w:pPr>
              <w:spacing w:after="0"/>
              <w:rPr>
                <w:sz w:val="14"/>
                <w:szCs w:val="14"/>
                <w:color w:val="auto"/>
              </w:rPr>
            </w:pPr>
          </w:p>
        </w:tc>
        <w:tc>
          <w:tcPr>
            <w:tcW w:w="20" w:type="dxa"/>
            <w:vAlign w:val="bottom"/>
            <w:tcBorders>
              <w:bottom w:val="single" w:sz="8" w:color="auto"/>
            </w:tcBorders>
            <w:shd w:val="clear" w:color="auto" w:fill="CCCCFF"/>
          </w:tcPr>
          <w:p>
            <w:pPr>
              <w:spacing w:after="0"/>
              <w:rPr>
                <w:sz w:val="14"/>
                <w:szCs w:val="14"/>
                <w:color w:val="auto"/>
              </w:rPr>
            </w:pPr>
          </w:p>
        </w:tc>
        <w:tc>
          <w:tcPr>
            <w:tcW w:w="1020" w:type="dxa"/>
            <w:vAlign w:val="bottom"/>
            <w:tcBorders>
              <w:bottom w:val="single" w:sz="8" w:color="auto"/>
              <w:right w:val="single" w:sz="8" w:color="auto"/>
            </w:tcBorders>
            <w:shd w:val="clear" w:color="auto" w:fill="CCCCFF"/>
          </w:tcPr>
          <w:p>
            <w:pPr>
              <w:spacing w:after="0"/>
              <w:rPr>
                <w:sz w:val="14"/>
                <w:szCs w:val="14"/>
                <w:color w:val="auto"/>
              </w:rPr>
            </w:pPr>
          </w:p>
        </w:tc>
      </w:tr>
      <w:tr>
        <w:trPr>
          <w:trHeight w:val="182"/>
        </w:trPr>
        <w:tc>
          <w:tcPr>
            <w:tcW w:w="780" w:type="dxa"/>
            <w:vAlign w:val="bottom"/>
            <w:tcBorders>
              <w:left w:val="single" w:sz="8" w:color="auto"/>
              <w:bottom w:val="single" w:sz="8" w:color="auto"/>
            </w:tcBorders>
            <w:gridSpan w:val="8"/>
            <w:shd w:val="clear" w:color="auto" w:fill="CCCCFF"/>
          </w:tcPr>
          <w:p>
            <w:pPr>
              <w:ind w:left="100"/>
              <w:spacing w:after="0" w:line="142" w:lineRule="exact"/>
              <w:rPr>
                <w:sz w:val="20"/>
                <w:szCs w:val="20"/>
                <w:color w:val="auto"/>
              </w:rPr>
            </w:pPr>
            <w:r>
              <w:rPr>
                <w:rFonts w:ascii="Arial" w:cs="Arial" w:eastAsia="Arial" w:hAnsi="Arial"/>
                <w:sz w:val="15"/>
                <w:szCs w:val="15"/>
                <w:b w:val="1"/>
                <w:bCs w:val="1"/>
                <w:color w:val="0000FF"/>
                <w:w w:val="87"/>
              </w:rPr>
              <w:t>12/31/2026</w:t>
            </w:r>
          </w:p>
        </w:tc>
        <w:tc>
          <w:tcPr>
            <w:tcW w:w="80" w:type="dxa"/>
            <w:vAlign w:val="bottom"/>
            <w:tcBorders>
              <w:bottom w:val="single" w:sz="8" w:color="auto"/>
            </w:tcBorders>
            <w:shd w:val="clear" w:color="auto" w:fill="CCCCFF"/>
          </w:tcPr>
          <w:p>
            <w:pPr>
              <w:spacing w:after="0"/>
              <w:rPr>
                <w:sz w:val="15"/>
                <w:szCs w:val="15"/>
                <w:color w:val="auto"/>
              </w:rPr>
            </w:pPr>
          </w:p>
        </w:tc>
        <w:tc>
          <w:tcPr>
            <w:tcW w:w="1540" w:type="dxa"/>
            <w:vAlign w:val="bottom"/>
            <w:tcBorders>
              <w:bottom w:val="single" w:sz="8" w:color="auto"/>
              <w:right w:val="single" w:sz="8" w:color="auto"/>
            </w:tcBorders>
            <w:shd w:val="clear" w:color="auto" w:fill="CCCCFF"/>
          </w:tcPr>
          <w:p>
            <w:pPr>
              <w:spacing w:after="0"/>
              <w:rPr>
                <w:sz w:val="15"/>
                <w:szCs w:val="15"/>
                <w:color w:val="auto"/>
              </w:rPr>
            </w:pPr>
          </w:p>
        </w:tc>
        <w:tc>
          <w:tcPr>
            <w:tcW w:w="780" w:type="dxa"/>
            <w:vAlign w:val="bottom"/>
            <w:tcBorders>
              <w:bottom w:val="single" w:sz="8" w:color="auto"/>
            </w:tcBorders>
            <w:gridSpan w:val="7"/>
            <w:shd w:val="clear" w:color="auto" w:fill="CCCCFF"/>
          </w:tcPr>
          <w:p>
            <w:pPr>
              <w:ind w:left="80"/>
              <w:spacing w:after="0" w:line="14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5"/>
                <w:szCs w:val="15"/>
                <w:color w:val="auto"/>
              </w:rPr>
            </w:pPr>
          </w:p>
        </w:tc>
        <w:tc>
          <w:tcPr>
            <w:tcW w:w="420" w:type="dxa"/>
            <w:vAlign w:val="bottom"/>
            <w:tcBorders>
              <w:bottom w:val="single" w:sz="8" w:color="auto"/>
            </w:tcBorders>
            <w:shd w:val="clear" w:color="auto" w:fill="CCCCFF"/>
          </w:tcPr>
          <w:p>
            <w:pPr>
              <w:spacing w:after="0"/>
              <w:rPr>
                <w:sz w:val="15"/>
                <w:szCs w:val="15"/>
                <w:color w:val="auto"/>
              </w:rPr>
            </w:pPr>
          </w:p>
        </w:tc>
        <w:tc>
          <w:tcPr>
            <w:tcW w:w="120" w:type="dxa"/>
            <w:vAlign w:val="bottom"/>
            <w:tcBorders>
              <w:bottom w:val="single" w:sz="8" w:color="auto"/>
            </w:tcBorders>
            <w:shd w:val="clear" w:color="auto" w:fill="CCCCFF"/>
          </w:tcPr>
          <w:p>
            <w:pPr>
              <w:spacing w:after="0"/>
              <w:rPr>
                <w:sz w:val="15"/>
                <w:szCs w:val="15"/>
                <w:color w:val="auto"/>
              </w:rPr>
            </w:pPr>
          </w:p>
        </w:tc>
        <w:tc>
          <w:tcPr>
            <w:tcW w:w="20" w:type="dxa"/>
            <w:vAlign w:val="bottom"/>
            <w:tcBorders>
              <w:bottom w:val="single" w:sz="8" w:color="auto"/>
            </w:tcBorders>
            <w:shd w:val="clear" w:color="auto" w:fill="CCCCFF"/>
          </w:tcPr>
          <w:p>
            <w:pPr>
              <w:spacing w:after="0"/>
              <w:rPr>
                <w:sz w:val="15"/>
                <w:szCs w:val="15"/>
                <w:color w:val="auto"/>
              </w:rPr>
            </w:pPr>
          </w:p>
        </w:tc>
        <w:tc>
          <w:tcPr>
            <w:tcW w:w="1020" w:type="dxa"/>
            <w:vAlign w:val="bottom"/>
            <w:tcBorders>
              <w:bottom w:val="single" w:sz="8" w:color="auto"/>
              <w:right w:val="single" w:sz="8" w:color="auto"/>
            </w:tcBorders>
            <w:shd w:val="clear" w:color="auto" w:fill="CCCCFF"/>
          </w:tcPr>
          <w:p>
            <w:pPr>
              <w:spacing w:after="0"/>
              <w:rPr>
                <w:sz w:val="15"/>
                <w:szCs w:val="15"/>
                <w:color w:val="auto"/>
              </w:rPr>
            </w:pPr>
          </w:p>
        </w:tc>
      </w:tr>
      <w:tr>
        <w:trPr>
          <w:trHeight w:val="172"/>
        </w:trPr>
        <w:tc>
          <w:tcPr>
            <w:tcW w:w="700" w:type="dxa"/>
            <w:vAlign w:val="bottom"/>
            <w:tcBorders>
              <w:left w:val="single" w:sz="8" w:color="auto"/>
              <w:bottom w:val="single" w:sz="8" w:color="auto"/>
            </w:tcBorders>
            <w:gridSpan w:val="6"/>
            <w:shd w:val="clear" w:color="auto" w:fill="CCCCFF"/>
          </w:tcPr>
          <w:p>
            <w:pPr>
              <w:ind w:left="100"/>
              <w:spacing w:after="0" w:line="132" w:lineRule="exact"/>
              <w:rPr>
                <w:sz w:val="20"/>
                <w:szCs w:val="20"/>
                <w:color w:val="auto"/>
              </w:rPr>
            </w:pPr>
            <w:r>
              <w:rPr>
                <w:rFonts w:ascii="Arial" w:cs="Arial" w:eastAsia="Arial" w:hAnsi="Arial"/>
                <w:sz w:val="15"/>
                <w:szCs w:val="15"/>
                <w:b w:val="1"/>
                <w:bCs w:val="1"/>
                <w:color w:val="0000FF"/>
                <w:w w:val="86"/>
              </w:rPr>
              <w:t>3/31/2027</w:t>
            </w:r>
          </w:p>
        </w:tc>
        <w:tc>
          <w:tcPr>
            <w:tcW w:w="20" w:type="dxa"/>
            <w:vAlign w:val="bottom"/>
            <w:tcBorders>
              <w:bottom w:val="single" w:sz="8" w:color="auto"/>
            </w:tcBorders>
            <w:shd w:val="clear" w:color="auto" w:fill="CCCCFF"/>
          </w:tcPr>
          <w:p>
            <w:pPr>
              <w:spacing w:after="0"/>
              <w:rPr>
                <w:sz w:val="14"/>
                <w:szCs w:val="14"/>
                <w:color w:val="auto"/>
              </w:rPr>
            </w:pPr>
          </w:p>
        </w:tc>
        <w:tc>
          <w:tcPr>
            <w:tcW w:w="60" w:type="dxa"/>
            <w:vAlign w:val="bottom"/>
            <w:tcBorders>
              <w:bottom w:val="single" w:sz="8" w:color="auto"/>
            </w:tcBorders>
            <w:shd w:val="clear" w:color="auto" w:fill="CCCCFF"/>
          </w:tcPr>
          <w:p>
            <w:pPr>
              <w:spacing w:after="0"/>
              <w:rPr>
                <w:sz w:val="14"/>
                <w:szCs w:val="14"/>
                <w:color w:val="auto"/>
              </w:rPr>
            </w:pPr>
          </w:p>
        </w:tc>
        <w:tc>
          <w:tcPr>
            <w:tcW w:w="80" w:type="dxa"/>
            <w:vAlign w:val="bottom"/>
            <w:tcBorders>
              <w:bottom w:val="single" w:sz="8" w:color="auto"/>
            </w:tcBorders>
            <w:shd w:val="clear" w:color="auto" w:fill="CCCCFF"/>
          </w:tcPr>
          <w:p>
            <w:pPr>
              <w:spacing w:after="0"/>
              <w:rPr>
                <w:sz w:val="14"/>
                <w:szCs w:val="14"/>
                <w:color w:val="auto"/>
              </w:rPr>
            </w:pPr>
          </w:p>
        </w:tc>
        <w:tc>
          <w:tcPr>
            <w:tcW w:w="1540" w:type="dxa"/>
            <w:vAlign w:val="bottom"/>
            <w:tcBorders>
              <w:bottom w:val="single" w:sz="8" w:color="auto"/>
              <w:right w:val="single" w:sz="8" w:color="auto"/>
            </w:tcBorders>
            <w:shd w:val="clear" w:color="auto" w:fill="CCCCFF"/>
          </w:tcPr>
          <w:p>
            <w:pPr>
              <w:spacing w:after="0"/>
              <w:rPr>
                <w:sz w:val="14"/>
                <w:szCs w:val="14"/>
                <w:color w:val="auto"/>
              </w:rPr>
            </w:pPr>
          </w:p>
        </w:tc>
        <w:tc>
          <w:tcPr>
            <w:tcW w:w="780" w:type="dxa"/>
            <w:vAlign w:val="bottom"/>
            <w:tcBorders>
              <w:bottom w:val="single" w:sz="8" w:color="auto"/>
            </w:tcBorders>
            <w:gridSpan w:val="7"/>
            <w:shd w:val="clear" w:color="auto" w:fill="CCCCFF"/>
          </w:tcPr>
          <w:p>
            <w:pPr>
              <w:ind w:left="80"/>
              <w:spacing w:after="0" w:line="132" w:lineRule="exact"/>
              <w:rPr>
                <w:sz w:val="20"/>
                <w:szCs w:val="20"/>
                <w:color w:val="auto"/>
              </w:rPr>
            </w:pPr>
            <w:r>
              <w:rPr>
                <w:rFonts w:ascii="Arial" w:cs="Arial" w:eastAsia="Arial" w:hAnsi="Arial"/>
                <w:sz w:val="15"/>
                <w:szCs w:val="15"/>
                <w:b w:val="1"/>
                <w:bCs w:val="1"/>
                <w:u w:val="single" w:color="auto"/>
                <w:color w:val="0000FF"/>
                <w:w w:val="90"/>
              </w:rPr>
              <w:t>$</w:t>
            </w:r>
            <w:r>
              <w:rPr>
                <w:rFonts w:ascii="Arial" w:cs="Arial" w:eastAsia="Arial" w:hAnsi="Arial"/>
                <w:sz w:val="15"/>
                <w:szCs w:val="15"/>
                <w:b w:val="1"/>
                <w:bCs w:val="1"/>
                <w:color w:val="0000FF"/>
                <w:w w:val="90"/>
              </w:rPr>
              <w:t>1,875,000</w:t>
            </w:r>
          </w:p>
        </w:tc>
        <w:tc>
          <w:tcPr>
            <w:tcW w:w="20" w:type="dxa"/>
            <w:vAlign w:val="bottom"/>
            <w:tcBorders>
              <w:bottom w:val="single" w:sz="8" w:color="auto"/>
            </w:tcBorders>
            <w:shd w:val="clear" w:color="auto" w:fill="CCCCFF"/>
          </w:tcPr>
          <w:p>
            <w:pPr>
              <w:spacing w:after="0"/>
              <w:rPr>
                <w:sz w:val="14"/>
                <w:szCs w:val="14"/>
                <w:color w:val="auto"/>
              </w:rPr>
            </w:pPr>
          </w:p>
        </w:tc>
        <w:tc>
          <w:tcPr>
            <w:tcW w:w="420" w:type="dxa"/>
            <w:vAlign w:val="bottom"/>
            <w:tcBorders>
              <w:bottom w:val="single" w:sz="8" w:color="auto"/>
            </w:tcBorders>
            <w:shd w:val="clear" w:color="auto" w:fill="CCCCFF"/>
          </w:tcPr>
          <w:p>
            <w:pPr>
              <w:spacing w:after="0"/>
              <w:rPr>
                <w:sz w:val="14"/>
                <w:szCs w:val="14"/>
                <w:color w:val="auto"/>
              </w:rPr>
            </w:pPr>
          </w:p>
        </w:tc>
        <w:tc>
          <w:tcPr>
            <w:tcW w:w="120" w:type="dxa"/>
            <w:vAlign w:val="bottom"/>
            <w:tcBorders>
              <w:bottom w:val="single" w:sz="8" w:color="auto"/>
            </w:tcBorders>
            <w:shd w:val="clear" w:color="auto" w:fill="CCCCFF"/>
          </w:tcPr>
          <w:p>
            <w:pPr>
              <w:spacing w:after="0"/>
              <w:rPr>
                <w:sz w:val="14"/>
                <w:szCs w:val="14"/>
                <w:color w:val="auto"/>
              </w:rPr>
            </w:pPr>
          </w:p>
        </w:tc>
        <w:tc>
          <w:tcPr>
            <w:tcW w:w="20" w:type="dxa"/>
            <w:vAlign w:val="bottom"/>
            <w:tcBorders>
              <w:bottom w:val="single" w:sz="8" w:color="auto"/>
            </w:tcBorders>
            <w:shd w:val="clear" w:color="auto" w:fill="CCCCFF"/>
          </w:tcPr>
          <w:p>
            <w:pPr>
              <w:spacing w:after="0"/>
              <w:rPr>
                <w:sz w:val="14"/>
                <w:szCs w:val="14"/>
                <w:color w:val="auto"/>
              </w:rPr>
            </w:pPr>
          </w:p>
        </w:tc>
        <w:tc>
          <w:tcPr>
            <w:tcW w:w="1020" w:type="dxa"/>
            <w:vAlign w:val="bottom"/>
            <w:tcBorders>
              <w:bottom w:val="single" w:sz="8" w:color="auto"/>
              <w:right w:val="single" w:sz="8" w:color="auto"/>
            </w:tcBorders>
            <w:shd w:val="clear" w:color="auto" w:fill="CCCCFF"/>
          </w:tcPr>
          <w:p>
            <w:pPr>
              <w:spacing w:after="0"/>
              <w:rPr>
                <w:sz w:val="14"/>
                <w:szCs w:val="14"/>
                <w:color w:val="auto"/>
              </w:rPr>
            </w:pPr>
          </w:p>
        </w:tc>
      </w:tr>
      <w:tr>
        <w:trPr>
          <w:trHeight w:val="142"/>
        </w:trPr>
        <w:tc>
          <w:tcPr>
            <w:tcW w:w="100" w:type="dxa"/>
            <w:vAlign w:val="bottom"/>
            <w:tcBorders>
              <w:left w:val="single" w:sz="8" w:color="auto"/>
              <w:bottom w:val="single" w:sz="8" w:color="CCCCFF"/>
            </w:tcBorders>
            <w:shd w:val="clear" w:color="auto" w:fill="CCCCFF"/>
          </w:tcPr>
          <w:p>
            <w:pPr>
              <w:spacing w:after="0"/>
              <w:rPr>
                <w:sz w:val="12"/>
                <w:szCs w:val="12"/>
                <w:color w:val="auto"/>
              </w:rPr>
            </w:pPr>
          </w:p>
        </w:tc>
        <w:tc>
          <w:tcPr>
            <w:tcW w:w="140" w:type="dxa"/>
            <w:vAlign w:val="bottom"/>
            <w:tcBorders>
              <w:bottom w:val="single" w:sz="8" w:color="CCCCFF"/>
            </w:tcBorders>
            <w:shd w:val="clear" w:color="auto" w:fill="CCCCFF"/>
          </w:tcPr>
          <w:p>
            <w:pPr>
              <w:spacing w:after="0"/>
              <w:rPr>
                <w:sz w:val="12"/>
                <w:szCs w:val="12"/>
                <w:color w:val="auto"/>
              </w:rPr>
            </w:pPr>
          </w:p>
        </w:tc>
        <w:tc>
          <w:tcPr>
            <w:tcW w:w="80" w:type="dxa"/>
            <w:vAlign w:val="bottom"/>
            <w:tcBorders>
              <w:bottom w:val="single" w:sz="8" w:color="CCCCFF"/>
            </w:tcBorders>
            <w:shd w:val="clear" w:color="auto" w:fill="CCCCFF"/>
          </w:tcPr>
          <w:p>
            <w:pPr>
              <w:spacing w:after="0"/>
              <w:rPr>
                <w:sz w:val="12"/>
                <w:szCs w:val="12"/>
                <w:color w:val="auto"/>
              </w:rPr>
            </w:pPr>
          </w:p>
        </w:tc>
        <w:tc>
          <w:tcPr>
            <w:tcW w:w="80" w:type="dxa"/>
            <w:vAlign w:val="bottom"/>
            <w:tcBorders>
              <w:bottom w:val="single" w:sz="8" w:color="CCCCFF"/>
            </w:tcBorders>
            <w:shd w:val="clear" w:color="auto" w:fill="CCCCFF"/>
          </w:tcPr>
          <w:p>
            <w:pPr>
              <w:spacing w:after="0"/>
              <w:rPr>
                <w:sz w:val="12"/>
                <w:szCs w:val="12"/>
                <w:color w:val="auto"/>
              </w:rPr>
            </w:pPr>
          </w:p>
        </w:tc>
        <w:tc>
          <w:tcPr>
            <w:tcW w:w="180" w:type="dxa"/>
            <w:vAlign w:val="bottom"/>
            <w:tcBorders>
              <w:bottom w:val="single" w:sz="8" w:color="CCCCFF"/>
            </w:tcBorders>
            <w:shd w:val="clear" w:color="auto" w:fill="CCCCFF"/>
          </w:tcPr>
          <w:p>
            <w:pPr>
              <w:spacing w:after="0"/>
              <w:rPr>
                <w:sz w:val="12"/>
                <w:szCs w:val="12"/>
                <w:color w:val="auto"/>
              </w:rPr>
            </w:pPr>
          </w:p>
        </w:tc>
        <w:tc>
          <w:tcPr>
            <w:tcW w:w="120" w:type="dxa"/>
            <w:vAlign w:val="bottom"/>
            <w:tcBorders>
              <w:bottom w:val="single" w:sz="8" w:color="CCCCFF"/>
            </w:tcBorders>
            <w:shd w:val="clear" w:color="auto" w:fill="CCCCFF"/>
          </w:tcPr>
          <w:p>
            <w:pPr>
              <w:spacing w:after="0"/>
              <w:rPr>
                <w:sz w:val="12"/>
                <w:szCs w:val="12"/>
                <w:color w:val="auto"/>
              </w:rPr>
            </w:pPr>
          </w:p>
        </w:tc>
        <w:tc>
          <w:tcPr>
            <w:tcW w:w="20" w:type="dxa"/>
            <w:vAlign w:val="bottom"/>
            <w:tcBorders>
              <w:bottom w:val="single" w:sz="8" w:color="CCCCFF"/>
            </w:tcBorders>
            <w:shd w:val="clear" w:color="auto" w:fill="CCCCFF"/>
          </w:tcPr>
          <w:p>
            <w:pPr>
              <w:spacing w:after="0"/>
              <w:rPr>
                <w:sz w:val="12"/>
                <w:szCs w:val="12"/>
                <w:color w:val="auto"/>
              </w:rPr>
            </w:pPr>
          </w:p>
        </w:tc>
        <w:tc>
          <w:tcPr>
            <w:tcW w:w="60" w:type="dxa"/>
            <w:vAlign w:val="bottom"/>
            <w:tcBorders>
              <w:bottom w:val="single" w:sz="8" w:color="CCCCFF"/>
            </w:tcBorders>
            <w:shd w:val="clear" w:color="auto" w:fill="CCCCFF"/>
          </w:tcPr>
          <w:p>
            <w:pPr>
              <w:spacing w:after="0"/>
              <w:rPr>
                <w:sz w:val="12"/>
                <w:szCs w:val="12"/>
                <w:color w:val="auto"/>
              </w:rPr>
            </w:pPr>
          </w:p>
        </w:tc>
        <w:tc>
          <w:tcPr>
            <w:tcW w:w="80" w:type="dxa"/>
            <w:vAlign w:val="bottom"/>
            <w:tcBorders>
              <w:bottom w:val="single" w:sz="8" w:color="CCCCFF"/>
            </w:tcBorders>
            <w:shd w:val="clear" w:color="auto" w:fill="CCCCFF"/>
          </w:tcPr>
          <w:p>
            <w:pPr>
              <w:spacing w:after="0"/>
              <w:rPr>
                <w:sz w:val="12"/>
                <w:szCs w:val="12"/>
                <w:color w:val="auto"/>
              </w:rPr>
            </w:pPr>
          </w:p>
        </w:tc>
        <w:tc>
          <w:tcPr>
            <w:tcW w:w="1540" w:type="dxa"/>
            <w:vAlign w:val="bottom"/>
            <w:tcBorders>
              <w:bottom w:val="single" w:sz="8" w:color="CCCCFF"/>
              <w:right w:val="single" w:sz="8" w:color="auto"/>
            </w:tcBorders>
            <w:shd w:val="clear" w:color="auto" w:fill="CCCCFF"/>
          </w:tcPr>
          <w:p>
            <w:pPr>
              <w:spacing w:after="0"/>
              <w:rPr>
                <w:sz w:val="12"/>
                <w:szCs w:val="12"/>
                <w:color w:val="auto"/>
              </w:rPr>
            </w:pPr>
          </w:p>
        </w:tc>
        <w:tc>
          <w:tcPr>
            <w:tcW w:w="80" w:type="dxa"/>
            <w:vAlign w:val="bottom"/>
            <w:tcBorders>
              <w:bottom w:val="single" w:sz="8" w:color="CCCCFF"/>
            </w:tcBorders>
            <w:shd w:val="clear" w:color="auto" w:fill="CCCCFF"/>
          </w:tcPr>
          <w:p>
            <w:pPr>
              <w:spacing w:after="0"/>
              <w:rPr>
                <w:sz w:val="12"/>
                <w:szCs w:val="12"/>
                <w:color w:val="auto"/>
              </w:rPr>
            </w:pPr>
          </w:p>
        </w:tc>
        <w:tc>
          <w:tcPr>
            <w:tcW w:w="700" w:type="dxa"/>
            <w:vAlign w:val="bottom"/>
            <w:tcBorders>
              <w:bottom w:val="single" w:sz="8" w:color="0000FF"/>
            </w:tcBorders>
            <w:gridSpan w:val="6"/>
            <w:shd w:val="clear" w:color="auto" w:fill="CCCCFF"/>
          </w:tcPr>
          <w:p>
            <w:pPr>
              <w:spacing w:after="0" w:line="142" w:lineRule="exact"/>
              <w:rPr>
                <w:sz w:val="20"/>
                <w:szCs w:val="20"/>
                <w:color w:val="auto"/>
              </w:rPr>
            </w:pPr>
            <w:r>
              <w:rPr>
                <w:rFonts w:ascii="Arial" w:cs="Arial" w:eastAsia="Arial" w:hAnsi="Arial"/>
                <w:sz w:val="15"/>
                <w:szCs w:val="15"/>
                <w:b w:val="1"/>
                <w:bCs w:val="1"/>
                <w:color w:val="0000FF"/>
                <w:w w:val="88"/>
              </w:rPr>
              <w:t>Remaining</w:t>
            </w:r>
          </w:p>
        </w:tc>
        <w:tc>
          <w:tcPr>
            <w:tcW w:w="1600" w:type="dxa"/>
            <w:vAlign w:val="bottom"/>
            <w:tcBorders>
              <w:bottom w:val="single" w:sz="8" w:color="CCCCFF"/>
              <w:right w:val="single" w:sz="8" w:color="auto"/>
            </w:tcBorders>
            <w:gridSpan w:val="5"/>
            <w:shd w:val="clear" w:color="auto" w:fill="CCCCFF"/>
          </w:tcPr>
          <w:p>
            <w:pPr>
              <w:spacing w:after="0"/>
              <w:rPr>
                <w:sz w:val="12"/>
                <w:szCs w:val="12"/>
                <w:color w:val="auto"/>
              </w:rPr>
            </w:pPr>
          </w:p>
        </w:tc>
      </w:tr>
      <w:tr>
        <w:trPr>
          <w:trHeight w:val="172"/>
        </w:trPr>
        <w:tc>
          <w:tcPr>
            <w:tcW w:w="100" w:type="dxa"/>
            <w:vAlign w:val="bottom"/>
            <w:tcBorders>
              <w:left w:val="single" w:sz="8" w:color="auto"/>
            </w:tcBorders>
            <w:shd w:val="clear" w:color="auto" w:fill="CCCCFF"/>
          </w:tcPr>
          <w:p>
            <w:pPr>
              <w:spacing w:after="0"/>
              <w:rPr>
                <w:sz w:val="14"/>
                <w:szCs w:val="14"/>
                <w:color w:val="auto"/>
              </w:rPr>
            </w:pPr>
          </w:p>
        </w:tc>
        <w:tc>
          <w:tcPr>
            <w:tcW w:w="2300" w:type="dxa"/>
            <w:vAlign w:val="bottom"/>
            <w:tcBorders>
              <w:right w:val="single" w:sz="8" w:color="auto"/>
            </w:tcBorders>
            <w:gridSpan w:val="9"/>
            <w:shd w:val="clear" w:color="auto" w:fill="CCCCFF"/>
          </w:tcPr>
          <w:p>
            <w:pPr>
              <w:spacing w:after="0"/>
              <w:rPr>
                <w:sz w:val="20"/>
                <w:szCs w:val="20"/>
                <w:color w:val="auto"/>
              </w:rPr>
            </w:pPr>
            <w:r>
              <w:rPr>
                <w:rFonts w:ascii="Arial" w:cs="Arial" w:eastAsia="Arial" w:hAnsi="Arial"/>
                <w:sz w:val="15"/>
                <w:szCs w:val="15"/>
                <w:b w:val="1"/>
                <w:bCs w:val="1"/>
                <w:color w:val="0000FF"/>
              </w:rPr>
              <w:t>Term Loan Maturity</w:t>
            </w:r>
          </w:p>
        </w:tc>
        <w:tc>
          <w:tcPr>
            <w:tcW w:w="80" w:type="dxa"/>
            <w:vAlign w:val="bottom"/>
            <w:shd w:val="clear" w:color="auto" w:fill="CCCCFF"/>
          </w:tcPr>
          <w:p>
            <w:pPr>
              <w:spacing w:after="0"/>
              <w:rPr>
                <w:sz w:val="14"/>
                <w:szCs w:val="14"/>
                <w:color w:val="auto"/>
              </w:rPr>
            </w:pPr>
          </w:p>
        </w:tc>
        <w:tc>
          <w:tcPr>
            <w:tcW w:w="2300" w:type="dxa"/>
            <w:vAlign w:val="bottom"/>
            <w:tcBorders>
              <w:right w:val="single" w:sz="8" w:color="auto"/>
            </w:tcBorders>
            <w:gridSpan w:val="11"/>
            <w:shd w:val="clear" w:color="auto" w:fill="CCCCFF"/>
          </w:tcPr>
          <w:p>
            <w:pPr>
              <w:spacing w:after="0"/>
              <w:rPr>
                <w:sz w:val="20"/>
                <w:szCs w:val="20"/>
                <w:color w:val="auto"/>
              </w:rPr>
            </w:pPr>
            <w:r>
              <w:rPr>
                <w:rFonts w:ascii="Arial" w:cs="Arial" w:eastAsia="Arial" w:hAnsi="Arial"/>
                <w:sz w:val="15"/>
                <w:szCs w:val="15"/>
                <w:b w:val="1"/>
                <w:bCs w:val="1"/>
                <w:color w:val="0000FF"/>
              </w:rPr>
              <w:t>Outstanding Principal</w:t>
            </w:r>
          </w:p>
        </w:tc>
      </w:tr>
      <w:tr>
        <w:trPr>
          <w:trHeight w:val="20"/>
        </w:trPr>
        <w:tc>
          <w:tcPr>
            <w:tcW w:w="100" w:type="dxa"/>
            <w:vAlign w:val="bottom"/>
            <w:tcBorders>
              <w:left w:val="single" w:sz="8" w:color="auto"/>
            </w:tcBorders>
            <w:shd w:val="clear" w:color="auto" w:fill="CCCC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CCCCFF"/>
          </w:tcPr>
          <w:p>
            <w:pPr>
              <w:spacing w:after="0" w:line="20" w:lineRule="exact"/>
              <w:rPr>
                <w:sz w:val="1"/>
                <w:szCs w:val="1"/>
                <w:color w:val="auto"/>
              </w:rPr>
            </w:pPr>
          </w:p>
        </w:tc>
        <w:tc>
          <w:tcPr>
            <w:tcW w:w="180" w:type="dxa"/>
            <w:vAlign w:val="bottom"/>
            <w:shd w:val="clear" w:color="auto" w:fill="CCCC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auto"/>
            </w:tcBorders>
            <w:gridSpan w:val="3"/>
            <w:shd w:val="clear" w:color="auto" w:fill="CCCCFF"/>
          </w:tcPr>
          <w:p>
            <w:pPr>
              <w:spacing w:after="0" w:line="20" w:lineRule="exact"/>
              <w:rPr>
                <w:sz w:val="1"/>
                <w:szCs w:val="1"/>
                <w:color w:val="auto"/>
              </w:rPr>
            </w:pPr>
          </w:p>
        </w:tc>
        <w:tc>
          <w:tcPr>
            <w:tcW w:w="80" w:type="dxa"/>
            <w:vAlign w:val="bottom"/>
            <w:shd w:val="clear" w:color="auto" w:fill="CCCC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CCCCFF"/>
          </w:tcPr>
          <w:p>
            <w:pPr>
              <w:spacing w:after="0" w:line="20" w:lineRule="exact"/>
              <w:rPr>
                <w:sz w:val="1"/>
                <w:szCs w:val="1"/>
                <w:color w:val="auto"/>
              </w:rPr>
            </w:pPr>
          </w:p>
        </w:tc>
        <w:tc>
          <w:tcPr>
            <w:tcW w:w="1020" w:type="dxa"/>
            <w:vAlign w:val="bottom"/>
            <w:tcBorders>
              <w:right w:val="single" w:sz="8" w:color="auto"/>
            </w:tcBorders>
            <w:shd w:val="clear" w:color="auto" w:fill="CCCCFF"/>
          </w:tcPr>
          <w:p>
            <w:pPr>
              <w:spacing w:after="0" w:line="20" w:lineRule="exact"/>
              <w:rPr>
                <w:sz w:val="1"/>
                <w:szCs w:val="1"/>
                <w:color w:val="auto"/>
              </w:rPr>
            </w:pPr>
          </w:p>
        </w:tc>
      </w:tr>
      <w:tr>
        <w:trPr>
          <w:trHeight w:val="172"/>
        </w:trPr>
        <w:tc>
          <w:tcPr>
            <w:tcW w:w="100" w:type="dxa"/>
            <w:vAlign w:val="bottom"/>
            <w:tcBorders>
              <w:left w:val="single" w:sz="8" w:color="auto"/>
            </w:tcBorders>
            <w:shd w:val="clear" w:color="auto" w:fill="CCCCFF"/>
          </w:tcPr>
          <w:p>
            <w:pPr>
              <w:spacing w:after="0"/>
              <w:rPr>
                <w:sz w:val="14"/>
                <w:szCs w:val="14"/>
                <w:color w:val="auto"/>
              </w:rPr>
            </w:pPr>
          </w:p>
        </w:tc>
        <w:tc>
          <w:tcPr>
            <w:tcW w:w="300" w:type="dxa"/>
            <w:vAlign w:val="bottom"/>
            <w:gridSpan w:val="3"/>
            <w:shd w:val="clear" w:color="auto" w:fill="CCCCFF"/>
          </w:tcPr>
          <w:p>
            <w:pPr>
              <w:spacing w:after="0"/>
              <w:rPr>
                <w:sz w:val="20"/>
                <w:szCs w:val="20"/>
                <w:color w:val="auto"/>
              </w:rPr>
            </w:pPr>
            <w:r>
              <w:rPr>
                <w:rFonts w:ascii="Arial" w:cs="Arial" w:eastAsia="Arial" w:hAnsi="Arial"/>
                <w:sz w:val="15"/>
                <w:szCs w:val="15"/>
                <w:b w:val="1"/>
                <w:bCs w:val="1"/>
                <w:color w:val="0000FF"/>
                <w:w w:val="85"/>
              </w:rPr>
              <w:t>Date</w:t>
            </w:r>
          </w:p>
        </w:tc>
        <w:tc>
          <w:tcPr>
            <w:tcW w:w="2000" w:type="dxa"/>
            <w:vAlign w:val="bottom"/>
            <w:tcBorders>
              <w:right w:val="single" w:sz="8" w:color="auto"/>
            </w:tcBorders>
            <w:gridSpan w:val="6"/>
            <w:shd w:val="clear" w:color="auto" w:fill="CCCCFF"/>
          </w:tcPr>
          <w:p>
            <w:pPr>
              <w:spacing w:after="0"/>
              <w:rPr>
                <w:sz w:val="14"/>
                <w:szCs w:val="14"/>
                <w:color w:val="auto"/>
              </w:rPr>
            </w:pPr>
          </w:p>
        </w:tc>
        <w:tc>
          <w:tcPr>
            <w:tcW w:w="80" w:type="dxa"/>
            <w:vAlign w:val="bottom"/>
            <w:shd w:val="clear" w:color="auto" w:fill="CCCCFF"/>
          </w:tcPr>
          <w:p>
            <w:pPr>
              <w:spacing w:after="0"/>
              <w:rPr>
                <w:sz w:val="14"/>
                <w:szCs w:val="14"/>
                <w:color w:val="auto"/>
              </w:rPr>
            </w:pPr>
          </w:p>
        </w:tc>
        <w:tc>
          <w:tcPr>
            <w:tcW w:w="2300" w:type="dxa"/>
            <w:vAlign w:val="bottom"/>
            <w:tcBorders>
              <w:right w:val="single" w:sz="8" w:color="auto"/>
            </w:tcBorders>
            <w:gridSpan w:val="11"/>
            <w:shd w:val="clear" w:color="auto" w:fill="CCCCFF"/>
          </w:tcPr>
          <w:p>
            <w:pPr>
              <w:spacing w:after="0"/>
              <w:rPr>
                <w:sz w:val="20"/>
                <w:szCs w:val="20"/>
                <w:color w:val="auto"/>
              </w:rPr>
            </w:pPr>
            <w:r>
              <w:rPr>
                <w:rFonts w:ascii="Arial" w:cs="Arial" w:eastAsia="Arial" w:hAnsi="Arial"/>
                <w:sz w:val="15"/>
                <w:szCs w:val="15"/>
                <w:b w:val="1"/>
                <w:bCs w:val="1"/>
                <w:color w:val="0000FF"/>
              </w:rPr>
              <w:t>Amount  of  Term</w:t>
            </w:r>
          </w:p>
        </w:tc>
      </w:tr>
      <w:tr>
        <w:trPr>
          <w:trHeight w:val="222"/>
        </w:trPr>
        <w:tc>
          <w:tcPr>
            <w:tcW w:w="100" w:type="dxa"/>
            <w:vAlign w:val="bottom"/>
            <w:tcBorders>
              <w:top w:val="single" w:sz="8" w:color="CCCCFF"/>
              <w:left w:val="single" w:sz="8" w:color="auto"/>
              <w:bottom w:val="single" w:sz="8" w:color="auto"/>
            </w:tcBorders>
            <w:shd w:val="clear" w:color="auto" w:fill="CCCCFF"/>
          </w:tcPr>
          <w:p>
            <w:pPr>
              <w:spacing w:after="0"/>
              <w:rPr>
                <w:sz w:val="19"/>
                <w:szCs w:val="19"/>
                <w:color w:val="auto"/>
              </w:rPr>
            </w:pPr>
          </w:p>
        </w:tc>
        <w:tc>
          <w:tcPr>
            <w:tcW w:w="140" w:type="dxa"/>
            <w:vAlign w:val="bottom"/>
            <w:tcBorders>
              <w:top w:val="single" w:sz="8" w:color="0000FF"/>
              <w:bottom w:val="single" w:sz="8" w:color="auto"/>
            </w:tcBorders>
            <w:shd w:val="clear" w:color="auto" w:fill="CCCCFF"/>
          </w:tcPr>
          <w:p>
            <w:pPr>
              <w:spacing w:after="0"/>
              <w:rPr>
                <w:sz w:val="19"/>
                <w:szCs w:val="19"/>
                <w:color w:val="auto"/>
              </w:rPr>
            </w:pPr>
          </w:p>
        </w:tc>
        <w:tc>
          <w:tcPr>
            <w:tcW w:w="80" w:type="dxa"/>
            <w:vAlign w:val="bottom"/>
            <w:tcBorders>
              <w:top w:val="single" w:sz="8" w:color="0000FF"/>
              <w:bottom w:val="single" w:sz="8" w:color="auto"/>
            </w:tcBorders>
            <w:shd w:val="clear" w:color="auto" w:fill="CCCCFF"/>
          </w:tcPr>
          <w:p>
            <w:pPr>
              <w:spacing w:after="0"/>
              <w:rPr>
                <w:sz w:val="19"/>
                <w:szCs w:val="19"/>
                <w:color w:val="auto"/>
              </w:rPr>
            </w:pPr>
          </w:p>
        </w:tc>
        <w:tc>
          <w:tcPr>
            <w:tcW w:w="80" w:type="dxa"/>
            <w:vAlign w:val="bottom"/>
            <w:tcBorders>
              <w:top w:val="single" w:sz="8" w:color="0000FF"/>
              <w:bottom w:val="single" w:sz="8" w:color="auto"/>
            </w:tcBorders>
            <w:shd w:val="clear" w:color="auto" w:fill="CCCCFF"/>
          </w:tcPr>
          <w:p>
            <w:pPr>
              <w:spacing w:after="0"/>
              <w:rPr>
                <w:sz w:val="19"/>
                <w:szCs w:val="19"/>
                <w:color w:val="auto"/>
              </w:rPr>
            </w:pPr>
          </w:p>
        </w:tc>
        <w:tc>
          <w:tcPr>
            <w:tcW w:w="180" w:type="dxa"/>
            <w:vAlign w:val="bottom"/>
            <w:tcBorders>
              <w:top w:val="single" w:sz="8" w:color="CCCCFF"/>
              <w:bottom w:val="single" w:sz="8" w:color="auto"/>
            </w:tcBorders>
            <w:shd w:val="clear" w:color="auto" w:fill="CCCCFF"/>
          </w:tcPr>
          <w:p>
            <w:pPr>
              <w:spacing w:after="0"/>
              <w:rPr>
                <w:sz w:val="19"/>
                <w:szCs w:val="19"/>
                <w:color w:val="auto"/>
              </w:rPr>
            </w:pPr>
          </w:p>
        </w:tc>
        <w:tc>
          <w:tcPr>
            <w:tcW w:w="120" w:type="dxa"/>
            <w:vAlign w:val="bottom"/>
            <w:tcBorders>
              <w:top w:val="single" w:sz="8" w:color="CCCCFF"/>
              <w:bottom w:val="single" w:sz="8" w:color="auto"/>
            </w:tcBorders>
            <w:shd w:val="clear" w:color="auto" w:fill="CCCCFF"/>
          </w:tcPr>
          <w:p>
            <w:pPr>
              <w:spacing w:after="0"/>
              <w:rPr>
                <w:sz w:val="19"/>
                <w:szCs w:val="19"/>
                <w:color w:val="auto"/>
              </w:rPr>
            </w:pPr>
          </w:p>
        </w:tc>
        <w:tc>
          <w:tcPr>
            <w:tcW w:w="20" w:type="dxa"/>
            <w:vAlign w:val="bottom"/>
            <w:tcBorders>
              <w:top w:val="single" w:sz="8" w:color="CCCCFF"/>
              <w:bottom w:val="single" w:sz="8" w:color="auto"/>
            </w:tcBorders>
            <w:shd w:val="clear" w:color="auto" w:fill="CCCCFF"/>
          </w:tcPr>
          <w:p>
            <w:pPr>
              <w:spacing w:after="0"/>
              <w:rPr>
                <w:sz w:val="19"/>
                <w:szCs w:val="19"/>
                <w:color w:val="auto"/>
              </w:rPr>
            </w:pPr>
          </w:p>
        </w:tc>
        <w:tc>
          <w:tcPr>
            <w:tcW w:w="60" w:type="dxa"/>
            <w:vAlign w:val="bottom"/>
            <w:tcBorders>
              <w:top w:val="single" w:sz="8" w:color="CCCCFF"/>
              <w:bottom w:val="single" w:sz="8" w:color="auto"/>
            </w:tcBorders>
            <w:shd w:val="clear" w:color="auto" w:fill="CCCCFF"/>
          </w:tcPr>
          <w:p>
            <w:pPr>
              <w:spacing w:after="0"/>
              <w:rPr>
                <w:sz w:val="19"/>
                <w:szCs w:val="19"/>
                <w:color w:val="auto"/>
              </w:rPr>
            </w:pPr>
          </w:p>
        </w:tc>
        <w:tc>
          <w:tcPr>
            <w:tcW w:w="80" w:type="dxa"/>
            <w:vAlign w:val="bottom"/>
            <w:tcBorders>
              <w:top w:val="single" w:sz="8" w:color="CCCCFF"/>
              <w:bottom w:val="single" w:sz="8" w:color="auto"/>
            </w:tcBorders>
            <w:shd w:val="clear" w:color="auto" w:fill="CCCCFF"/>
          </w:tcPr>
          <w:p>
            <w:pPr>
              <w:spacing w:after="0"/>
              <w:rPr>
                <w:sz w:val="19"/>
                <w:szCs w:val="19"/>
                <w:color w:val="auto"/>
              </w:rPr>
            </w:pPr>
          </w:p>
        </w:tc>
        <w:tc>
          <w:tcPr>
            <w:tcW w:w="1540" w:type="dxa"/>
            <w:vAlign w:val="bottom"/>
            <w:tcBorders>
              <w:top w:val="single" w:sz="8" w:color="CCCCFF"/>
              <w:bottom w:val="single" w:sz="8" w:color="auto"/>
              <w:right w:val="single" w:sz="8" w:color="auto"/>
            </w:tcBorders>
            <w:shd w:val="clear" w:color="auto" w:fill="CCCCFF"/>
          </w:tcPr>
          <w:p>
            <w:pPr>
              <w:spacing w:after="0"/>
              <w:rPr>
                <w:sz w:val="19"/>
                <w:szCs w:val="19"/>
                <w:color w:val="auto"/>
              </w:rPr>
            </w:pPr>
          </w:p>
        </w:tc>
        <w:tc>
          <w:tcPr>
            <w:tcW w:w="80" w:type="dxa"/>
            <w:vAlign w:val="bottom"/>
            <w:tcBorders>
              <w:top w:val="single" w:sz="8" w:color="CCCCFF"/>
              <w:bottom w:val="single" w:sz="8" w:color="auto"/>
            </w:tcBorders>
            <w:shd w:val="clear" w:color="auto" w:fill="CCCCFF"/>
          </w:tcPr>
          <w:p>
            <w:pPr>
              <w:spacing w:after="0"/>
              <w:rPr>
                <w:sz w:val="19"/>
                <w:szCs w:val="19"/>
                <w:color w:val="auto"/>
              </w:rPr>
            </w:pPr>
          </w:p>
        </w:tc>
        <w:tc>
          <w:tcPr>
            <w:tcW w:w="520" w:type="dxa"/>
            <w:vAlign w:val="bottom"/>
            <w:tcBorders>
              <w:top w:val="single" w:sz="8" w:color="0000FF"/>
              <w:bottom w:val="single" w:sz="8" w:color="auto"/>
            </w:tcBorders>
            <w:gridSpan w:val="4"/>
            <w:shd w:val="clear" w:color="auto" w:fill="CCCCFF"/>
          </w:tcPr>
          <w:p>
            <w:pPr>
              <w:spacing w:after="0"/>
              <w:rPr>
                <w:sz w:val="20"/>
                <w:szCs w:val="20"/>
                <w:color w:val="auto"/>
              </w:rPr>
            </w:pPr>
            <w:r>
              <w:rPr>
                <w:rFonts w:ascii="Arial" w:cs="Arial" w:eastAsia="Arial" w:hAnsi="Arial"/>
                <w:sz w:val="15"/>
                <w:szCs w:val="15"/>
                <w:b w:val="1"/>
                <w:bCs w:val="1"/>
                <w:color w:val="0000FF"/>
              </w:rPr>
              <w:t>Loans</w:t>
            </w:r>
          </w:p>
        </w:tc>
        <w:tc>
          <w:tcPr>
            <w:tcW w:w="140" w:type="dxa"/>
            <w:vAlign w:val="bottom"/>
            <w:tcBorders>
              <w:top w:val="single" w:sz="8" w:color="CCCCFF"/>
              <w:bottom w:val="single" w:sz="8" w:color="auto"/>
            </w:tcBorders>
            <w:shd w:val="clear" w:color="auto" w:fill="CCCCFF"/>
          </w:tcPr>
          <w:p>
            <w:pPr>
              <w:spacing w:after="0"/>
              <w:rPr>
                <w:sz w:val="19"/>
                <w:szCs w:val="19"/>
                <w:color w:val="auto"/>
              </w:rPr>
            </w:pPr>
          </w:p>
        </w:tc>
        <w:tc>
          <w:tcPr>
            <w:tcW w:w="620" w:type="dxa"/>
            <w:vAlign w:val="bottom"/>
            <w:tcBorders>
              <w:top w:val="single" w:sz="8" w:color="0000FF"/>
              <w:bottom w:val="single" w:sz="8" w:color="auto"/>
            </w:tcBorders>
            <w:gridSpan w:val="5"/>
            <w:shd w:val="clear" w:color="auto" w:fill="CCCCFF"/>
          </w:tcPr>
          <w:p>
            <w:pPr>
              <w:spacing w:after="0"/>
              <w:rPr>
                <w:sz w:val="19"/>
                <w:szCs w:val="19"/>
                <w:color w:val="auto"/>
              </w:rPr>
            </w:pPr>
          </w:p>
        </w:tc>
        <w:tc>
          <w:tcPr>
            <w:tcW w:w="1020" w:type="dxa"/>
            <w:vAlign w:val="bottom"/>
            <w:tcBorders>
              <w:top w:val="single" w:sz="8" w:color="CCCCFF"/>
              <w:bottom w:val="single" w:sz="8" w:color="auto"/>
              <w:right w:val="single" w:sz="8" w:color="auto"/>
            </w:tcBorders>
            <w:shd w:val="clear" w:color="auto" w:fill="CCCCFF"/>
          </w:tcPr>
          <w:p>
            <w:pPr>
              <w:spacing w:after="0"/>
              <w:rPr>
                <w:sz w:val="19"/>
                <w:szCs w:val="19"/>
                <w:color w:val="auto"/>
              </w:rPr>
            </w:pPr>
          </w:p>
        </w:tc>
      </w:tr>
    </w:tbl>
    <w:p>
      <w:pPr>
        <w:spacing w:after="0" w:line="363" w:lineRule="exact"/>
        <w:rPr>
          <w:sz w:val="20"/>
          <w:szCs w:val="20"/>
          <w:color w:val="auto"/>
        </w:rPr>
      </w:pPr>
    </w:p>
    <w:p>
      <w:pPr>
        <w:ind w:left="500"/>
        <w:spacing w:after="0"/>
        <w:rPr>
          <w:sz w:val="20"/>
          <w:szCs w:val="20"/>
          <w:color w:val="auto"/>
        </w:rPr>
      </w:pPr>
      <w:r>
        <w:rPr>
          <w:rFonts w:ascii="Arial" w:cs="Arial" w:eastAsia="Arial" w:hAnsi="Arial"/>
          <w:sz w:val="16"/>
          <w:szCs w:val="16"/>
          <w:b w:val="1"/>
          <w:bCs w:val="1"/>
          <w:u w:val="single" w:color="auto"/>
          <w:color w:val="0000FF"/>
        </w:rPr>
        <w:t>If not sooner paid, the Term Loans shall be paid in full, together with accrued interes</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thereon</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 xml:space="preserve">m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Maturit</w:t>
      </w:r>
      <w:r>
        <w:rPr>
          <w:rFonts w:ascii="Arial" w:cs="Arial" w:eastAsia="Arial" w:hAnsi="Arial"/>
          <w:sz w:val="16"/>
          <w:szCs w:val="16"/>
          <w:b w:val="1"/>
          <w:bCs w:val="1"/>
          <w:color w:val="0000FF"/>
        </w:rPr>
        <w:t>y Date.</w:t>
      </w:r>
    </w:p>
    <w:p>
      <w:pPr>
        <w:spacing w:after="0" w:line="170" w:lineRule="exact"/>
        <w:rPr>
          <w:sz w:val="20"/>
          <w:szCs w:val="20"/>
          <w:color w:val="auto"/>
        </w:rPr>
      </w:pPr>
    </w:p>
    <w:p>
      <w:pPr>
        <w:jc w:val="both"/>
        <w:ind w:left="20" w:firstLine="487"/>
        <w:spacing w:after="0" w:line="226" w:lineRule="auto"/>
        <w:tabs>
          <w:tab w:leader="none" w:pos="909" w:val="left"/>
        </w:tabs>
        <w:numPr>
          <w:ilvl w:val="0"/>
          <w:numId w:val="74"/>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Mandator</w:t>
      </w:r>
      <w:r>
        <w:rPr>
          <w:rFonts w:ascii="Arial" w:cs="Arial" w:eastAsia="Arial" w:hAnsi="Arial"/>
          <w:sz w:val="16"/>
          <w:szCs w:val="16"/>
          <w:b w:val="1"/>
          <w:bCs w:val="1"/>
          <w:color w:val="0000FF"/>
        </w:rPr>
        <w:t>y P</w:t>
      </w:r>
      <w:r>
        <w:rPr>
          <w:rFonts w:ascii="Arial" w:cs="Arial" w:eastAsia="Arial" w:hAnsi="Arial"/>
          <w:sz w:val="16"/>
          <w:szCs w:val="16"/>
          <w:b w:val="1"/>
          <w:bCs w:val="1"/>
          <w:u w:val="single" w:color="auto"/>
          <w:color w:val="0000FF"/>
        </w:rPr>
        <w:t>repaymen</w:t>
      </w:r>
      <w:r>
        <w:rPr>
          <w:rFonts w:ascii="Arial" w:cs="Arial" w:eastAsia="Arial" w:hAnsi="Arial"/>
          <w:sz w:val="16"/>
          <w:szCs w:val="16"/>
          <w:b w:val="1"/>
          <w:bCs w:val="1"/>
          <w:color w:val="0000FF"/>
        </w:rPr>
        <w:t>t of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oans</w:t>
      </w:r>
      <w:r>
        <w:rPr>
          <w:rFonts w:ascii="Arial" w:cs="Arial" w:eastAsia="Arial" w:hAnsi="Arial"/>
          <w:sz w:val="16"/>
          <w:szCs w:val="16"/>
          <w:b w:val="1"/>
          <w:bCs w:val="1"/>
          <w:color w:val="0000FF"/>
        </w:rPr>
        <w:t>.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C</w:t>
      </w:r>
      <w:r>
        <w:rPr>
          <w:rFonts w:ascii="Arial" w:cs="Arial" w:eastAsia="Arial" w:hAnsi="Arial"/>
          <w:sz w:val="16"/>
          <w:szCs w:val="16"/>
          <w:b w:val="1"/>
          <w:bCs w:val="1"/>
          <w:u w:val="single" w:color="auto"/>
          <w:color w:val="0000FF"/>
        </w:rPr>
        <w:t>ompan</w:t>
      </w:r>
      <w:r>
        <w:rPr>
          <w:rFonts w:ascii="Arial" w:cs="Arial" w:eastAsia="Arial" w:hAnsi="Arial"/>
          <w:sz w:val="16"/>
          <w:szCs w:val="16"/>
          <w:b w:val="1"/>
          <w:bCs w:val="1"/>
          <w:color w:val="0000FF"/>
        </w:rPr>
        <w:t>y s</w:t>
      </w:r>
      <w:r>
        <w:rPr>
          <w:rFonts w:ascii="Arial" w:cs="Arial" w:eastAsia="Arial" w:hAnsi="Arial"/>
          <w:sz w:val="16"/>
          <w:szCs w:val="16"/>
          <w:b w:val="1"/>
          <w:bCs w:val="1"/>
          <w:u w:val="single" w:color="auto"/>
          <w:color w:val="0000FF"/>
        </w:rPr>
        <w:t>hal</w:t>
      </w:r>
      <w:r>
        <w:rPr>
          <w:rFonts w:ascii="Arial" w:cs="Arial" w:eastAsia="Arial" w:hAnsi="Arial"/>
          <w:sz w:val="16"/>
          <w:szCs w:val="16"/>
          <w:b w:val="1"/>
          <w:bCs w:val="1"/>
          <w:color w:val="0000FF"/>
        </w:rPr>
        <w:t xml:space="preserve">l make </w:t>
      </w:r>
      <w:r>
        <w:rPr>
          <w:rFonts w:ascii="Arial" w:cs="Arial" w:eastAsia="Arial" w:hAnsi="Arial"/>
          <w:sz w:val="16"/>
          <w:szCs w:val="16"/>
          <w:b w:val="1"/>
          <w:bCs w:val="1"/>
          <w:u w:val="single" w:color="auto"/>
          <w:color w:val="0000FF"/>
        </w:rPr>
        <w:t>mandatory principal prepayments of the Advances in the manner set forth in</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clause (c) below in an amount equal to one hundred percent (100%) of the aggregate net proceeds from any Debt Issuance other than any Debt Issuance permitted by Section 5.02(d). Such prepayment shall be made within three (3) Business Days after the date of receipt of the net proceed</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f </w:t>
      </w:r>
      <w:r>
        <w:rPr>
          <w:rFonts w:ascii="Arial" w:cs="Arial" w:eastAsia="Arial" w:hAnsi="Arial"/>
          <w:sz w:val="16"/>
          <w:szCs w:val="16"/>
          <w:b w:val="1"/>
          <w:bCs w:val="1"/>
          <w:u w:val="single" w:color="auto"/>
          <w:color w:val="0000FF"/>
        </w:rPr>
        <w:t>an</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suc</w:t>
      </w:r>
      <w:r>
        <w:rPr>
          <w:rFonts w:ascii="Arial" w:cs="Arial" w:eastAsia="Arial" w:hAnsi="Arial"/>
          <w:sz w:val="16"/>
          <w:szCs w:val="16"/>
          <w:b w:val="1"/>
          <w:bCs w:val="1"/>
          <w:color w:val="0000FF"/>
        </w:rPr>
        <w:t xml:space="preserve">h </w:t>
      </w:r>
      <w:r>
        <w:rPr>
          <w:rFonts w:ascii="Arial" w:cs="Arial" w:eastAsia="Arial" w:hAnsi="Arial"/>
          <w:sz w:val="16"/>
          <w:szCs w:val="16"/>
          <w:b w:val="1"/>
          <w:bCs w:val="1"/>
          <w:u w:val="single" w:color="auto"/>
          <w:color w:val="0000FF"/>
        </w:rPr>
        <w:t>Deb</w:t>
      </w:r>
      <w:r>
        <w:rPr>
          <w:rFonts w:ascii="Arial" w:cs="Arial" w:eastAsia="Arial" w:hAnsi="Arial"/>
          <w:sz w:val="16"/>
          <w:szCs w:val="16"/>
          <w:b w:val="1"/>
          <w:bCs w:val="1"/>
          <w:color w:val="0000FF"/>
        </w:rPr>
        <w:t>t Issuance.</w:t>
      </w:r>
    </w:p>
    <w:p>
      <w:pPr>
        <w:spacing w:after="0" w:line="145" w:lineRule="exact"/>
        <w:rPr>
          <w:rFonts w:ascii="Arial" w:cs="Arial" w:eastAsia="Arial" w:hAnsi="Arial"/>
          <w:sz w:val="16"/>
          <w:szCs w:val="16"/>
          <w:b w:val="1"/>
          <w:bCs w:val="1"/>
          <w:u w:val="single" w:color="auto"/>
          <w:color w:val="0000FF"/>
        </w:rPr>
      </w:pPr>
    </w:p>
    <w:p>
      <w:pPr>
        <w:ind w:left="20" w:right="20" w:firstLine="487"/>
        <w:spacing w:after="0" w:line="244" w:lineRule="auto"/>
        <w:tabs>
          <w:tab w:leader="none" w:pos="910" w:val="left"/>
        </w:tabs>
        <w:numPr>
          <w:ilvl w:val="0"/>
          <w:numId w:val="74"/>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Notice</w:t>
      </w:r>
      <w:r>
        <w:rPr>
          <w:rFonts w:ascii="Arial" w:cs="Arial" w:eastAsia="Arial" w:hAnsi="Arial"/>
          <w:sz w:val="16"/>
          <w:szCs w:val="16"/>
          <w:b w:val="1"/>
          <w:bCs w:val="1"/>
          <w:color w:val="0000FF"/>
        </w:rPr>
        <w:t>; M</w:t>
      </w:r>
      <w:r>
        <w:rPr>
          <w:rFonts w:ascii="Arial" w:cs="Arial" w:eastAsia="Arial" w:hAnsi="Arial"/>
          <w:sz w:val="16"/>
          <w:szCs w:val="16"/>
          <w:b w:val="1"/>
          <w:bCs w:val="1"/>
          <w:u w:val="single" w:color="auto"/>
          <w:color w:val="0000FF"/>
        </w:rPr>
        <w:t>anne</w:t>
      </w:r>
      <w:r>
        <w:rPr>
          <w:rFonts w:ascii="Arial" w:cs="Arial" w:eastAsia="Arial" w:hAnsi="Arial"/>
          <w:sz w:val="16"/>
          <w:szCs w:val="16"/>
          <w:b w:val="1"/>
          <w:bCs w:val="1"/>
          <w:color w:val="0000FF"/>
        </w:rPr>
        <w:t>r of P</w:t>
      </w:r>
      <w:r>
        <w:rPr>
          <w:rFonts w:ascii="Arial" w:cs="Arial" w:eastAsia="Arial" w:hAnsi="Arial"/>
          <w:sz w:val="16"/>
          <w:szCs w:val="16"/>
          <w:b w:val="1"/>
          <w:bCs w:val="1"/>
          <w:u w:val="single" w:color="auto"/>
          <w:color w:val="0000FF"/>
        </w:rPr>
        <w:t>ayment</w:t>
      </w:r>
      <w:r>
        <w:rPr>
          <w:rFonts w:ascii="Arial" w:cs="Arial" w:eastAsia="Arial" w:hAnsi="Arial"/>
          <w:sz w:val="16"/>
          <w:szCs w:val="16"/>
          <w:b w:val="1"/>
          <w:bCs w:val="1"/>
          <w:color w:val="0000FF"/>
        </w:rPr>
        <w:t>. U</w:t>
      </w:r>
      <w:r>
        <w:rPr>
          <w:rFonts w:ascii="Arial" w:cs="Arial" w:eastAsia="Arial" w:hAnsi="Arial"/>
          <w:sz w:val="16"/>
          <w:szCs w:val="16"/>
          <w:b w:val="1"/>
          <w:bCs w:val="1"/>
          <w:u w:val="single" w:color="auto"/>
          <w:color w:val="0000FF"/>
        </w:rPr>
        <w:t>po</w:t>
      </w:r>
      <w:r>
        <w:rPr>
          <w:rFonts w:ascii="Arial" w:cs="Arial" w:eastAsia="Arial" w:hAnsi="Arial"/>
          <w:sz w:val="16"/>
          <w:szCs w:val="16"/>
          <w:b w:val="1"/>
          <w:bCs w:val="1"/>
          <w:color w:val="0000FF"/>
        </w:rPr>
        <w:t>n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o</w:t>
      </w:r>
      <w:r>
        <w:rPr>
          <w:rFonts w:ascii="Arial" w:cs="Arial" w:eastAsia="Arial" w:hAnsi="Arial"/>
          <w:sz w:val="16"/>
          <w:szCs w:val="16"/>
          <w:b w:val="1"/>
          <w:bCs w:val="1"/>
          <w:u w:val="single" w:color="auto"/>
          <w:color w:val="0000FF"/>
        </w:rPr>
        <w:t>ccurrenc</w:t>
      </w:r>
      <w:r>
        <w:rPr>
          <w:rFonts w:ascii="Arial" w:cs="Arial" w:eastAsia="Arial" w:hAnsi="Arial"/>
          <w:sz w:val="16"/>
          <w:szCs w:val="16"/>
          <w:b w:val="1"/>
          <w:bCs w:val="1"/>
          <w:color w:val="0000FF"/>
        </w:rPr>
        <w:t>e of a</w:t>
      </w:r>
      <w:r>
        <w:rPr>
          <w:rFonts w:ascii="Arial" w:cs="Arial" w:eastAsia="Arial" w:hAnsi="Arial"/>
          <w:sz w:val="16"/>
          <w:szCs w:val="16"/>
          <w:b w:val="1"/>
          <w:bCs w:val="1"/>
          <w:u w:val="single" w:color="auto"/>
          <w:color w:val="0000FF"/>
        </w:rPr>
        <w:t>n</w:t>
      </w:r>
      <w:r>
        <w:rPr>
          <w:rFonts w:ascii="Arial" w:cs="Arial" w:eastAsia="Arial" w:hAnsi="Arial"/>
          <w:sz w:val="16"/>
          <w:szCs w:val="16"/>
          <w:b w:val="1"/>
          <w:bCs w:val="1"/>
          <w:color w:val="0000FF"/>
        </w:rPr>
        <w:t>y e</w:t>
      </w:r>
      <w:r>
        <w:rPr>
          <w:rFonts w:ascii="Arial" w:cs="Arial" w:eastAsia="Arial" w:hAnsi="Arial"/>
          <w:sz w:val="16"/>
          <w:szCs w:val="16"/>
          <w:b w:val="1"/>
          <w:bCs w:val="1"/>
          <w:u w:val="single" w:color="auto"/>
          <w:color w:val="0000FF"/>
        </w:rPr>
        <w:t>ven</w:t>
      </w:r>
      <w:r>
        <w:rPr>
          <w:rFonts w:ascii="Arial" w:cs="Arial" w:eastAsia="Arial" w:hAnsi="Arial"/>
          <w:sz w:val="16"/>
          <w:szCs w:val="16"/>
          <w:b w:val="1"/>
          <w:bCs w:val="1"/>
          <w:color w:val="0000FF"/>
        </w:rPr>
        <w:t>t triggering the p</w:t>
      </w:r>
      <w:r>
        <w:rPr>
          <w:rFonts w:ascii="Arial" w:cs="Arial" w:eastAsia="Arial" w:hAnsi="Arial"/>
          <w:sz w:val="16"/>
          <w:szCs w:val="16"/>
          <w:b w:val="1"/>
          <w:bCs w:val="1"/>
          <w:u w:val="single" w:color="auto"/>
          <w:color w:val="0000FF"/>
        </w:rPr>
        <w:t>repaymen</w:t>
      </w:r>
      <w:r>
        <w:rPr>
          <w:rFonts w:ascii="Arial" w:cs="Arial" w:eastAsia="Arial" w:hAnsi="Arial"/>
          <w:sz w:val="16"/>
          <w:szCs w:val="16"/>
          <w:b w:val="1"/>
          <w:bCs w:val="1"/>
          <w:color w:val="0000FF"/>
        </w:rPr>
        <w:t>t r</w:t>
      </w:r>
      <w:r>
        <w:rPr>
          <w:rFonts w:ascii="Arial" w:cs="Arial" w:eastAsia="Arial" w:hAnsi="Arial"/>
          <w:sz w:val="16"/>
          <w:szCs w:val="16"/>
          <w:b w:val="1"/>
          <w:bCs w:val="1"/>
          <w:u w:val="single" w:color="auto"/>
          <w:color w:val="0000FF"/>
        </w:rPr>
        <w:t>equiremen</w:t>
      </w:r>
      <w:r>
        <w:rPr>
          <w:rFonts w:ascii="Arial" w:cs="Arial" w:eastAsia="Arial" w:hAnsi="Arial"/>
          <w:sz w:val="16"/>
          <w:szCs w:val="16"/>
          <w:b w:val="1"/>
          <w:bCs w:val="1"/>
          <w:color w:val="0000FF"/>
        </w:rPr>
        <w:t>t u</w:t>
      </w:r>
      <w:r>
        <w:rPr>
          <w:rFonts w:ascii="Arial" w:cs="Arial" w:eastAsia="Arial" w:hAnsi="Arial"/>
          <w:sz w:val="16"/>
          <w:szCs w:val="16"/>
          <w:b w:val="1"/>
          <w:bCs w:val="1"/>
          <w:u w:val="single" w:color="auto"/>
          <w:color w:val="0000FF"/>
        </w:rPr>
        <w:t>nde</w:t>
      </w:r>
      <w:r>
        <w:rPr>
          <w:rFonts w:ascii="Arial" w:cs="Arial" w:eastAsia="Arial" w:hAnsi="Arial"/>
          <w:sz w:val="16"/>
          <w:szCs w:val="16"/>
          <w:b w:val="1"/>
          <w:bCs w:val="1"/>
          <w:color w:val="0000FF"/>
        </w:rPr>
        <w:t>r p</w:t>
      </w:r>
      <w:r>
        <w:rPr>
          <w:rFonts w:ascii="Arial" w:cs="Arial" w:eastAsia="Arial" w:hAnsi="Arial"/>
          <w:sz w:val="16"/>
          <w:szCs w:val="16"/>
          <w:b w:val="1"/>
          <w:bCs w:val="1"/>
          <w:u w:val="single" w:color="auto"/>
          <w:color w:val="0000FF"/>
        </w:rPr>
        <w:t>aragrap</w:t>
      </w:r>
      <w:r>
        <w:rPr>
          <w:rFonts w:ascii="Arial" w:cs="Arial" w:eastAsia="Arial" w:hAnsi="Arial"/>
          <w:sz w:val="16"/>
          <w:szCs w:val="16"/>
          <w:b w:val="1"/>
          <w:bCs w:val="1"/>
          <w:color w:val="0000FF"/>
        </w:rPr>
        <w:t>h (</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 a</w:t>
      </w:r>
      <w:r>
        <w:rPr>
          <w:rFonts w:ascii="Arial" w:cs="Arial" w:eastAsia="Arial" w:hAnsi="Arial"/>
          <w:sz w:val="16"/>
          <w:szCs w:val="16"/>
          <w:b w:val="1"/>
          <w:bCs w:val="1"/>
          <w:u w:val="single" w:color="auto"/>
          <w:color w:val="0000FF"/>
        </w:rPr>
        <w:t>bove</w:t>
      </w:r>
      <w:r>
        <w:rPr>
          <w:rFonts w:ascii="Arial" w:cs="Arial" w:eastAsia="Arial" w:hAnsi="Arial"/>
          <w:sz w:val="16"/>
          <w:szCs w:val="16"/>
          <w:b w:val="1"/>
          <w:bCs w:val="1"/>
          <w:color w:val="0000FF"/>
        </w:rPr>
        <w:t>,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C</w:t>
      </w:r>
      <w:r>
        <w:rPr>
          <w:rFonts w:ascii="Arial" w:cs="Arial" w:eastAsia="Arial" w:hAnsi="Arial"/>
          <w:sz w:val="16"/>
          <w:szCs w:val="16"/>
          <w:b w:val="1"/>
          <w:bCs w:val="1"/>
          <w:u w:val="single" w:color="auto"/>
          <w:color w:val="0000FF"/>
        </w:rPr>
        <w:t>ompan</w:t>
      </w:r>
      <w:r>
        <w:rPr>
          <w:rFonts w:ascii="Arial" w:cs="Arial" w:eastAsia="Arial" w:hAnsi="Arial"/>
          <w:sz w:val="16"/>
          <w:szCs w:val="16"/>
          <w:b w:val="1"/>
          <w:bCs w:val="1"/>
          <w:color w:val="0000FF"/>
        </w:rPr>
        <w:t>y s</w:t>
      </w:r>
      <w:r>
        <w:rPr>
          <w:rFonts w:ascii="Arial" w:cs="Arial" w:eastAsia="Arial" w:hAnsi="Arial"/>
          <w:sz w:val="16"/>
          <w:szCs w:val="16"/>
          <w:b w:val="1"/>
          <w:bCs w:val="1"/>
          <w:u w:val="single" w:color="auto"/>
          <w:color w:val="0000FF"/>
        </w:rPr>
        <w:t>hal</w:t>
      </w:r>
      <w:r>
        <w:rPr>
          <w:rFonts w:ascii="Arial" w:cs="Arial" w:eastAsia="Arial" w:hAnsi="Arial"/>
          <w:sz w:val="16"/>
          <w:szCs w:val="16"/>
          <w:b w:val="1"/>
          <w:bCs w:val="1"/>
          <w:color w:val="0000FF"/>
        </w:rPr>
        <w:t>l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-127635</wp:posOffset>
            </wp:positionV>
            <wp:extent cx="12128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121285" cy="63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13" w:name="page114"/>
    <w:bookmarkEnd w:id="113"/>
    <w:p>
      <w:pPr>
        <w:jc w:val="both"/>
        <w:ind w:left="20"/>
        <w:spacing w:after="0" w:line="226" w:lineRule="auto"/>
        <w:rPr>
          <w:sz w:val="20"/>
          <w:szCs w:val="20"/>
          <w:color w:val="auto"/>
        </w:rPr>
      </w:pPr>
      <w:r>
        <w:rPr>
          <w:rFonts w:ascii="Arial" w:cs="Arial" w:eastAsia="Arial" w:hAnsi="Arial"/>
          <w:sz w:val="16"/>
          <w:szCs w:val="16"/>
          <w:b w:val="1"/>
          <w:bCs w:val="1"/>
          <w:u w:val="single" w:color="auto"/>
          <w:color w:val="0000FF"/>
        </w:rPr>
        <w:t>deliver notice thereof to the Administrative Agent and upon receipt of such notice, the Administrative Agent shall promptly so notify the Lenders. Each prepayment of the Loans under this Section shall be applied as follows: first, ratably to the Term Loans to reduce on a pro rata basis the remaining scheduled principal installments of the Term Loans (including the final installment thereof) pursuant to Section 2.08(a) and (ii) second, to the extent of any excess, to reduce the Revolving Advances without a corresponding reduction</w:t>
      </w:r>
      <w:r>
        <w:rPr>
          <w:rFonts w:ascii="Arial" w:cs="Arial" w:eastAsia="Arial" w:hAnsi="Arial"/>
          <w:sz w:val="16"/>
          <w:szCs w:val="16"/>
          <w:b w:val="1"/>
          <w:bCs w:val="1"/>
          <w:color w:val="0000FF"/>
        </w:rPr>
        <w:t xml:space="preserve"> in the Commitments.</w:t>
      </w:r>
    </w:p>
    <w:p>
      <w:pPr>
        <w:spacing w:after="0" w:line="146" w:lineRule="exact"/>
        <w:rPr>
          <w:sz w:val="20"/>
          <w:szCs w:val="20"/>
          <w:color w:val="auto"/>
        </w:rPr>
      </w:pPr>
    </w:p>
    <w:p>
      <w:pPr>
        <w:ind w:left="500" w:right="2200" w:firstLine="492"/>
        <w:spacing w:after="0" w:line="457" w:lineRule="auto"/>
        <w:tabs>
          <w:tab w:leader="none" w:pos="1389" w:val="left"/>
        </w:tabs>
        <w:numPr>
          <w:ilvl w:val="0"/>
          <w:numId w:val="75"/>
        </w:numPr>
        <w:rPr>
          <w:rFonts w:ascii="Arial" w:cs="Arial" w:eastAsia="Arial" w:hAnsi="Arial"/>
          <w:sz w:val="15"/>
          <w:szCs w:val="15"/>
          <w:b w:val="1"/>
          <w:bCs w:val="1"/>
          <w:color w:val="0000FF"/>
        </w:rPr>
      </w:pPr>
      <w:r>
        <w:rPr>
          <w:rFonts w:ascii="Arial" w:cs="Arial" w:eastAsia="Arial" w:hAnsi="Arial"/>
          <w:sz w:val="16"/>
          <w:szCs w:val="16"/>
          <w:b w:val="1"/>
          <w:bCs w:val="1"/>
          <w:color w:val="0000FF"/>
        </w:rPr>
        <w:t xml:space="preserve">No Reborrowings. Amounts prepaid under the Term Loans pursuant to </w:t>
      </w:r>
      <w:r>
        <w:rPr>
          <w:rFonts w:ascii="Arial" w:cs="Arial" w:eastAsia="Arial" w:hAnsi="Arial"/>
          <w:sz w:val="16"/>
          <w:szCs w:val="16"/>
          <w:b w:val="1"/>
          <w:bCs w:val="1"/>
          <w:u w:val="single" w:color="auto"/>
          <w:color w:val="0000FF"/>
        </w:rPr>
        <w:t>thi</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Sectio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ma</w:t>
      </w:r>
      <w:r>
        <w:rPr>
          <w:rFonts w:ascii="Arial" w:cs="Arial" w:eastAsia="Arial" w:hAnsi="Arial"/>
          <w:sz w:val="16"/>
          <w:szCs w:val="16"/>
          <w:b w:val="1"/>
          <w:bCs w:val="1"/>
          <w:color w:val="0000FF"/>
        </w:rPr>
        <w:t xml:space="preserve">y </w:t>
      </w:r>
      <w:r>
        <w:rPr>
          <w:rFonts w:ascii="Arial" w:cs="Arial" w:eastAsia="Arial" w:hAnsi="Arial"/>
          <w:sz w:val="16"/>
          <w:szCs w:val="16"/>
          <w:b w:val="1"/>
          <w:bCs w:val="1"/>
          <w:u w:val="single" w:color="auto"/>
          <w:color w:val="0000FF"/>
        </w:rPr>
        <w:t>no</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e reborrowed</w:t>
      </w:r>
      <w:r>
        <w:rPr>
          <w:rFonts w:ascii="Arial" w:cs="Arial" w:eastAsia="Arial" w:hAnsi="Arial"/>
          <w:sz w:val="16"/>
          <w:szCs w:val="16"/>
          <w:color w:val="010101"/>
        </w:rPr>
        <w:t>.</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SECTION 2.09. </w:t>
      </w:r>
      <w:r>
        <w:rPr>
          <w:rFonts w:ascii="Arial" w:cs="Arial" w:eastAsia="Arial" w:hAnsi="Arial"/>
          <w:sz w:val="16"/>
          <w:szCs w:val="16"/>
          <w:u w:val="single" w:color="auto"/>
          <w:color w:val="010101"/>
        </w:rPr>
        <w:t>Optional Conversion of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-335280</wp:posOffset>
            </wp:positionV>
            <wp:extent cx="5969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59690" cy="6350"/>
                    </a:xfrm>
                    <a:prstGeom prst="rect">
                      <a:avLst/>
                    </a:prstGeom>
                    <a:noFill/>
                  </pic:spPr>
                </pic:pic>
              </a:graphicData>
            </a:graphic>
          </wp:anchor>
        </w:drawing>
      </w:r>
    </w:p>
    <w:p>
      <w:pPr>
        <w:ind w:left="20" w:right="40" w:firstLine="487"/>
        <w:spacing w:after="0" w:line="244" w:lineRule="auto"/>
        <w:tabs>
          <w:tab w:leader="none" w:pos="583" w:val="left"/>
        </w:tabs>
        <w:numPr>
          <w:ilvl w:val="0"/>
          <w:numId w:val="76"/>
        </w:numPr>
        <w:rPr>
          <w:rFonts w:ascii="Arial" w:cs="Arial" w:eastAsia="Arial" w:hAnsi="Arial"/>
          <w:sz w:val="14"/>
          <w:szCs w:val="14"/>
          <w:color w:val="010101"/>
        </w:rPr>
      </w:pPr>
      <w:r>
        <w:rPr>
          <w:rFonts w:ascii="Arial" w:cs="Arial" w:eastAsia="Arial" w:hAnsi="Arial"/>
          <w:sz w:val="14"/>
          <w:szCs w:val="14"/>
          <w:color w:val="010101"/>
        </w:rPr>
        <w:t>The Company may, on behalf of one or more Borrowers, upon notice in substantially the form of Exhibit B-2 hereto (or such other form as shall be reasonably acceptable to the Administrative Agent) (a “</w:t>
      </w:r>
      <w:r>
        <w:rPr>
          <w:rFonts w:ascii="Arial" w:cs="Arial" w:eastAsia="Arial" w:hAnsi="Arial"/>
          <w:sz w:val="14"/>
          <w:szCs w:val="14"/>
          <w:u w:val="single" w:color="auto"/>
          <w:color w:val="010101"/>
        </w:rPr>
        <w:t>Notice of Continuation/Conversion</w:t>
      </w:r>
      <w:r>
        <w:rPr>
          <w:rFonts w:ascii="Arial" w:cs="Arial" w:eastAsia="Arial" w:hAnsi="Arial"/>
          <w:sz w:val="14"/>
          <w:szCs w:val="14"/>
          <w:color w:val="010101"/>
        </w:rPr>
        <w:t xml:space="preserve">”) given to the Administrative Agent not later than 11:00 A.M. (New York City time) (i) in the case of an Advance denominated in US Dollars that is to be a Term SOFR Advance, at least three RFR Business Days before the day on which a proposed conversion or continuation of such Advance is to be effective, (ii) in the case of an Advance denominated in any Foreign Currency that is to be an RFR Advance, at least five RFR Business Days before the day on which a proposed conversion or continuation of such Advance is to be effective, and (iii) in the case of an Advance denominated in any Foreign Currency that is to be a Eurocurrency Rate Advance, at least four (4) Eurocurrency Banking Days (or five (5) Eurocurrency Banking Days in the case of a Special Notice Currency) before the day on which a proposed conversion or continuation of such Advance is to be effective, in each case, specifying (A) the Advances to be converted or continued, and, in the case of any Eurocurrency Rate Advance or Term SOFR Advance to be converted or continued, the last day of the Interest Period therefor, (B) the effective date of such conversion or continuation (which shall be a Business Day), (C) the principal amount and Currency of such Advances to be converted or continued, and (D) in the case of any Eurocurrency Rate Advance or Term SOFR Advance, the Interest Period to be applicable to such converted or continued Eurocurrency Rate Advance or Term SOFR Advance;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however</w:t>
      </w:r>
      <w:r>
        <w:rPr>
          <w:rFonts w:ascii="Arial" w:cs="Arial" w:eastAsia="Arial" w:hAnsi="Arial"/>
          <w:sz w:val="14"/>
          <w:szCs w:val="14"/>
          <w:color w:val="010101"/>
        </w:rPr>
        <w:t>, that any Conversion of Base Rate Advances into Eurocurrency Rate Advances or RFR Advances shall be in an amount not less than the minimum amount specified in Section 2.02(a). If a Borrower fails to deliver a timely Notice of Conversion/Continuation with respect to a Daily Simple RFR Advance prior to the Interest Payment Date therefor, then, unless such RFR Advance is repaid as provided herein, the applicable Borrower shall be deemed to have selected that such RFR Advance shall automatically be converted to a Base Rate Advance denominated in US Dollars (in an amount equal to the Dollar Equivalent of the applicable Foreign Currency, if applicable) as of such Interest Payment Date. If a Borrower fails to deliver a timely Notice of Conversion/Continuation with respect to a Eurocurrency Rate Advance or a Term SOFR Advance prior to the end of the Interest Period therefor, then, unless such Eurocurrency Rate Advance or Term SOFR Advance, as applicable, is repaid as provided herein, the applicable Borrower shall be deemed to have selected that such Eurocurrency Rate Advance or Term SOFR Advance, as applicable, shall automatically be converted to a Base Rate Advance denominated in US Dollars (in an amount equal to the Dollar Equivalent of the applicable Foreign Currency) at the end of such Interest Period. If a Borrower requests a conversion to, or continuation of, a</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1" w:right="499" w:bottom="1440" w:gutter="0" w:footer="0" w:header="0"/>
        </w:sectPr>
      </w:pPr>
    </w:p>
    <w:bookmarkStart w:id="114" w:name="page115"/>
    <w:bookmarkEnd w:id="114"/>
    <w:p>
      <w:pPr>
        <w:ind w:left="20" w:right="20"/>
        <w:spacing w:after="0" w:line="239" w:lineRule="auto"/>
        <w:rPr>
          <w:sz w:val="20"/>
          <w:szCs w:val="20"/>
          <w:color w:val="auto"/>
        </w:rPr>
      </w:pPr>
      <w:r>
        <w:rPr>
          <w:rFonts w:ascii="Arial" w:cs="Arial" w:eastAsia="Arial" w:hAnsi="Arial"/>
          <w:sz w:val="16"/>
          <w:szCs w:val="16"/>
          <w:color w:val="010101"/>
        </w:rPr>
        <w:t>Eurocurrency Rate Advance or a Term SOFR Advance, but fails to specify an Interest Period, it will be deemed to have specified an Interest Period of one month. Each Notice of Continuation/Conversion shall be irrevocable and binding on the Company and the applicable Borrower.</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2.10.</w:t>
      </w:r>
      <w:r>
        <w:rPr>
          <w:sz w:val="20"/>
          <w:szCs w:val="20"/>
          <w:color w:val="auto"/>
        </w:rPr>
        <w:tab/>
      </w:r>
      <w:r>
        <w:rPr>
          <w:rFonts w:ascii="Arial" w:cs="Arial" w:eastAsia="Arial" w:hAnsi="Arial"/>
          <w:sz w:val="14"/>
          <w:szCs w:val="14"/>
          <w:u w:val="single" w:color="auto"/>
          <w:color w:val="010101"/>
        </w:rPr>
        <w:t>Optional Prepayment of Advances</w:t>
      </w:r>
    </w:p>
    <w:p>
      <w:pPr>
        <w:spacing w:after="0" w:line="170" w:lineRule="exact"/>
        <w:rPr>
          <w:sz w:val="20"/>
          <w:szCs w:val="20"/>
          <w:color w:val="auto"/>
        </w:rPr>
      </w:pPr>
    </w:p>
    <w:p>
      <w:pPr>
        <w:ind w:left="20" w:right="40" w:firstLine="487"/>
        <w:spacing w:after="0" w:line="247" w:lineRule="auto"/>
        <w:tabs>
          <w:tab w:leader="none" w:pos="586" w:val="left"/>
        </w:tabs>
        <w:numPr>
          <w:ilvl w:val="1"/>
          <w:numId w:val="77"/>
        </w:numPr>
        <w:rPr>
          <w:rFonts w:ascii="Arial" w:cs="Arial" w:eastAsia="Arial" w:hAnsi="Arial"/>
          <w:sz w:val="14"/>
          <w:szCs w:val="14"/>
          <w:color w:val="010101"/>
        </w:rPr>
      </w:pPr>
      <w:r>
        <w:rPr>
          <w:rFonts w:ascii="Arial" w:cs="Arial" w:eastAsia="Arial" w:hAnsi="Arial"/>
          <w:sz w:val="14"/>
          <w:szCs w:val="14"/>
          <w:color w:val="010101"/>
        </w:rPr>
        <w:t>(a) Each Borrower may at any time and from time to time prepay Advances, in whole or in part, with irrevocable prior written notice to the Administrative Agent from the Company substantially in the form attached as Exhibit F hereto (a “</w:t>
      </w:r>
      <w:r>
        <w:rPr>
          <w:rFonts w:ascii="Arial" w:cs="Arial" w:eastAsia="Arial" w:hAnsi="Arial"/>
          <w:sz w:val="14"/>
          <w:szCs w:val="14"/>
          <w:u w:val="single" w:color="auto"/>
          <w:color w:val="010101"/>
        </w:rPr>
        <w:t>Notice of Prepayment</w:t>
      </w:r>
      <w:r>
        <w:rPr>
          <w:rFonts w:ascii="Arial" w:cs="Arial" w:eastAsia="Arial" w:hAnsi="Arial"/>
          <w:sz w:val="14"/>
          <w:szCs w:val="14"/>
          <w:color w:val="010101"/>
        </w:rPr>
        <w:t>”) given not later than 11:00 a.m., in the case of any Advance denominated in US Dollars, and not later than the Applicable Time specified by the Administrative Agent in the case of any Advance denominated in a Foreign Currency</w:t>
      </w:r>
    </w:p>
    <w:p>
      <w:pPr>
        <w:spacing w:after="0" w:line="1" w:lineRule="exact"/>
        <w:rPr>
          <w:rFonts w:ascii="Arial" w:cs="Arial" w:eastAsia="Arial" w:hAnsi="Arial"/>
          <w:sz w:val="14"/>
          <w:szCs w:val="14"/>
          <w:color w:val="010101"/>
        </w:rPr>
      </w:pPr>
    </w:p>
    <w:p>
      <w:pPr>
        <w:ind w:left="20" w:right="80" w:firstLine="2"/>
        <w:spacing w:after="0" w:line="224" w:lineRule="auto"/>
        <w:tabs>
          <w:tab w:leader="none" w:pos="213" w:val="left"/>
        </w:tabs>
        <w:numPr>
          <w:ilvl w:val="0"/>
          <w:numId w:val="77"/>
        </w:numPr>
        <w:rPr>
          <w:rFonts w:ascii="Arial" w:cs="Arial" w:eastAsia="Arial" w:hAnsi="Arial"/>
          <w:sz w:val="15"/>
          <w:szCs w:val="15"/>
          <w:color w:val="010101"/>
        </w:rPr>
      </w:pPr>
      <w:r>
        <w:rPr>
          <w:rFonts w:ascii="Arial" w:cs="Arial" w:eastAsia="Arial" w:hAnsi="Arial"/>
          <w:sz w:val="15"/>
          <w:szCs w:val="15"/>
          <w:color w:val="010101"/>
        </w:rPr>
        <w:t>on the same Business Day as such prepayment is to occur, with respect to a Base Rate Advance and (ii)(A) in the case of a Term SOFR Advance denominated in US Dollars, at least three RFR Business Days before prepayment of such Term SOFR Advance, (B) in the case of an RFR Advance denominated in any Foreign Currency, at least five RFR Business Days before prepayment of such RFR Advance, and (C) in the case of a Eurocurrency Rate Advance denominated in any Foreign Currency, at least four Eurocurrency Banking Days before prepayment of such Eurocurrency Rate Advance (or five Eurocurrency Banking Days in the case of a prepayment of Eurocurrency Rate Advances denominated in a Special Notice Currency), specifying the date and amount of prepayment and whether the prepayment is of Eurocurrency Rate Advances, Daily Simple RFR Advances, Term SOFR Advances, Base Rate Advances, or a combination thereof, and, if of a combination thereof, the amount allocable to each. Prior to any prepayment of Advances the Company shall select the Borrowing or Borrowings to be prepaid and shall specify such selection, including the relevant Tranche, in the Notice of Prepayment.</w:t>
      </w:r>
    </w:p>
    <w:p>
      <w:pPr>
        <w:spacing w:after="0" w:line="5" w:lineRule="exact"/>
        <w:rPr>
          <w:rFonts w:ascii="Arial" w:cs="Arial" w:eastAsia="Arial" w:hAnsi="Arial"/>
          <w:sz w:val="15"/>
          <w:szCs w:val="15"/>
          <w:color w:val="010101"/>
        </w:rPr>
      </w:pPr>
    </w:p>
    <w:p>
      <w:pPr>
        <w:ind w:left="20"/>
        <w:spacing w:after="0" w:line="210" w:lineRule="auto"/>
        <w:rPr>
          <w:rFonts w:ascii="Arial" w:cs="Arial" w:eastAsia="Arial" w:hAnsi="Arial"/>
          <w:sz w:val="15"/>
          <w:szCs w:val="15"/>
          <w:color w:val="010101"/>
        </w:rPr>
      </w:pPr>
      <w:r>
        <w:rPr>
          <w:rFonts w:ascii="Arial" w:cs="Arial" w:eastAsia="Arial" w:hAnsi="Arial"/>
          <w:sz w:val="16"/>
          <w:szCs w:val="16"/>
          <w:color w:val="010101"/>
        </w:rPr>
        <w:t xml:space="preserve">Upon receipt of such notice, the Administrative Agent shall promptly notify each Lender of the Tranche being prepaid. If any such notice is given, the amount specified in such notice shall be due and payable on the date set forth in such notice; </w:t>
      </w:r>
      <w:r>
        <w:rPr>
          <w:rFonts w:ascii="Arial" w:cs="Arial" w:eastAsia="Arial" w:hAnsi="Arial"/>
          <w:sz w:val="16"/>
          <w:szCs w:val="16"/>
          <w:u w:val="single" w:color="auto"/>
          <w:color w:val="010101"/>
        </w:rPr>
        <w:t>provided</w:t>
      </w:r>
      <w:r>
        <w:rPr>
          <w:rFonts w:ascii="Arial" w:cs="Arial" w:eastAsia="Arial" w:hAnsi="Arial"/>
          <w:sz w:val="16"/>
          <w:szCs w:val="16"/>
          <w:color w:val="010101"/>
        </w:rPr>
        <w:t>, that, if a Notice of Prepayment is given in connection with a conditional notice of termination of Commitments as contemplated by Section 2.05(a), then such Notice of Prepayment may be revoked if such notice of termination is revoked in accordance with Section 2.05(a) and the applicable Borrower shall remain liable for any amounts in respect of such proposed prepayment as provided in Section 9.04. Partial prepayments shall be in an aggregate amount of $2,000,000 or a whole multiple of $1,000,000 in excess thereof with respect to Base Rate Advances, and $5,000,000 or a whole multiple of</w:t>
      </w:r>
    </w:p>
    <w:p>
      <w:pPr>
        <w:spacing w:after="0" w:line="4" w:lineRule="exact"/>
        <w:rPr>
          <w:rFonts w:ascii="Arial" w:cs="Arial" w:eastAsia="Arial" w:hAnsi="Arial"/>
          <w:sz w:val="15"/>
          <w:szCs w:val="15"/>
          <w:color w:val="010101"/>
        </w:rPr>
      </w:pPr>
    </w:p>
    <w:p>
      <w:pPr>
        <w:jc w:val="both"/>
        <w:ind w:left="20"/>
        <w:spacing w:after="0" w:line="217" w:lineRule="auto"/>
        <w:rPr>
          <w:rFonts w:ascii="Arial" w:cs="Arial" w:eastAsia="Arial" w:hAnsi="Arial"/>
          <w:sz w:val="15"/>
          <w:szCs w:val="15"/>
          <w:color w:val="010101"/>
        </w:rPr>
      </w:pPr>
      <w:r>
        <w:rPr>
          <w:rFonts w:ascii="Arial" w:cs="Arial" w:eastAsia="Arial" w:hAnsi="Arial"/>
          <w:sz w:val="16"/>
          <w:szCs w:val="16"/>
          <w:color w:val="010101"/>
        </w:rPr>
        <w:t>$1,000,000 in excess thereof with respect to Eurocurrency Rate Advances, RFR Advances and Term SOFR Advances. A Notice of Prepayment received after 11:00 a.m. shall be deemed received on the next Business Day, Eurocurrency Banking Day or RFR Business Day, as applicable. Each such repayment shall be accompanied by any amount required to be paid pursuant to Section 9.04(c). No Borrower may prepay any Eurocurrency Rate Advance or Term SOFR Advance on any day other than on the last day of the Interest Period applicable thereto unless such prepayment is accompanied by any amount required to be paid pursuant to Section 9.04(c). No repayment or prepayment of the Advances pursuant to this Section shall affect any of the Company’s obligations under any Hedge Agreement entered into with respect to the Advances.</w:t>
      </w:r>
    </w:p>
    <w:p>
      <w:pPr>
        <w:spacing w:after="0" w:line="136" w:lineRule="exact"/>
        <w:rPr>
          <w:sz w:val="20"/>
          <w:szCs w:val="20"/>
          <w:color w:val="auto"/>
        </w:rPr>
      </w:pPr>
    </w:p>
    <w:p>
      <w:pPr>
        <w:ind w:left="20" w:right="180" w:firstLine="487"/>
        <w:spacing w:after="0" w:line="244" w:lineRule="auto"/>
        <w:tabs>
          <w:tab w:leader="none" w:pos="896" w:val="left"/>
        </w:tabs>
        <w:numPr>
          <w:ilvl w:val="0"/>
          <w:numId w:val="78"/>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An</w:t>
      </w:r>
      <w:r>
        <w:rPr>
          <w:rFonts w:ascii="Arial" w:cs="Arial" w:eastAsia="Arial" w:hAnsi="Arial"/>
          <w:sz w:val="16"/>
          <w:szCs w:val="16"/>
          <w:b w:val="1"/>
          <w:bCs w:val="1"/>
          <w:color w:val="0000FF"/>
        </w:rPr>
        <w:t>y p</w:t>
      </w:r>
      <w:r>
        <w:rPr>
          <w:rFonts w:ascii="Arial" w:cs="Arial" w:eastAsia="Arial" w:hAnsi="Arial"/>
          <w:sz w:val="16"/>
          <w:szCs w:val="16"/>
          <w:b w:val="1"/>
          <w:bCs w:val="1"/>
          <w:u w:val="single" w:color="auto"/>
          <w:color w:val="0000FF"/>
        </w:rPr>
        <w:t>repaymen</w:t>
      </w:r>
      <w:r>
        <w:rPr>
          <w:rFonts w:ascii="Arial" w:cs="Arial" w:eastAsia="Arial" w:hAnsi="Arial"/>
          <w:sz w:val="16"/>
          <w:szCs w:val="16"/>
          <w:b w:val="1"/>
          <w:bCs w:val="1"/>
          <w:color w:val="0000FF"/>
        </w:rPr>
        <w:t xml:space="preserve">t of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 xml:space="preserve">m </w:t>
      </w:r>
      <w:r>
        <w:rPr>
          <w:rFonts w:ascii="Arial" w:cs="Arial" w:eastAsia="Arial" w:hAnsi="Arial"/>
          <w:sz w:val="16"/>
          <w:szCs w:val="16"/>
          <w:b w:val="1"/>
          <w:bCs w:val="1"/>
          <w:u w:val="single" w:color="auto"/>
          <w:color w:val="0000FF"/>
        </w:rPr>
        <w:t>Loan</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pursuan</w:t>
      </w:r>
      <w:r>
        <w:rPr>
          <w:rFonts w:ascii="Arial" w:cs="Arial" w:eastAsia="Arial" w:hAnsi="Arial"/>
          <w:sz w:val="16"/>
          <w:szCs w:val="16"/>
          <w:b w:val="1"/>
          <w:bCs w:val="1"/>
          <w:color w:val="0000FF"/>
        </w:rPr>
        <w:t xml:space="preserve">t to </w:t>
      </w:r>
      <w:r>
        <w:rPr>
          <w:rFonts w:ascii="Arial" w:cs="Arial" w:eastAsia="Arial" w:hAnsi="Arial"/>
          <w:sz w:val="16"/>
          <w:szCs w:val="16"/>
          <w:b w:val="1"/>
          <w:bCs w:val="1"/>
          <w:u w:val="single" w:color="auto"/>
          <w:color w:val="0000FF"/>
        </w:rPr>
        <w:t>Sectio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2.10(a</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shal</w:t>
      </w:r>
      <w:r>
        <w:rPr>
          <w:rFonts w:ascii="Arial" w:cs="Arial" w:eastAsia="Arial" w:hAnsi="Arial"/>
          <w:sz w:val="16"/>
          <w:szCs w:val="16"/>
          <w:b w:val="1"/>
          <w:bCs w:val="1"/>
          <w:color w:val="0000FF"/>
        </w:rPr>
        <w:t xml:space="preserve">l </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e applied to r</w:t>
      </w:r>
      <w:r>
        <w:rPr>
          <w:rFonts w:ascii="Arial" w:cs="Arial" w:eastAsia="Arial" w:hAnsi="Arial"/>
          <w:sz w:val="16"/>
          <w:szCs w:val="16"/>
          <w:b w:val="1"/>
          <w:bCs w:val="1"/>
          <w:u w:val="single" w:color="auto"/>
          <w:color w:val="0000FF"/>
        </w:rPr>
        <w:t>educ</w:t>
      </w:r>
      <w:r>
        <w:rPr>
          <w:rFonts w:ascii="Arial" w:cs="Arial" w:eastAsia="Arial" w:hAnsi="Arial"/>
          <w:sz w:val="16"/>
          <w:szCs w:val="16"/>
          <w:b w:val="1"/>
          <w:bCs w:val="1"/>
          <w:color w:val="0000FF"/>
        </w:rPr>
        <w:t>e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s</w:t>
      </w:r>
      <w:r>
        <w:rPr>
          <w:rFonts w:ascii="Arial" w:cs="Arial" w:eastAsia="Arial" w:hAnsi="Arial"/>
          <w:sz w:val="16"/>
          <w:szCs w:val="16"/>
          <w:b w:val="1"/>
          <w:bCs w:val="1"/>
          <w:u w:val="single" w:color="auto"/>
          <w:color w:val="0000FF"/>
        </w:rPr>
        <w:t>ubsequen</w:t>
      </w:r>
      <w:r>
        <w:rPr>
          <w:rFonts w:ascii="Arial" w:cs="Arial" w:eastAsia="Arial" w:hAnsi="Arial"/>
          <w:sz w:val="16"/>
          <w:szCs w:val="16"/>
          <w:b w:val="1"/>
          <w:bCs w:val="1"/>
          <w:color w:val="0000FF"/>
        </w:rPr>
        <w:t>t s</w:t>
      </w:r>
      <w:r>
        <w:rPr>
          <w:rFonts w:ascii="Arial" w:cs="Arial" w:eastAsia="Arial" w:hAnsi="Arial"/>
          <w:sz w:val="16"/>
          <w:szCs w:val="16"/>
          <w:b w:val="1"/>
          <w:bCs w:val="1"/>
          <w:u w:val="single" w:color="auto"/>
          <w:color w:val="0000FF"/>
        </w:rPr>
        <w:t>chedule</w:t>
      </w:r>
      <w:r>
        <w:rPr>
          <w:rFonts w:ascii="Arial" w:cs="Arial" w:eastAsia="Arial" w:hAnsi="Arial"/>
          <w:sz w:val="16"/>
          <w:szCs w:val="16"/>
          <w:b w:val="1"/>
          <w:bCs w:val="1"/>
          <w:color w:val="0000FF"/>
        </w:rPr>
        <w:t>d r</w:t>
      </w:r>
      <w:r>
        <w:rPr>
          <w:rFonts w:ascii="Arial" w:cs="Arial" w:eastAsia="Arial" w:hAnsi="Arial"/>
          <w:sz w:val="16"/>
          <w:szCs w:val="16"/>
          <w:b w:val="1"/>
          <w:bCs w:val="1"/>
          <w:u w:val="single" w:color="auto"/>
          <w:color w:val="0000FF"/>
        </w:rPr>
        <w:t>epayment</w:t>
      </w:r>
      <w:r>
        <w:rPr>
          <w:rFonts w:ascii="Arial" w:cs="Arial" w:eastAsia="Arial" w:hAnsi="Arial"/>
          <w:sz w:val="16"/>
          <w:szCs w:val="16"/>
          <w:b w:val="1"/>
          <w:bCs w:val="1"/>
          <w:color w:val="0000FF"/>
        </w:rPr>
        <w:t>s of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oan</w:t>
      </w:r>
      <w:r>
        <w:rPr>
          <w:rFonts w:ascii="Arial" w:cs="Arial" w:eastAsia="Arial" w:hAnsi="Arial"/>
          <w:sz w:val="16"/>
          <w:szCs w:val="16"/>
          <w:b w:val="1"/>
          <w:bCs w:val="1"/>
          <w:color w:val="0000FF"/>
        </w:rPr>
        <w:t>s to be m</w:t>
      </w:r>
      <w:r>
        <w:rPr>
          <w:rFonts w:ascii="Arial" w:cs="Arial" w:eastAsia="Arial" w:hAnsi="Arial"/>
          <w:sz w:val="16"/>
          <w:szCs w:val="16"/>
          <w:b w:val="1"/>
          <w:bCs w:val="1"/>
          <w:u w:val="single" w:color="auto"/>
          <w:color w:val="0000FF"/>
        </w:rPr>
        <w:t>ad</w:t>
      </w:r>
      <w:r>
        <w:rPr>
          <w:rFonts w:ascii="Arial" w:cs="Arial" w:eastAsia="Arial" w:hAnsi="Arial"/>
          <w:sz w:val="16"/>
          <w:szCs w:val="16"/>
          <w:b w:val="1"/>
          <w:bCs w:val="1"/>
          <w:color w:val="0000FF"/>
        </w:rPr>
        <w:t>e p</w:t>
      </w:r>
      <w:r>
        <w:rPr>
          <w:rFonts w:ascii="Arial" w:cs="Arial" w:eastAsia="Arial" w:hAnsi="Arial"/>
          <w:sz w:val="16"/>
          <w:szCs w:val="16"/>
          <w:b w:val="1"/>
          <w:bCs w:val="1"/>
          <w:u w:val="single" w:color="auto"/>
          <w:color w:val="0000FF"/>
        </w:rPr>
        <w:t>ursuan</w:t>
      </w:r>
      <w:r>
        <w:rPr>
          <w:rFonts w:ascii="Arial" w:cs="Arial" w:eastAsia="Arial" w:hAnsi="Arial"/>
          <w:sz w:val="16"/>
          <w:szCs w:val="16"/>
          <w:b w:val="1"/>
          <w:bCs w:val="1"/>
          <w:color w:val="0000FF"/>
        </w:rPr>
        <w:t>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-127635</wp:posOffset>
            </wp:positionV>
            <wp:extent cx="5969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59690" cy="635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15" w:name="page116"/>
    <w:bookmarkEnd w:id="115"/>
    <w:p>
      <w:pPr>
        <w:ind w:left="20"/>
        <w:spacing w:after="0"/>
        <w:rPr>
          <w:sz w:val="20"/>
          <w:szCs w:val="20"/>
          <w:color w:val="auto"/>
        </w:rPr>
      </w:pPr>
      <w:r>
        <w:rPr>
          <w:rFonts w:ascii="Arial" w:cs="Arial" w:eastAsia="Arial" w:hAnsi="Arial"/>
          <w:sz w:val="16"/>
          <w:szCs w:val="16"/>
          <w:b w:val="1"/>
          <w:bCs w:val="1"/>
          <w:u w:val="single" w:color="auto"/>
          <w:color w:val="0000FF"/>
        </w:rPr>
        <w:t>Section 2.08(a) as directed by the Company (and in the absence of any such direction shall b</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applie</w:t>
      </w:r>
      <w:r>
        <w:rPr>
          <w:rFonts w:ascii="Arial" w:cs="Arial" w:eastAsia="Arial" w:hAnsi="Arial"/>
          <w:sz w:val="16"/>
          <w:szCs w:val="16"/>
          <w:b w:val="1"/>
          <w:bCs w:val="1"/>
          <w:color w:val="0000FF"/>
        </w:rPr>
        <w:t xml:space="preserve">d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direc</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orde</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f maturity).</w:t>
      </w:r>
    </w:p>
    <w:p>
      <w:pPr>
        <w:spacing w:after="0" w:line="174" w:lineRule="exact"/>
        <w:rPr>
          <w:sz w:val="20"/>
          <w:szCs w:val="20"/>
          <w:color w:val="auto"/>
        </w:rPr>
      </w:pPr>
    </w:p>
    <w:p>
      <w:pPr>
        <w:ind w:left="500"/>
        <w:spacing w:after="0"/>
        <w:tabs>
          <w:tab w:leader="none" w:pos="1680" w:val="left"/>
        </w:tabs>
        <w:rPr>
          <w:sz w:val="20"/>
          <w:szCs w:val="20"/>
          <w:color w:val="auto"/>
        </w:rPr>
      </w:pPr>
      <w:r>
        <w:rPr>
          <w:rFonts w:ascii="Arial" w:cs="Arial" w:eastAsia="Arial" w:hAnsi="Arial"/>
          <w:sz w:val="16"/>
          <w:szCs w:val="16"/>
          <w:color w:val="auto"/>
        </w:rPr>
        <w:t>SECTION 2.11.</w:t>
      </w:r>
      <w:r>
        <w:rPr>
          <w:sz w:val="20"/>
          <w:szCs w:val="20"/>
          <w:color w:val="auto"/>
        </w:rPr>
        <w:tab/>
      </w:r>
      <w:r>
        <w:rPr>
          <w:rFonts w:ascii="Arial" w:cs="Arial" w:eastAsia="Arial" w:hAnsi="Arial"/>
          <w:sz w:val="14"/>
          <w:szCs w:val="14"/>
          <w:u w:val="single" w:color="auto"/>
          <w:color w:val="010101"/>
        </w:rPr>
        <w:t>Increased Costs</w:t>
      </w:r>
    </w:p>
    <w:p>
      <w:pPr>
        <w:spacing w:after="0" w:line="200" w:lineRule="exact"/>
        <w:rPr>
          <w:sz w:val="20"/>
          <w:szCs w:val="20"/>
          <w:color w:val="auto"/>
        </w:rPr>
      </w:pPr>
    </w:p>
    <w:p>
      <w:pPr>
        <w:spacing w:after="0" w:line="394" w:lineRule="exact"/>
        <w:rPr>
          <w:sz w:val="20"/>
          <w:szCs w:val="20"/>
          <w:color w:val="auto"/>
        </w:rPr>
      </w:pPr>
    </w:p>
    <w:p>
      <w:pPr>
        <w:ind w:left="1000" w:hanging="493"/>
        <w:spacing w:after="0"/>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010101"/>
        </w:rPr>
        <w:t>Increased Costs Generally</w:t>
      </w:r>
      <w:r>
        <w:rPr>
          <w:rFonts w:ascii="Arial" w:cs="Arial" w:eastAsia="Arial" w:hAnsi="Arial"/>
          <w:sz w:val="16"/>
          <w:szCs w:val="16"/>
          <w:color w:val="010101"/>
        </w:rPr>
        <w:t>. If any Change in Law shall:</w:t>
      </w:r>
    </w:p>
    <w:p>
      <w:pPr>
        <w:spacing w:after="0" w:line="159" w:lineRule="exact"/>
        <w:rPr>
          <w:rFonts w:ascii="Arial" w:cs="Arial" w:eastAsia="Arial" w:hAnsi="Arial"/>
          <w:sz w:val="16"/>
          <w:szCs w:val="16"/>
          <w:color w:val="auto"/>
        </w:rPr>
      </w:pPr>
    </w:p>
    <w:p>
      <w:pPr>
        <w:jc w:val="both"/>
        <w:ind w:left="500" w:firstLine="492"/>
        <w:spacing w:after="0" w:line="237" w:lineRule="auto"/>
        <w:tabs>
          <w:tab w:leader="none" w:pos="1389" w:val="left"/>
        </w:tabs>
        <w:numPr>
          <w:ilvl w:val="1"/>
          <w:numId w:val="79"/>
        </w:numPr>
        <w:rPr>
          <w:rFonts w:ascii="Arial" w:cs="Arial" w:eastAsia="Arial" w:hAnsi="Arial"/>
          <w:sz w:val="14"/>
          <w:szCs w:val="14"/>
          <w:color w:val="auto"/>
        </w:rPr>
      </w:pPr>
      <w:r>
        <w:rPr>
          <w:rFonts w:ascii="Arial" w:cs="Arial" w:eastAsia="Arial" w:hAnsi="Arial"/>
          <w:sz w:val="15"/>
          <w:szCs w:val="15"/>
          <w:color w:val="010101"/>
        </w:rPr>
        <w:t>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(except any reserve requirement reflected in the Adjusted Eurocurrency Rate) or any Issuing Lender;</w:t>
      </w:r>
    </w:p>
    <w:p>
      <w:pPr>
        <w:spacing w:after="0" w:line="148" w:lineRule="exact"/>
        <w:rPr>
          <w:rFonts w:ascii="Arial" w:cs="Arial" w:eastAsia="Arial" w:hAnsi="Arial"/>
          <w:sz w:val="14"/>
          <w:szCs w:val="14"/>
          <w:color w:val="auto"/>
        </w:rPr>
      </w:pPr>
    </w:p>
    <w:p>
      <w:pPr>
        <w:jc w:val="both"/>
        <w:ind w:left="500" w:right="20" w:firstLine="492"/>
        <w:spacing w:after="0" w:line="230" w:lineRule="auto"/>
        <w:tabs>
          <w:tab w:leader="none" w:pos="1389" w:val="left"/>
        </w:tabs>
        <w:numPr>
          <w:ilvl w:val="1"/>
          <w:numId w:val="79"/>
        </w:numPr>
        <w:rPr>
          <w:rFonts w:ascii="Arial" w:cs="Arial" w:eastAsia="Arial" w:hAnsi="Arial"/>
          <w:sz w:val="15"/>
          <w:szCs w:val="15"/>
          <w:color w:val="auto"/>
        </w:rPr>
      </w:pPr>
      <w:r>
        <w:rPr>
          <w:rFonts w:ascii="Arial" w:cs="Arial" w:eastAsia="Arial" w:hAnsi="Arial"/>
          <w:sz w:val="16"/>
          <w:szCs w:val="16"/>
          <w:color w:val="010101"/>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98" w:lineRule="exact"/>
        <w:rPr>
          <w:rFonts w:ascii="Arial" w:cs="Arial" w:eastAsia="Arial" w:hAnsi="Arial"/>
          <w:sz w:val="15"/>
          <w:szCs w:val="15"/>
          <w:color w:val="auto"/>
        </w:rPr>
      </w:pPr>
    </w:p>
    <w:p>
      <w:pPr>
        <w:ind w:left="500" w:firstLine="492"/>
        <w:spacing w:after="0" w:line="271" w:lineRule="auto"/>
        <w:tabs>
          <w:tab w:leader="none" w:pos="1389" w:val="left"/>
        </w:tabs>
        <w:numPr>
          <w:ilvl w:val="1"/>
          <w:numId w:val="79"/>
        </w:numPr>
        <w:rPr>
          <w:rFonts w:ascii="Arial" w:cs="Arial" w:eastAsia="Arial" w:hAnsi="Arial"/>
          <w:sz w:val="14"/>
          <w:szCs w:val="14"/>
          <w:color w:val="auto"/>
        </w:rPr>
      </w:pPr>
      <w:r>
        <w:rPr>
          <w:rFonts w:ascii="Arial" w:cs="Arial" w:eastAsia="Arial" w:hAnsi="Arial"/>
          <w:sz w:val="15"/>
          <w:szCs w:val="15"/>
          <w:color w:val="010101"/>
        </w:rPr>
        <w:t>impose on any Lender or any Issuing Lender or (with respect to Eurocurrency Rate Advances) the applicable offshore interbank market any other condition, cost or expense (other than Taxes) affecting this Agreement or Advances made by such Lender or any Letter of Credit or participation therein;</w:t>
      </w:r>
    </w:p>
    <w:p>
      <w:pPr>
        <w:spacing w:after="0" w:line="126" w:lineRule="exact"/>
        <w:rPr>
          <w:sz w:val="20"/>
          <w:szCs w:val="20"/>
          <w:color w:val="auto"/>
        </w:rPr>
      </w:pPr>
    </w:p>
    <w:p>
      <w:pPr>
        <w:jc w:val="both"/>
        <w:ind w:left="20"/>
        <w:spacing w:after="0" w:line="219" w:lineRule="auto"/>
        <w:rPr>
          <w:sz w:val="20"/>
          <w:szCs w:val="20"/>
          <w:color w:val="auto"/>
        </w:rPr>
      </w:pPr>
      <w:r>
        <w:rPr>
          <w:rFonts w:ascii="Arial" w:cs="Arial" w:eastAsia="Arial" w:hAnsi="Arial"/>
          <w:sz w:val="16"/>
          <w:szCs w:val="16"/>
          <w:color w:val="010101"/>
        </w:rPr>
        <w:t>and the result of any of the foregoing shall be to increase the cost to such Lender, any Issuing Lender or such other Recipient of making, converting to, continuing or maintaining any Advance (or of maintaining its obligation to make any such Advance),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Company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38" w:lineRule="exact"/>
        <w:rPr>
          <w:sz w:val="20"/>
          <w:szCs w:val="20"/>
          <w:color w:val="auto"/>
        </w:rPr>
      </w:pPr>
    </w:p>
    <w:p>
      <w:pPr>
        <w:jc w:val="both"/>
        <w:ind w:left="20" w:right="20" w:firstLine="487"/>
        <w:spacing w:after="0" w:line="225" w:lineRule="auto"/>
        <w:tabs>
          <w:tab w:leader="none" w:pos="909"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010101"/>
        </w:rPr>
        <w:t>Capital Requirements</w:t>
      </w:r>
      <w:r>
        <w:rPr>
          <w:rFonts w:ascii="Arial" w:cs="Arial" w:eastAsia="Arial" w:hAnsi="Arial"/>
          <w:sz w:val="16"/>
          <w:szCs w:val="16"/>
          <w:color w:val="010101"/>
        </w:rPr>
        <w:t>. If any Lender or any Issuing Lender determines that any Change in Law affecting such Lender or such Issuing Lender or any Applicable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 of such</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1" w:right="499" w:bottom="1440" w:gutter="0" w:footer="0" w:header="0"/>
        </w:sectPr>
      </w:pPr>
    </w:p>
    <w:bookmarkStart w:id="116" w:name="page117"/>
    <w:bookmarkEnd w:id="116"/>
    <w:p>
      <w:pPr>
        <w:jc w:val="both"/>
        <w:ind w:left="20"/>
        <w:spacing w:after="0" w:line="220" w:lineRule="auto"/>
        <w:rPr>
          <w:sz w:val="20"/>
          <w:szCs w:val="20"/>
          <w:color w:val="auto"/>
        </w:rPr>
      </w:pPr>
      <w:r>
        <w:rPr>
          <w:rFonts w:ascii="Arial" w:cs="Arial" w:eastAsia="Arial" w:hAnsi="Arial"/>
          <w:sz w:val="16"/>
          <w:szCs w:val="16"/>
          <w:color w:val="010101"/>
        </w:rPr>
        <w:t>Lender or the Advances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Company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50" w:lineRule="exact"/>
        <w:rPr>
          <w:sz w:val="20"/>
          <w:szCs w:val="20"/>
          <w:color w:val="auto"/>
        </w:rPr>
      </w:pPr>
    </w:p>
    <w:p>
      <w:pPr>
        <w:jc w:val="both"/>
        <w:ind w:left="20" w:firstLine="487"/>
        <w:spacing w:after="0" w:line="251" w:lineRule="auto"/>
        <w:tabs>
          <w:tab w:leader="none" w:pos="910" w:val="left"/>
        </w:tabs>
        <w:numPr>
          <w:ilvl w:val="1"/>
          <w:numId w:val="81"/>
        </w:numPr>
        <w:rPr>
          <w:rFonts w:ascii="Arial" w:cs="Arial" w:eastAsia="Arial" w:hAnsi="Arial"/>
          <w:sz w:val="14"/>
          <w:szCs w:val="14"/>
          <w:color w:val="auto"/>
        </w:rPr>
      </w:pPr>
      <w:r>
        <w:rPr>
          <w:rFonts w:ascii="Arial" w:cs="Arial" w:eastAsia="Arial" w:hAnsi="Arial"/>
          <w:sz w:val="14"/>
          <w:szCs w:val="14"/>
          <w:u w:val="single" w:color="auto"/>
          <w:color w:val="010101"/>
        </w:rPr>
        <w:t>Certificates for Reimbursement</w:t>
      </w:r>
      <w:r>
        <w:rPr>
          <w:rFonts w:ascii="Arial" w:cs="Arial" w:eastAsia="Arial" w:hAnsi="Arial"/>
          <w:sz w:val="14"/>
          <w:szCs w:val="14"/>
          <w:color w:val="010101"/>
        </w:rPr>
        <w:t>. A certificate of a Lender, an Issuing Lender or such other Recipient setting forth the amount or amounts necessary to compensate such Lender or such Issuing Lender, such other Recipient or any of their respective holding companies, as the case may be, as specified in paragraph (a) or</w:t>
      </w:r>
    </w:p>
    <w:p>
      <w:pPr>
        <w:ind w:left="20" w:firstLine="2"/>
        <w:spacing w:after="0" w:line="230" w:lineRule="auto"/>
        <w:tabs>
          <w:tab w:leader="none" w:pos="260" w:val="left"/>
        </w:tabs>
        <w:numPr>
          <w:ilvl w:val="0"/>
          <w:numId w:val="82"/>
        </w:numPr>
        <w:rPr>
          <w:rFonts w:ascii="Arial" w:cs="Arial" w:eastAsia="Arial" w:hAnsi="Arial"/>
          <w:sz w:val="16"/>
          <w:szCs w:val="16"/>
          <w:color w:val="010101"/>
        </w:rPr>
      </w:pPr>
      <w:r>
        <w:rPr>
          <w:rFonts w:ascii="Arial" w:cs="Arial" w:eastAsia="Arial" w:hAnsi="Arial"/>
          <w:sz w:val="16"/>
          <w:szCs w:val="16"/>
          <w:color w:val="010101"/>
        </w:rPr>
        <w:t>of this Section and delivered to the Company, shall be conclusive absent manifest error. The Company shall pay such Lender or such Issuing Lender or such other Recipient, as the case may be, the amount shown as due on any such certificate within ten (10) days after receipt thereof.</w:t>
      </w:r>
    </w:p>
    <w:p>
      <w:pPr>
        <w:spacing w:after="0" w:line="148" w:lineRule="exact"/>
        <w:rPr>
          <w:rFonts w:ascii="Arial" w:cs="Arial" w:eastAsia="Arial" w:hAnsi="Arial"/>
          <w:sz w:val="16"/>
          <w:szCs w:val="16"/>
          <w:color w:val="010101"/>
        </w:rPr>
      </w:pPr>
    </w:p>
    <w:p>
      <w:pPr>
        <w:jc w:val="both"/>
        <w:ind w:left="20" w:firstLine="487"/>
        <w:spacing w:after="0" w:line="219" w:lineRule="auto"/>
        <w:tabs>
          <w:tab w:leader="none" w:pos="909"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010101"/>
        </w:rPr>
        <w:t>Delay in Request</w:t>
      </w:r>
      <w:r>
        <w:rPr>
          <w:rFonts w:ascii="Arial" w:cs="Arial" w:eastAsia="Arial" w:hAnsi="Arial"/>
          <w:sz w:val="16"/>
          <w:szCs w:val="16"/>
          <w:color w:val="010101"/>
        </w:rPr>
        <w:t>. Failure or delay on the part of any Lender, any Issuing Lender or such other Recipient to demand compensation pursuant to this Section shall not constitute a waiver of such Lender’s, such Issuing Lender’s or such other Recipient’s right to demand such compensation; provided that the Company shall not be required to compensate any Lender, any Issuing Lender or any other Recipient pursuant to this Section for any increased costs incurred or reductions suffered more than nine (9) months prior to the date that such Lender, such Issuing Lender or such other Recipient, as the case may be, notifies the Company of the Change in Law giving rise to such increased costs or reductions, and of such Lender’s,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38" w:lineRule="exact"/>
        <w:rPr>
          <w:rFonts w:ascii="Arial" w:cs="Arial" w:eastAsia="Arial" w:hAnsi="Arial"/>
          <w:sz w:val="16"/>
          <w:szCs w:val="16"/>
          <w:color w:val="auto"/>
        </w:rPr>
      </w:pPr>
    </w:p>
    <w:p>
      <w:pPr>
        <w:jc w:val="both"/>
        <w:ind w:left="20" w:firstLine="487"/>
        <w:spacing w:after="0" w:line="230" w:lineRule="auto"/>
        <w:tabs>
          <w:tab w:leader="none" w:pos="910"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010101"/>
        </w:rPr>
        <w:t>Survival</w:t>
      </w:r>
      <w:r>
        <w:rPr>
          <w:rFonts w:ascii="Arial" w:cs="Arial" w:eastAsia="Arial" w:hAnsi="Arial"/>
          <w:sz w:val="16"/>
          <w:szCs w:val="16"/>
          <w:color w:val="010101"/>
        </w:rPr>
        <w:t>. All of the obligations of the Credit Parties under this Section 2.11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2.12.</w:t>
      </w:r>
      <w:r>
        <w:rPr>
          <w:sz w:val="20"/>
          <w:szCs w:val="20"/>
          <w:color w:val="auto"/>
        </w:rPr>
        <w:tab/>
      </w:r>
      <w:r>
        <w:rPr>
          <w:rFonts w:ascii="Arial" w:cs="Arial" w:eastAsia="Arial" w:hAnsi="Arial"/>
          <w:sz w:val="14"/>
          <w:szCs w:val="14"/>
          <w:u w:val="single" w:color="auto"/>
          <w:color w:val="010101"/>
        </w:rPr>
        <w:t>[Reserved]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6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2.13.</w:t>
      </w:r>
      <w:r>
        <w:rPr>
          <w:sz w:val="20"/>
          <w:szCs w:val="20"/>
          <w:color w:val="auto"/>
        </w:rPr>
        <w:tab/>
      </w:r>
      <w:r>
        <w:rPr>
          <w:rFonts w:ascii="Arial" w:cs="Arial" w:eastAsia="Arial" w:hAnsi="Arial"/>
          <w:sz w:val="14"/>
          <w:szCs w:val="14"/>
          <w:u w:val="single" w:color="auto"/>
          <w:color w:val="010101"/>
        </w:rPr>
        <w:t>Payments and Computations</w:t>
      </w:r>
    </w:p>
    <w:p>
      <w:pPr>
        <w:spacing w:after="0" w:line="170" w:lineRule="exact"/>
        <w:rPr>
          <w:sz w:val="20"/>
          <w:szCs w:val="20"/>
          <w:color w:val="auto"/>
        </w:rPr>
      </w:pPr>
    </w:p>
    <w:p>
      <w:pPr>
        <w:ind w:left="20" w:firstLine="487"/>
        <w:spacing w:after="0" w:line="230" w:lineRule="auto"/>
        <w:tabs>
          <w:tab w:leader="none" w:pos="586" w:val="left"/>
        </w:tabs>
        <w:numPr>
          <w:ilvl w:val="0"/>
          <w:numId w:val="83"/>
        </w:numPr>
        <w:rPr>
          <w:rFonts w:ascii="Arial" w:cs="Arial" w:eastAsia="Arial" w:hAnsi="Arial"/>
          <w:sz w:val="16"/>
          <w:szCs w:val="16"/>
          <w:color w:val="010101"/>
        </w:rPr>
      </w:pPr>
      <w:r>
        <w:rPr>
          <w:rFonts w:ascii="Arial" w:cs="Arial" w:eastAsia="Arial" w:hAnsi="Arial"/>
          <w:sz w:val="16"/>
          <w:szCs w:val="16"/>
          <w:color w:val="010101"/>
        </w:rPr>
        <w:t>(a) Each Borrower shall make each payment required to be made by it hereunder and under any other Loan Documents not later than 12:00 noon (New York City time) on the day when due in US Dollars to the Administrative Agent at its offices at 1525 W. W.T. Harris Blvd., 1st Floor, Charlotte, NC 28262-8522 in same day funds. The Administrative Agent will promptly thereafter cause to be distributed like funds relating to the payment of principal or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17" w:name="page118"/>
    <w:bookmarkEnd w:id="117"/>
    <w:p>
      <w:pPr>
        <w:jc w:val="both"/>
        <w:ind w:left="20"/>
        <w:spacing w:after="0" w:line="213" w:lineRule="auto"/>
        <w:rPr>
          <w:sz w:val="20"/>
          <w:szCs w:val="20"/>
          <w:color w:val="auto"/>
        </w:rPr>
      </w:pPr>
      <w:r>
        <w:rPr>
          <w:rFonts w:ascii="Arial" w:cs="Arial" w:eastAsia="Arial" w:hAnsi="Arial"/>
          <w:sz w:val="16"/>
          <w:szCs w:val="16"/>
          <w:color w:val="010101"/>
        </w:rPr>
        <w:t>interest or commitment fees ratably (other than amounts payable pursuant to Section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9.07(c), from and after the effective date specified in such Assignment and Assumption, the Administrative Agent shall make all payments hereunder and under any other Loan Documents in respect of the interest assigned thereby to the Lender assignee thereunder, and the parties to such Assignment and Assumption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w:t>
      </w:r>
    </w:p>
    <w:p>
      <w:pPr>
        <w:spacing w:after="0" w:line="1" w:lineRule="exact"/>
        <w:rPr>
          <w:sz w:val="20"/>
          <w:szCs w:val="20"/>
          <w:color w:val="auto"/>
        </w:rPr>
      </w:pPr>
    </w:p>
    <w:p>
      <w:pPr>
        <w:jc w:val="both"/>
        <w:ind w:left="20" w:right="20"/>
        <w:spacing w:after="0" w:line="224" w:lineRule="auto"/>
        <w:rPr>
          <w:sz w:val="20"/>
          <w:szCs w:val="20"/>
          <w:color w:val="auto"/>
        </w:rPr>
      </w:pPr>
      <w:r>
        <w:rPr>
          <w:rFonts w:ascii="Arial" w:cs="Arial" w:eastAsia="Arial" w:hAnsi="Arial"/>
          <w:sz w:val="16"/>
          <w:szCs w:val="16"/>
          <w:color w:val="010101"/>
        </w:rPr>
        <w:t>2.17 and upon the Administrative Agent’s receipt of such Lender’s Assumption Agreement and recording of the information contained therein in the Register, from and after the applicable Increase Date or Extension Date, as the case may be, the Administrative Agent shall make all payments hereunder and under any other Loan Documents issued in connection therewith in respect of the interest assumed thereby to the Assuming Lender.</w:t>
      </w:r>
    </w:p>
    <w:p>
      <w:pPr>
        <w:spacing w:after="0" w:line="148" w:lineRule="exact"/>
        <w:rPr>
          <w:sz w:val="20"/>
          <w:szCs w:val="20"/>
          <w:color w:val="auto"/>
        </w:rPr>
      </w:pPr>
    </w:p>
    <w:p>
      <w:pPr>
        <w:jc w:val="both"/>
        <w:ind w:left="20" w:firstLine="487"/>
        <w:spacing w:after="0" w:line="237" w:lineRule="auto"/>
        <w:tabs>
          <w:tab w:leader="none" w:pos="909" w:val="left"/>
        </w:tabs>
        <w:numPr>
          <w:ilvl w:val="0"/>
          <w:numId w:val="84"/>
        </w:numPr>
        <w:rPr>
          <w:rFonts w:ascii="Arial" w:cs="Arial" w:eastAsia="Arial" w:hAnsi="Arial"/>
          <w:sz w:val="15"/>
          <w:szCs w:val="15"/>
          <w:color w:val="auto"/>
        </w:rPr>
      </w:pPr>
      <w:r>
        <w:rPr>
          <w:rFonts w:ascii="Arial" w:cs="Arial" w:eastAsia="Arial" w:hAnsi="Arial"/>
          <w:sz w:val="15"/>
          <w:szCs w:val="15"/>
          <w:color w:val="010101"/>
        </w:rPr>
        <w:t>All computations of interest based on Wells Fargo Bank’s prime rate shall be made by the Administrative Agent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on Advances denominated in any Foreign Currency as to which market practice differs from the foregoing shall be computed in accordance with market practice for such Advances. Each determination by the Administrative Agent of an interest rate hereunder shall be conclusive and binding for all purposes, absent demonstrable error.</w:t>
      </w:r>
    </w:p>
    <w:p>
      <w:pPr>
        <w:spacing w:after="0" w:line="148" w:lineRule="exact"/>
        <w:rPr>
          <w:rFonts w:ascii="Arial" w:cs="Arial" w:eastAsia="Arial" w:hAnsi="Arial"/>
          <w:sz w:val="15"/>
          <w:szCs w:val="15"/>
          <w:color w:val="auto"/>
        </w:rPr>
      </w:pPr>
    </w:p>
    <w:p>
      <w:pPr>
        <w:jc w:val="both"/>
        <w:ind w:left="20" w:right="20" w:firstLine="487"/>
        <w:spacing w:after="0" w:line="225" w:lineRule="auto"/>
        <w:tabs>
          <w:tab w:leader="none" w:pos="910" w:val="left"/>
        </w:tabs>
        <w:numPr>
          <w:ilvl w:val="0"/>
          <w:numId w:val="84"/>
        </w:numPr>
        <w:rPr>
          <w:rFonts w:ascii="Arial" w:cs="Arial" w:eastAsia="Arial" w:hAnsi="Arial"/>
          <w:sz w:val="16"/>
          <w:szCs w:val="16"/>
          <w:color w:val="auto"/>
        </w:rPr>
      </w:pPr>
      <w:r>
        <w:rPr>
          <w:rFonts w:ascii="Arial" w:cs="Arial" w:eastAsia="Arial" w:hAnsi="Arial"/>
          <w:sz w:val="16"/>
          <w:szCs w:val="16"/>
          <w:color w:val="010101"/>
        </w:rPr>
        <w:t xml:space="preserve">Whenever any payment hereunder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however</w:t>
      </w:r>
      <w:r>
        <w:rPr>
          <w:rFonts w:ascii="Arial" w:cs="Arial" w:eastAsia="Arial" w:hAnsi="Arial"/>
          <w:sz w:val="16"/>
          <w:szCs w:val="16"/>
          <w:color w:val="010101"/>
        </w:rPr>
        <w:t>, that, if such extension would cause payment of interest on or principal of Eurocurrency Rate Advances to be made in the next following calendar month, such payment shall be made on the next preceding Business Day.</w:t>
      </w:r>
    </w:p>
    <w:p>
      <w:pPr>
        <w:spacing w:after="0" w:line="138" w:lineRule="exact"/>
        <w:rPr>
          <w:rFonts w:ascii="Arial" w:cs="Arial" w:eastAsia="Arial" w:hAnsi="Arial"/>
          <w:sz w:val="16"/>
          <w:szCs w:val="16"/>
          <w:color w:val="auto"/>
        </w:rPr>
      </w:pPr>
    </w:p>
    <w:p>
      <w:pPr>
        <w:jc w:val="both"/>
        <w:ind w:left="20" w:firstLine="487"/>
        <w:spacing w:after="0" w:line="235" w:lineRule="auto"/>
        <w:tabs>
          <w:tab w:leader="none" w:pos="909" w:val="left"/>
        </w:tabs>
        <w:numPr>
          <w:ilvl w:val="0"/>
          <w:numId w:val="84"/>
        </w:numPr>
        <w:rPr>
          <w:rFonts w:ascii="Arial" w:cs="Arial" w:eastAsia="Arial" w:hAnsi="Arial"/>
          <w:sz w:val="15"/>
          <w:szCs w:val="15"/>
          <w:color w:val="auto"/>
        </w:rPr>
      </w:pPr>
      <w:r>
        <w:rPr>
          <w:rFonts w:ascii="Arial" w:cs="Arial" w:eastAsia="Arial" w:hAnsi="Arial"/>
          <w:sz w:val="15"/>
          <w:szCs w:val="15"/>
          <w:color w:val="010101"/>
        </w:rPr>
        <w:t>Unless the Administrative Agent shall have received notice from the Company prior to the date on which any payment is due to the Lenders hereunder that the applicable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the applicable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18" w:name="page119"/>
    <w:bookmarkEnd w:id="118"/>
    <w:p>
      <w:pPr>
        <w:ind w:left="500"/>
        <w:spacing w:after="0"/>
        <w:tabs>
          <w:tab w:leader="none" w:pos="1700" w:val="left"/>
        </w:tabs>
        <w:rPr>
          <w:sz w:val="20"/>
          <w:szCs w:val="20"/>
          <w:color w:val="auto"/>
        </w:rPr>
      </w:pPr>
      <w:r>
        <w:rPr>
          <w:rFonts w:ascii="Arial" w:cs="Arial" w:eastAsia="Arial" w:hAnsi="Arial"/>
          <w:sz w:val="16"/>
          <w:szCs w:val="16"/>
          <w:color w:val="auto"/>
        </w:rPr>
        <w:t>SECTION 2.14.</w:t>
      </w:r>
      <w:r>
        <w:rPr>
          <w:sz w:val="20"/>
          <w:szCs w:val="20"/>
          <w:color w:val="auto"/>
        </w:rPr>
        <w:tab/>
      </w:r>
      <w:r>
        <w:rPr>
          <w:rFonts w:ascii="Arial" w:cs="Arial" w:eastAsia="Arial" w:hAnsi="Arial"/>
          <w:sz w:val="13"/>
          <w:szCs w:val="13"/>
          <w:u w:val="single" w:color="auto"/>
          <w:color w:val="010101"/>
        </w:rPr>
        <w:t>Taxes</w:t>
      </w:r>
    </w:p>
    <w:p>
      <w:pPr>
        <w:spacing w:after="0" w:line="170" w:lineRule="exact"/>
        <w:rPr>
          <w:sz w:val="20"/>
          <w:szCs w:val="20"/>
          <w:color w:val="auto"/>
        </w:rPr>
      </w:pPr>
    </w:p>
    <w:p>
      <w:pPr>
        <w:ind w:left="20" w:right="20" w:firstLine="487"/>
        <w:spacing w:after="0" w:line="219" w:lineRule="auto"/>
        <w:tabs>
          <w:tab w:leader="none" w:pos="586" w:val="left"/>
        </w:tabs>
        <w:numPr>
          <w:ilvl w:val="0"/>
          <w:numId w:val="85"/>
        </w:numPr>
        <w:rPr>
          <w:rFonts w:ascii="Arial" w:cs="Arial" w:eastAsia="Arial" w:hAnsi="Arial"/>
          <w:sz w:val="16"/>
          <w:szCs w:val="16"/>
          <w:color w:val="010101"/>
        </w:rPr>
      </w:pPr>
      <w:r>
        <w:rPr>
          <w:rFonts w:ascii="Arial" w:cs="Arial" w:eastAsia="Arial" w:hAnsi="Arial"/>
          <w:sz w:val="16"/>
          <w:szCs w:val="16"/>
          <w:color w:val="010101"/>
        </w:rPr>
        <w:t>(a) Any and all payments by any Credit Party hereunder shall be made free and clear of and without deduction or withholding for any and all present or future Taxes and all liabilities with respect thereto, except as required by Applicable Law. If any Credit Party shall be required by law to deduct or withhold any Taxes from or in respect of any sum payable hereunder to any Lender or the Administrative Agent, (i) if such Taxes are Indemnified Taxes, the sum payable by the applicable Credit Party shall be increased as may be necessary so that after making all required deductions or withholding (including deductions or withholding applicable to additional sums payable under this Section 2.14) such Lender or the Administrative Agent (as the case may be) receives an amount equal to the sum it would have received had no such deductions or withholding been made, (ii) such Credit Party shall make such deductions and (iii) such Credit Party shall pay the full amount deducted to the relevant Governmental Authority in accordance with Applicable Law.</w:t>
      </w:r>
    </w:p>
    <w:p>
      <w:pPr>
        <w:spacing w:after="0" w:line="148" w:lineRule="exact"/>
        <w:rPr>
          <w:sz w:val="20"/>
          <w:szCs w:val="20"/>
          <w:color w:val="auto"/>
        </w:rPr>
      </w:pPr>
    </w:p>
    <w:p>
      <w:pPr>
        <w:ind w:left="20" w:right="40" w:firstLine="485"/>
        <w:spacing w:after="0" w:line="239" w:lineRule="auto"/>
        <w:rPr>
          <w:sz w:val="20"/>
          <w:szCs w:val="20"/>
          <w:color w:val="auto"/>
        </w:rPr>
      </w:pPr>
      <w:r>
        <w:rPr>
          <w:rFonts w:ascii="Arial" w:cs="Arial" w:eastAsia="Arial" w:hAnsi="Arial"/>
          <w:sz w:val="16"/>
          <w:szCs w:val="16"/>
          <w:color w:val="010101"/>
        </w:rPr>
        <w:t>In addition, without duplication of Section 2.14(a), each Credit Party agrees to pay to the relevant Governmental Authority in accordance with Applicable Law, or at the option of the Administrative Agent reimburse it for the payment of, any Other Taxes.</w:t>
      </w:r>
    </w:p>
    <w:p>
      <w:pPr>
        <w:spacing w:after="0" w:line="139" w:lineRule="exact"/>
        <w:rPr>
          <w:sz w:val="20"/>
          <w:szCs w:val="20"/>
          <w:color w:val="auto"/>
        </w:rPr>
      </w:pPr>
    </w:p>
    <w:p>
      <w:pPr>
        <w:jc w:val="both"/>
        <w:ind w:left="20" w:right="20" w:firstLine="487"/>
        <w:spacing w:after="0"/>
        <w:tabs>
          <w:tab w:leader="none" w:pos="909" w:val="left"/>
        </w:tabs>
        <w:numPr>
          <w:ilvl w:val="0"/>
          <w:numId w:val="86"/>
        </w:numPr>
        <w:rPr>
          <w:rFonts w:ascii="Arial" w:cs="Arial" w:eastAsia="Arial" w:hAnsi="Arial"/>
          <w:sz w:val="15"/>
          <w:szCs w:val="15"/>
          <w:color w:val="auto"/>
        </w:rPr>
      </w:pPr>
      <w:r>
        <w:rPr>
          <w:rFonts w:ascii="Arial" w:cs="Arial" w:eastAsia="Arial" w:hAnsi="Arial"/>
          <w:sz w:val="15"/>
          <w:szCs w:val="15"/>
          <w:color w:val="010101"/>
        </w:rPr>
        <w:t>The Company and the Guarantors jointly and severally shall indemnify each Lender and the Administrative Agent for the full amount of Indemnified Taxes (including, without limitation, any Taxes imposed by any jurisdiction on amounts payable under this Section 2.14) imposed on or paid by such Lender or the Administrative Agent (as the case may be) and any liability (including penalties, interest and expenses) arising therefrom or with respect thereto. This indemnification shall be made within 30 days from the date such Lender or the Administrative Agent (as the case may be) makes written demand therefor.</w:t>
      </w:r>
    </w:p>
    <w:p>
      <w:pPr>
        <w:spacing w:after="0" w:line="148" w:lineRule="exact"/>
        <w:rPr>
          <w:rFonts w:ascii="Arial" w:cs="Arial" w:eastAsia="Arial" w:hAnsi="Arial"/>
          <w:sz w:val="15"/>
          <w:szCs w:val="15"/>
          <w:color w:val="auto"/>
        </w:rPr>
      </w:pPr>
    </w:p>
    <w:p>
      <w:pPr>
        <w:jc w:val="both"/>
        <w:ind w:left="20" w:right="40" w:firstLine="487"/>
        <w:spacing w:after="0" w:line="225" w:lineRule="auto"/>
        <w:tabs>
          <w:tab w:leader="none" w:pos="910" w:val="left"/>
        </w:tabs>
        <w:numPr>
          <w:ilvl w:val="0"/>
          <w:numId w:val="86"/>
        </w:numPr>
        <w:rPr>
          <w:rFonts w:ascii="Arial" w:cs="Arial" w:eastAsia="Arial" w:hAnsi="Arial"/>
          <w:sz w:val="16"/>
          <w:szCs w:val="16"/>
          <w:color w:val="auto"/>
        </w:rPr>
      </w:pPr>
      <w:r>
        <w:rPr>
          <w:rFonts w:ascii="Arial" w:cs="Arial" w:eastAsia="Arial" w:hAnsi="Arial"/>
          <w:sz w:val="16"/>
          <w:szCs w:val="16"/>
          <w:color w:val="010101"/>
        </w:rPr>
        <w:t>Within 30 days after the date of any payment of Taxes (including Excluded Taxes) to a Governmental Authority by the Company or any Foreign Borrower pursuant to this Section 2.14, the Company shall furnish to the Administrative Agent, at its address referred to in Section 9.02, the original or a certified copy of a receipt evidencing payment thereof. The Administrative Agent will post any receipt so received in relation to the payment of Taxes (including Excluded Taxes) from the Company or any Foreign Borrower on the Platform promptly upon receipt.</w:t>
      </w:r>
    </w:p>
    <w:p>
      <w:pPr>
        <w:spacing w:after="0" w:line="148" w:lineRule="exact"/>
        <w:rPr>
          <w:rFonts w:ascii="Arial" w:cs="Arial" w:eastAsia="Arial" w:hAnsi="Arial"/>
          <w:sz w:val="16"/>
          <w:szCs w:val="16"/>
          <w:color w:val="auto"/>
        </w:rPr>
      </w:pPr>
    </w:p>
    <w:p>
      <w:pPr>
        <w:ind w:left="20" w:firstLine="487"/>
        <w:spacing w:after="0" w:line="233" w:lineRule="auto"/>
        <w:tabs>
          <w:tab w:leader="none" w:pos="909" w:val="left"/>
        </w:tabs>
        <w:numPr>
          <w:ilvl w:val="0"/>
          <w:numId w:val="86"/>
        </w:numPr>
        <w:rPr>
          <w:rFonts w:ascii="Arial" w:cs="Arial" w:eastAsia="Arial" w:hAnsi="Arial"/>
          <w:sz w:val="15"/>
          <w:szCs w:val="15"/>
          <w:color w:val="auto"/>
        </w:rPr>
      </w:pPr>
      <w:r>
        <w:rPr>
          <w:rFonts w:ascii="Arial" w:cs="Arial" w:eastAsia="Arial" w:hAnsi="Arial"/>
          <w:sz w:val="15"/>
          <w:szCs w:val="15"/>
          <w:color w:val="010101"/>
        </w:rPr>
        <w:t>(i) Any Lender that is entitled to an exemption from or reduction of withholding Tax with respect to payments made under any Loan Document shall deliver to the Company and the Administrative Agent, at the time or times reasonably requested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Without limiting the generality of the foregoing, each Lender organized under the laws of a jurisdiction outside the United States (each, a “</w:t>
      </w:r>
      <w:r>
        <w:rPr>
          <w:rFonts w:ascii="Arial" w:cs="Arial" w:eastAsia="Arial" w:hAnsi="Arial"/>
          <w:sz w:val="15"/>
          <w:szCs w:val="15"/>
          <w:u w:val="single" w:color="auto"/>
          <w:color w:val="010101"/>
        </w:rPr>
        <w:t>Foreign Lender</w:t>
      </w:r>
      <w:r>
        <w:rPr>
          <w:rFonts w:ascii="Arial" w:cs="Arial" w:eastAsia="Arial" w:hAnsi="Arial"/>
          <w:sz w:val="15"/>
          <w:szCs w:val="15"/>
          <w:color w:val="010101"/>
        </w:rPr>
        <w:t>”), on or prior to the date of its execution and delivery</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19" w:name="page120"/>
    <w:bookmarkEnd w:id="119"/>
    <w:p>
      <w:pPr>
        <w:jc w:val="both"/>
        <w:ind w:left="20"/>
        <w:spacing w:after="0" w:line="230" w:lineRule="auto"/>
        <w:rPr>
          <w:sz w:val="20"/>
          <w:szCs w:val="20"/>
          <w:color w:val="auto"/>
        </w:rPr>
      </w:pPr>
      <w:r>
        <w:rPr>
          <w:rFonts w:ascii="Arial" w:cs="Arial" w:eastAsia="Arial" w:hAnsi="Arial"/>
          <w:sz w:val="15"/>
          <w:szCs w:val="15"/>
          <w:color w:val="010101"/>
        </w:rPr>
        <w:t>of this Agreement in the case of each Initial Lender and on the date of the Assumption Agreement or the Assignment and Assumption, as the case may be, pursuant to which it becomes a Lender in the case of each other Lender, and from time to time thereafter as requested in writing by the Company (but only so long as such Lender remains lawfully able to do so), shall provide each of the Administrative Agent and the Company with two original Internal Revenue Service Forms W-8BEN, W-8BEN-E, W-8IMY or W-8ECI, as appropriate, or any successor or other form prescribed by the Internal Revenue Service, certifying that such Lender is exempt from or entitled to a reduced rate of United States Federal withholding Tax on payments pursuant to this Agreement. Each Foreign Lender claiming the benefits of the exemption for portfolio interest under Section 871(h) or 881(c) of the Internal Revenue Code shall further provide each of the Administrative Agent and the Company (x) a certificate to the effect that such Lender is not (A) a “bank” within the meaning of Section 881(c)(3)(A) of the Internal Revenue Code, (B) a “10 percent shareholder” of the Company within the meaning of Section 871(h)(3) or 881(c)(3)(B) of the Internal Revenue Code or (C) a “controlled foreign corporation” described in Section 881(c)(3)(C) of the Internal Revenue Code. In addition, each Lender that is organized under the laws of the United States or any political subdivision thereof shall deliver to the Company and the Administrative Agent two copies of Internal Revenue Service Form W-9 (or any subsequent versions thereof or successors thereto) on or before the date such Lender becomes a party to this Agreement and upon the expiration of any form previously delivered by such Lender.</w:t>
      </w:r>
    </w:p>
    <w:p>
      <w:pPr>
        <w:spacing w:after="0" w:line="203" w:lineRule="exact"/>
        <w:rPr>
          <w:sz w:val="20"/>
          <w:szCs w:val="20"/>
          <w:color w:val="auto"/>
        </w:rPr>
      </w:pPr>
    </w:p>
    <w:p>
      <w:pPr>
        <w:jc w:val="both"/>
        <w:ind w:left="20" w:right="20" w:firstLine="972"/>
        <w:spacing w:after="0" w:line="218" w:lineRule="auto"/>
        <w:tabs>
          <w:tab w:leader="none" w:pos="1394" w:val="left"/>
        </w:tabs>
        <w:numPr>
          <w:ilvl w:val="1"/>
          <w:numId w:val="87"/>
        </w:numPr>
        <w:rPr>
          <w:rFonts w:ascii="Arial" w:cs="Arial" w:eastAsia="Arial" w:hAnsi="Arial"/>
          <w:sz w:val="16"/>
          <w:szCs w:val="16"/>
          <w:b w:val="1"/>
          <w:bCs w:val="1"/>
          <w:color w:val="auto"/>
        </w:rPr>
      </w:pPr>
      <w:r>
        <w:rPr>
          <w:rFonts w:ascii="Arial" w:cs="Arial" w:eastAsia="Arial" w:hAnsi="Arial"/>
          <w:sz w:val="16"/>
          <w:szCs w:val="16"/>
          <w:color w:val="010101"/>
        </w:rPr>
        <w:t>If a payment made to a Lender hereunder would be subject to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Applicable Law and at such time or times reasonably requested by the Company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clause (ii), “FATCA” includes any amendment made to FATCA after the date of this Agreement.</w:t>
      </w:r>
    </w:p>
    <w:p>
      <w:pPr>
        <w:spacing w:after="0" w:line="148" w:lineRule="exact"/>
        <w:rPr>
          <w:rFonts w:ascii="Arial" w:cs="Arial" w:eastAsia="Arial" w:hAnsi="Arial"/>
          <w:sz w:val="16"/>
          <w:szCs w:val="16"/>
          <w:b w:val="1"/>
          <w:bCs w:val="1"/>
          <w:color w:val="auto"/>
        </w:rPr>
      </w:pPr>
    </w:p>
    <w:p>
      <w:pPr>
        <w:ind w:left="20" w:right="20" w:firstLine="972"/>
        <w:spacing w:after="0" w:line="239" w:lineRule="auto"/>
        <w:tabs>
          <w:tab w:leader="none" w:pos="1394" w:val="left"/>
        </w:tabs>
        <w:numPr>
          <w:ilvl w:val="1"/>
          <w:numId w:val="87"/>
        </w:numPr>
        <w:rPr>
          <w:rFonts w:ascii="Arial" w:cs="Arial" w:eastAsia="Arial" w:hAnsi="Arial"/>
          <w:sz w:val="16"/>
          <w:szCs w:val="16"/>
          <w:b w:val="1"/>
          <w:bCs w:val="1"/>
          <w:color w:val="auto"/>
        </w:rPr>
      </w:pPr>
      <w:r>
        <w:rPr>
          <w:rFonts w:ascii="Arial" w:cs="Arial" w:eastAsia="Arial" w:hAnsi="Arial"/>
          <w:sz w:val="16"/>
          <w:szCs w:val="16"/>
          <w:color w:val="010101"/>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48" w:lineRule="exact"/>
        <w:rPr>
          <w:rFonts w:ascii="Arial" w:cs="Arial" w:eastAsia="Arial" w:hAnsi="Arial"/>
          <w:sz w:val="16"/>
          <w:szCs w:val="16"/>
          <w:b w:val="1"/>
          <w:bCs w:val="1"/>
          <w:color w:val="auto"/>
        </w:rPr>
      </w:pPr>
    </w:p>
    <w:p>
      <w:pPr>
        <w:jc w:val="both"/>
        <w:ind w:left="20" w:right="20" w:firstLine="487"/>
        <w:spacing w:after="0"/>
        <w:tabs>
          <w:tab w:leader="none" w:pos="910" w:val="left"/>
        </w:tabs>
        <w:numPr>
          <w:ilvl w:val="0"/>
          <w:numId w:val="88"/>
        </w:numPr>
        <w:rPr>
          <w:rFonts w:ascii="Arial" w:cs="Arial" w:eastAsia="Arial" w:hAnsi="Arial"/>
          <w:sz w:val="15"/>
          <w:szCs w:val="15"/>
          <w:color w:val="auto"/>
        </w:rPr>
      </w:pPr>
      <w:r>
        <w:rPr>
          <w:rFonts w:ascii="Arial" w:cs="Arial" w:eastAsia="Arial" w:hAnsi="Arial"/>
          <w:sz w:val="15"/>
          <w:szCs w:val="15"/>
          <w:color w:val="010101"/>
        </w:rPr>
        <w:t>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Section 9.07(d) relating to the maintenance of a Participant Register and (iii) any Excluded Taxes attributable to such Lender, in each case, that are payable or paid by the Administrative Agent in connection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20" w:name="page121"/>
    <w:bookmarkEnd w:id="120"/>
    <w:p>
      <w:pPr>
        <w:jc w:val="both"/>
        <w:ind w:left="20" w:right="20"/>
        <w:spacing w:after="0" w:line="222" w:lineRule="auto"/>
        <w:rPr>
          <w:sz w:val="20"/>
          <w:szCs w:val="20"/>
          <w:color w:val="auto"/>
        </w:rPr>
      </w:pPr>
      <w:r>
        <w:rPr>
          <w:rFonts w:ascii="Arial" w:cs="Arial" w:eastAsia="Arial" w:hAnsi="Arial"/>
          <w:sz w:val="16"/>
          <w:szCs w:val="16"/>
          <w:color w:val="010101"/>
        </w:rPr>
        <w:t>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2.14(e).</w:t>
      </w:r>
    </w:p>
    <w:p>
      <w:pPr>
        <w:spacing w:after="0" w:line="149" w:lineRule="exact"/>
        <w:rPr>
          <w:sz w:val="20"/>
          <w:szCs w:val="20"/>
          <w:color w:val="auto"/>
        </w:rPr>
      </w:pPr>
    </w:p>
    <w:p>
      <w:pPr>
        <w:ind w:left="20" w:right="320" w:firstLine="487"/>
        <w:spacing w:after="0" w:line="230" w:lineRule="auto"/>
        <w:tabs>
          <w:tab w:leader="none" w:pos="909" w:val="left"/>
        </w:tabs>
        <w:numPr>
          <w:ilvl w:val="0"/>
          <w:numId w:val="89"/>
        </w:numPr>
        <w:rPr>
          <w:rFonts w:ascii="Arial" w:cs="Arial" w:eastAsia="Arial" w:hAnsi="Arial"/>
          <w:sz w:val="16"/>
          <w:szCs w:val="16"/>
          <w:color w:val="auto"/>
        </w:rPr>
      </w:pPr>
      <w:r>
        <w:rPr>
          <w:rFonts w:ascii="Arial" w:cs="Arial" w:eastAsia="Arial" w:hAnsi="Arial"/>
          <w:sz w:val="16"/>
          <w:szCs w:val="16"/>
          <w:color w:val="010101"/>
        </w:rPr>
        <w:t>(i) Subject to (ii) below, each Lender and each UK Borrower that makes a payment to such Lender shall cooperate in completing any procedural formalities necessary for such UK Borrower to obtain authorization to make such payment without withholding or deduction for Taxes imposed under the laws of the United Kingdom, to the extent provided by the applicable UK Treaty.</w:t>
      </w:r>
    </w:p>
    <w:p>
      <w:pPr>
        <w:spacing w:after="0" w:line="148" w:lineRule="exact"/>
        <w:rPr>
          <w:rFonts w:ascii="Arial" w:cs="Arial" w:eastAsia="Arial" w:hAnsi="Arial"/>
          <w:sz w:val="16"/>
          <w:szCs w:val="16"/>
          <w:color w:val="auto"/>
        </w:rPr>
      </w:pPr>
    </w:p>
    <w:p>
      <w:pPr>
        <w:ind w:left="500" w:right="60" w:firstLine="492"/>
        <w:spacing w:after="0" w:line="271" w:lineRule="auto"/>
        <w:tabs>
          <w:tab w:leader="none" w:pos="1389" w:val="left"/>
        </w:tabs>
        <w:numPr>
          <w:ilvl w:val="1"/>
          <w:numId w:val="89"/>
        </w:numPr>
        <w:rPr>
          <w:rFonts w:ascii="Arial" w:cs="Arial" w:eastAsia="Arial" w:hAnsi="Arial"/>
          <w:sz w:val="15"/>
          <w:szCs w:val="15"/>
          <w:color w:val="auto"/>
        </w:rPr>
      </w:pPr>
      <w:r>
        <w:rPr>
          <w:rFonts w:ascii="Arial" w:cs="Arial" w:eastAsia="Arial" w:hAnsi="Arial"/>
          <w:sz w:val="15"/>
          <w:szCs w:val="15"/>
          <w:color w:val="010101"/>
        </w:rPr>
        <w:t>(A) A Lender on the Effective Date that (x) holds a passport under the HMRC DT Treaty Passport Scheme and (y) wishes such scheme to apply to this Agreement, shall provide its scheme reference number and its jurisdiction of tax residence to each UK Borrower and the Administrative Agent; and</w:t>
      </w:r>
    </w:p>
    <w:p>
      <w:pPr>
        <w:spacing w:after="0" w:line="115" w:lineRule="exact"/>
        <w:rPr>
          <w:rFonts w:ascii="Arial" w:cs="Arial" w:eastAsia="Arial" w:hAnsi="Arial"/>
          <w:sz w:val="15"/>
          <w:szCs w:val="15"/>
          <w:color w:val="auto"/>
        </w:rPr>
      </w:pPr>
    </w:p>
    <w:p>
      <w:pPr>
        <w:jc w:val="both"/>
        <w:ind w:left="1000" w:right="20" w:firstLine="477"/>
        <w:spacing w:after="0" w:line="230" w:lineRule="auto"/>
        <w:tabs>
          <w:tab w:leader="none" w:pos="1889" w:val="left"/>
        </w:tabs>
        <w:numPr>
          <w:ilvl w:val="2"/>
          <w:numId w:val="89"/>
        </w:numPr>
        <w:rPr>
          <w:rFonts w:ascii="Arial" w:cs="Arial" w:eastAsia="Arial" w:hAnsi="Arial"/>
          <w:sz w:val="16"/>
          <w:szCs w:val="16"/>
          <w:color w:val="auto"/>
        </w:rPr>
      </w:pPr>
      <w:r>
        <w:rPr>
          <w:rFonts w:ascii="Arial" w:cs="Arial" w:eastAsia="Arial" w:hAnsi="Arial"/>
          <w:sz w:val="16"/>
          <w:szCs w:val="16"/>
          <w:color w:val="010101"/>
        </w:rPr>
        <w:t>a Lender that becomes a Lender hereunder after the Effective Date that (x) holds a passport under the HMRC DT Treaty Passport Scheme and (y) wishes such scheme to apply to this Agreement, shall provide its scheme reference number and its jurisdiction of tax residence to each UK Borrower and the Administrative Agent.</w:t>
      </w:r>
    </w:p>
    <w:p>
      <w:pPr>
        <w:spacing w:after="0" w:line="148" w:lineRule="exact"/>
        <w:rPr>
          <w:rFonts w:ascii="Arial" w:cs="Arial" w:eastAsia="Arial" w:hAnsi="Arial"/>
          <w:sz w:val="16"/>
          <w:szCs w:val="16"/>
          <w:color w:val="auto"/>
        </w:rPr>
      </w:pPr>
    </w:p>
    <w:p>
      <w:pPr>
        <w:ind w:left="1880" w:hanging="403"/>
        <w:spacing w:after="0"/>
        <w:tabs>
          <w:tab w:leader="none" w:pos="1880" w:val="left"/>
        </w:tabs>
        <w:numPr>
          <w:ilvl w:val="2"/>
          <w:numId w:val="89"/>
        </w:numPr>
        <w:rPr>
          <w:rFonts w:ascii="Arial" w:cs="Arial" w:eastAsia="Arial" w:hAnsi="Arial"/>
          <w:sz w:val="16"/>
          <w:szCs w:val="16"/>
          <w:color w:val="auto"/>
        </w:rPr>
      </w:pPr>
      <w:r>
        <w:rPr>
          <w:rFonts w:ascii="Arial" w:cs="Arial" w:eastAsia="Arial" w:hAnsi="Arial"/>
          <w:sz w:val="16"/>
          <w:szCs w:val="16"/>
          <w:color w:val="010101"/>
        </w:rPr>
        <w:t>Upon satisfying either clause (A) or (B) above, such Lender shall have satisfied its obligation under paragraph (f)(i) above.</w:t>
      </w:r>
    </w:p>
    <w:p>
      <w:pPr>
        <w:spacing w:after="0" w:line="169" w:lineRule="exact"/>
        <w:rPr>
          <w:rFonts w:ascii="Arial" w:cs="Arial" w:eastAsia="Arial" w:hAnsi="Arial"/>
          <w:sz w:val="16"/>
          <w:szCs w:val="16"/>
          <w:color w:val="auto"/>
        </w:rPr>
      </w:pPr>
    </w:p>
    <w:p>
      <w:pPr>
        <w:jc w:val="both"/>
        <w:ind w:left="500" w:firstLine="492"/>
        <w:spacing w:after="0" w:line="225" w:lineRule="auto"/>
        <w:tabs>
          <w:tab w:leader="none" w:pos="1390" w:val="left"/>
        </w:tabs>
        <w:numPr>
          <w:ilvl w:val="1"/>
          <w:numId w:val="89"/>
        </w:numPr>
        <w:rPr>
          <w:rFonts w:ascii="Arial" w:cs="Arial" w:eastAsia="Arial" w:hAnsi="Arial"/>
          <w:sz w:val="16"/>
          <w:szCs w:val="16"/>
          <w:color w:val="auto"/>
        </w:rPr>
      </w:pPr>
      <w:r>
        <w:rPr>
          <w:rFonts w:ascii="Arial" w:cs="Arial" w:eastAsia="Arial" w:hAnsi="Arial"/>
          <w:sz w:val="16"/>
          <w:szCs w:val="16"/>
          <w:color w:val="010101"/>
        </w:rPr>
        <w:t>If a Lender has confirmed its scheme reference number and its jurisdiction of tax residence in accordance with paragraph (f)(ii) above, the UK Borrower(s) shall, as soon as reasonably practicable, and in any case within 10 Business Days of receiving such confirmation, make a Borrower DTTP Filing with respect to such Lender, and shall promptly provide such Lender with a copy of such filing; provided that, if each UK Borrower making a payment to such Lender has made a Borrower DTTP Filing in respect of such Lender but:</w:t>
      </w:r>
    </w:p>
    <w:p>
      <w:pPr>
        <w:spacing w:after="0" w:line="139" w:lineRule="exact"/>
        <w:rPr>
          <w:sz w:val="20"/>
          <w:szCs w:val="20"/>
          <w:color w:val="auto"/>
        </w:rPr>
      </w:pPr>
    </w:p>
    <w:p>
      <w:pPr>
        <w:ind w:left="1000" w:hanging="493"/>
        <w:spacing w:after="0"/>
        <w:tabs>
          <w:tab w:leader="none" w:pos="1000" w:val="left"/>
        </w:tabs>
        <w:numPr>
          <w:ilvl w:val="0"/>
          <w:numId w:val="90"/>
        </w:numPr>
        <w:rPr>
          <w:rFonts w:ascii="Arial" w:cs="Arial" w:eastAsia="Arial" w:hAnsi="Arial"/>
          <w:sz w:val="16"/>
          <w:szCs w:val="16"/>
          <w:color w:val="010101"/>
        </w:rPr>
      </w:pPr>
      <w:r>
        <w:rPr>
          <w:rFonts w:ascii="Arial" w:cs="Arial" w:eastAsia="Arial" w:hAnsi="Arial"/>
          <w:sz w:val="16"/>
          <w:szCs w:val="16"/>
          <w:color w:val="010101"/>
        </w:rPr>
        <w:t>such Borrower DTTP Filing has been rejected by HM Revenue &amp; Customs; or</w:t>
      </w:r>
    </w:p>
    <w:p>
      <w:pPr>
        <w:spacing w:after="0" w:line="169" w:lineRule="exact"/>
        <w:rPr>
          <w:rFonts w:ascii="Arial" w:cs="Arial" w:eastAsia="Arial" w:hAnsi="Arial"/>
          <w:sz w:val="16"/>
          <w:szCs w:val="16"/>
          <w:color w:val="010101"/>
        </w:rPr>
      </w:pPr>
    </w:p>
    <w:p>
      <w:pPr>
        <w:jc w:val="both"/>
        <w:ind w:left="20" w:right="20" w:firstLine="487"/>
        <w:spacing w:after="0" w:line="230" w:lineRule="auto"/>
        <w:tabs>
          <w:tab w:leader="none" w:pos="909" w:val="left"/>
        </w:tabs>
        <w:numPr>
          <w:ilvl w:val="0"/>
          <w:numId w:val="90"/>
        </w:numPr>
        <w:rPr>
          <w:rFonts w:ascii="Arial" w:cs="Arial" w:eastAsia="Arial" w:hAnsi="Arial"/>
          <w:sz w:val="16"/>
          <w:szCs w:val="16"/>
          <w:color w:val="010101"/>
        </w:rPr>
      </w:pPr>
      <w:r>
        <w:rPr>
          <w:rFonts w:ascii="Arial" w:cs="Arial" w:eastAsia="Arial" w:hAnsi="Arial"/>
          <w:sz w:val="16"/>
          <w:szCs w:val="16"/>
          <w:color w:val="010101"/>
        </w:rPr>
        <w:t>HM Revenue &amp; Customs has not given such UK Borrower authority to make payments to such Lender without a deduction for tax, or where the UK Treaty does not provide for full relief, HM Revenue &amp; Customs has not given such UK Borrower authority to make payments to such Lender without a reduced deduction for tax in accordance with the provisions of the relevant UK Treaty within 30 days of the date of such Borrower DTTP Filing;</w:t>
      </w:r>
    </w:p>
    <w:p>
      <w:pPr>
        <w:spacing w:after="0" w:line="148" w:lineRule="exact"/>
        <w:rPr>
          <w:sz w:val="20"/>
          <w:szCs w:val="20"/>
          <w:color w:val="auto"/>
        </w:rPr>
      </w:pPr>
    </w:p>
    <w:p>
      <w:pPr>
        <w:ind w:left="20" w:right="20" w:firstLine="485"/>
        <w:spacing w:after="0" w:line="239" w:lineRule="auto"/>
        <w:rPr>
          <w:sz w:val="20"/>
          <w:szCs w:val="20"/>
          <w:color w:val="auto"/>
        </w:rPr>
      </w:pPr>
      <w:r>
        <w:rPr>
          <w:rFonts w:ascii="Arial" w:cs="Arial" w:eastAsia="Arial" w:hAnsi="Arial"/>
          <w:sz w:val="16"/>
          <w:szCs w:val="16"/>
          <w:color w:val="010101"/>
        </w:rPr>
        <w:t>and in each case, such UK Borrower has notified that Lender in writing of (1) or (2) above, then such Lender and such UK Borrower shall cooperate in completing any additional procedural formalities necessary for such UK Borrower to obtain authorization to make that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59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21" w:name="page122"/>
    <w:bookmarkEnd w:id="121"/>
    <w:p>
      <w:pPr>
        <w:ind w:left="20"/>
        <w:spacing w:after="0"/>
        <w:rPr>
          <w:sz w:val="20"/>
          <w:szCs w:val="20"/>
          <w:color w:val="auto"/>
        </w:rPr>
      </w:pPr>
      <w:r>
        <w:rPr>
          <w:rFonts w:ascii="Arial" w:cs="Arial" w:eastAsia="Arial" w:hAnsi="Arial"/>
          <w:sz w:val="16"/>
          <w:szCs w:val="16"/>
          <w:color w:val="010101"/>
        </w:rPr>
        <w:t>payment without withholding or deduction for Taxes imposed under the laws of the United Kingdom.</w:t>
      </w:r>
    </w:p>
    <w:p>
      <w:pPr>
        <w:spacing w:after="0" w:line="220" w:lineRule="exact"/>
        <w:rPr>
          <w:sz w:val="20"/>
          <w:szCs w:val="20"/>
          <w:color w:val="auto"/>
        </w:rPr>
      </w:pPr>
    </w:p>
    <w:p>
      <w:pPr>
        <w:jc w:val="both"/>
        <w:ind w:left="500" w:right="40" w:firstLine="492"/>
        <w:spacing w:after="0" w:line="230" w:lineRule="auto"/>
        <w:tabs>
          <w:tab w:leader="none" w:pos="1389" w:val="left"/>
        </w:tabs>
        <w:numPr>
          <w:ilvl w:val="1"/>
          <w:numId w:val="91"/>
        </w:numPr>
        <w:rPr>
          <w:rFonts w:ascii="Arial" w:cs="Arial" w:eastAsia="Arial" w:hAnsi="Arial"/>
          <w:sz w:val="16"/>
          <w:szCs w:val="16"/>
          <w:color w:val="auto"/>
        </w:rPr>
      </w:pPr>
      <w:r>
        <w:rPr>
          <w:rFonts w:ascii="Arial" w:cs="Arial" w:eastAsia="Arial" w:hAnsi="Arial"/>
          <w:sz w:val="16"/>
          <w:szCs w:val="16"/>
          <w:color w:val="010101"/>
        </w:rPr>
        <w:t>If a Lender has not confirmed its scheme reference number and jurisdiction of tax residence in accordance with paragraph (f)(ii) above, no UK Borrower shall make a Borrower DTTP Filing or file any other form relating to the HMRC DT Treaty Passport Scheme in respect of that Lender’s Commitments or Loans unless the Lender otherwise agrees.</w:t>
      </w:r>
    </w:p>
    <w:p>
      <w:pPr>
        <w:spacing w:after="0" w:line="148" w:lineRule="exact"/>
        <w:rPr>
          <w:rFonts w:ascii="Arial" w:cs="Arial" w:eastAsia="Arial" w:hAnsi="Arial"/>
          <w:sz w:val="16"/>
          <w:szCs w:val="16"/>
          <w:color w:val="auto"/>
        </w:rPr>
      </w:pPr>
    </w:p>
    <w:p>
      <w:pPr>
        <w:ind w:left="500" w:right="40" w:firstLine="492"/>
        <w:spacing w:after="0" w:line="239" w:lineRule="auto"/>
        <w:tabs>
          <w:tab w:leader="none" w:pos="1389" w:val="left"/>
        </w:tabs>
        <w:numPr>
          <w:ilvl w:val="1"/>
          <w:numId w:val="91"/>
        </w:numPr>
        <w:rPr>
          <w:rFonts w:ascii="Arial" w:cs="Arial" w:eastAsia="Arial" w:hAnsi="Arial"/>
          <w:sz w:val="16"/>
          <w:szCs w:val="16"/>
          <w:color w:val="auto"/>
        </w:rPr>
      </w:pPr>
      <w:r>
        <w:rPr>
          <w:rFonts w:ascii="Arial" w:cs="Arial" w:eastAsia="Arial" w:hAnsi="Arial"/>
          <w:sz w:val="16"/>
          <w:szCs w:val="16"/>
          <w:color w:val="010101"/>
        </w:rPr>
        <w:t>Each UK Borrower shall, promptly on making a Borrower DTTP Filing, deliver a copy of such Borrower DTTP Filing to the Administrative Agent for delivery to the relevant Lender.</w:t>
      </w:r>
    </w:p>
    <w:p>
      <w:pPr>
        <w:spacing w:after="0" w:line="148" w:lineRule="exact"/>
        <w:rPr>
          <w:rFonts w:ascii="Arial" w:cs="Arial" w:eastAsia="Arial" w:hAnsi="Arial"/>
          <w:sz w:val="16"/>
          <w:szCs w:val="16"/>
          <w:color w:val="auto"/>
        </w:rPr>
      </w:pPr>
    </w:p>
    <w:p>
      <w:pPr>
        <w:jc w:val="both"/>
        <w:ind w:left="500" w:right="40" w:firstLine="492"/>
        <w:spacing w:after="0" w:line="308" w:lineRule="auto"/>
        <w:tabs>
          <w:tab w:leader="none" w:pos="1389" w:val="left"/>
        </w:tabs>
        <w:numPr>
          <w:ilvl w:val="1"/>
          <w:numId w:val="91"/>
        </w:numPr>
        <w:rPr>
          <w:rFonts w:ascii="Arial" w:cs="Arial" w:eastAsia="Arial" w:hAnsi="Arial"/>
          <w:sz w:val="14"/>
          <w:szCs w:val="14"/>
          <w:color w:val="auto"/>
        </w:rPr>
      </w:pPr>
      <w:r>
        <w:rPr>
          <w:rFonts w:ascii="Arial" w:cs="Arial" w:eastAsia="Arial" w:hAnsi="Arial"/>
          <w:sz w:val="14"/>
          <w:szCs w:val="14"/>
          <w:color w:val="010101"/>
        </w:rPr>
        <w:t>Each Lender shall notify the Company, the applicable UK Borrower and the Administrative Agent if it determines in its sole discretion that it ceases to be entitled to claim the benefits of an income tax treaty to which the United Kingdom is a party with respect to payments made by any UK Borrower hereunder.</w:t>
      </w:r>
    </w:p>
    <w:p>
      <w:pPr>
        <w:spacing w:after="0" w:line="91" w:lineRule="exact"/>
        <w:rPr>
          <w:rFonts w:ascii="Arial" w:cs="Arial" w:eastAsia="Arial" w:hAnsi="Arial"/>
          <w:sz w:val="14"/>
          <w:szCs w:val="14"/>
          <w:color w:val="auto"/>
        </w:rPr>
      </w:pPr>
    </w:p>
    <w:p>
      <w:pPr>
        <w:jc w:val="both"/>
        <w:ind w:left="20" w:firstLine="487"/>
        <w:spacing w:after="0" w:line="230" w:lineRule="auto"/>
        <w:tabs>
          <w:tab w:leader="none" w:pos="909" w:val="left"/>
        </w:tabs>
        <w:numPr>
          <w:ilvl w:val="0"/>
          <w:numId w:val="92"/>
        </w:numPr>
        <w:rPr>
          <w:rFonts w:ascii="Arial" w:cs="Arial" w:eastAsia="Arial" w:hAnsi="Arial"/>
          <w:sz w:val="15"/>
          <w:szCs w:val="15"/>
          <w:color w:val="auto"/>
        </w:rPr>
      </w:pPr>
      <w:r>
        <w:rPr>
          <w:rFonts w:ascii="Arial" w:cs="Arial" w:eastAsia="Arial" w:hAnsi="Arial"/>
          <w:sz w:val="15"/>
          <w:szCs w:val="15"/>
          <w:color w:val="010101"/>
        </w:rPr>
        <w:t>If any party determines, in its sole discretion exercised in good faith, that it has received a refund of any Taxes as to which it has been indemnified pursuant to this Section (including by the payment of additional amounts paid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any indemnified party be required to pay any amount to any indemnifying party pursuant to this paragraph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2" w:lineRule="exact"/>
        <w:rPr>
          <w:rFonts w:ascii="Arial" w:cs="Arial" w:eastAsia="Arial" w:hAnsi="Arial"/>
          <w:sz w:val="15"/>
          <w:szCs w:val="15"/>
          <w:color w:val="auto"/>
        </w:rPr>
      </w:pPr>
    </w:p>
    <w:p>
      <w:pPr>
        <w:jc w:val="both"/>
        <w:ind w:left="20" w:right="40" w:firstLine="487"/>
        <w:spacing w:after="0" w:line="230" w:lineRule="auto"/>
        <w:tabs>
          <w:tab w:leader="none" w:pos="909" w:val="left"/>
        </w:tabs>
        <w:numPr>
          <w:ilvl w:val="0"/>
          <w:numId w:val="92"/>
        </w:numPr>
        <w:rPr>
          <w:rFonts w:ascii="Arial" w:cs="Arial" w:eastAsia="Arial" w:hAnsi="Arial"/>
          <w:sz w:val="16"/>
          <w:szCs w:val="16"/>
          <w:color w:val="auto"/>
        </w:rPr>
      </w:pPr>
      <w:r>
        <w:rPr>
          <w:rFonts w:ascii="Arial" w:cs="Arial" w:eastAsia="Arial" w:hAnsi="Arial"/>
          <w:sz w:val="16"/>
          <w:szCs w:val="16"/>
          <w:color w:val="010101"/>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2.15.</w:t>
      </w:r>
      <w:r>
        <w:rPr>
          <w:sz w:val="20"/>
          <w:szCs w:val="20"/>
          <w:color w:val="auto"/>
        </w:rPr>
        <w:tab/>
      </w:r>
      <w:r>
        <w:rPr>
          <w:rFonts w:ascii="Arial" w:cs="Arial" w:eastAsia="Arial" w:hAnsi="Arial"/>
          <w:sz w:val="14"/>
          <w:szCs w:val="14"/>
          <w:u w:val="single" w:color="auto"/>
          <w:color w:val="010101"/>
        </w:rPr>
        <w:t>Sharing of Payments, Etc.</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22" w:name="page123"/>
    <w:bookmarkEnd w:id="122"/>
    <w:p>
      <w:pPr>
        <w:jc w:val="both"/>
        <w:ind w:left="20" w:right="20" w:firstLine="608"/>
        <w:spacing w:after="0" w:line="229" w:lineRule="auto"/>
        <w:rPr>
          <w:sz w:val="20"/>
          <w:szCs w:val="20"/>
          <w:color w:val="auto"/>
        </w:rPr>
      </w:pPr>
      <w:r>
        <w:rPr>
          <w:rFonts w:ascii="Arial" w:cs="Arial" w:eastAsia="Arial" w:hAnsi="Arial"/>
          <w:sz w:val="15"/>
          <w:szCs w:val="15"/>
          <w:color w:val="010101"/>
        </w:rPr>
        <w:t xml:space="preserve">If any Lender shall obtain any payment (whether voluntary, involuntary, through the exercise of any right of set-off, or otherwise) on account of the Advances or L/C Obligations owing to it (other than pursuant to Section 2.11, 2.14 or 9.04(c)) in excess of its ratable share of payments on account of the Advances or L/C Obligations of the relevant Tranche obtained by all the Lenders of such Tranche, such Lender shall forthwith purchase from the other Lenders of such Tranche such participations in the Advances or L/C Obligations of such Tranche owing to them as shall be necessary to cause such purchasing Lender to share the excess payment ratably with each of them;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however</w:t>
      </w:r>
      <w:r>
        <w:rPr>
          <w:rFonts w:ascii="Arial" w:cs="Arial" w:eastAsia="Arial" w:hAnsi="Arial"/>
          <w:sz w:val="15"/>
          <w:szCs w:val="15"/>
          <w:color w:val="010101"/>
        </w:rPr>
        <w:t xml:space="preserve">, that if all or any portion of such excess payment is thereafter recovered from such purchasing Lender, such purchase from each Lender of such Tranche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further</w:t>
      </w:r>
      <w:r>
        <w:rPr>
          <w:rFonts w:ascii="Arial" w:cs="Arial" w:eastAsia="Arial" w:hAnsi="Arial"/>
          <w:sz w:val="15"/>
          <w:szCs w:val="15"/>
          <w:color w:val="010101"/>
        </w:rPr>
        <w:t xml:space="preserve">, that, so long as the Advances or L/C Obligations shall not have become due and payable pursuant to Section 6.01, any excess payment received by any Lender shall be shared on a pro rata basis only with other Lenders that have Commitments, Advances or L/C Obligations in such Tranche;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further</w:t>
      </w:r>
      <w:r>
        <w:rPr>
          <w:rFonts w:ascii="Arial" w:cs="Arial" w:eastAsia="Arial" w:hAnsi="Arial"/>
          <w:sz w:val="15"/>
          <w:szCs w:val="15"/>
          <w:color w:val="010101"/>
        </w:rPr>
        <w:t>, that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Advances to any assignee or participant or participations in Letters of Credit to any assignee or participant. Each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such Borrower in the amount of such participation.</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2.16.</w:t>
      </w:r>
      <w:r>
        <w:rPr>
          <w:sz w:val="20"/>
          <w:szCs w:val="20"/>
          <w:color w:val="auto"/>
        </w:rPr>
        <w:tab/>
      </w:r>
      <w:r>
        <w:rPr>
          <w:rFonts w:ascii="Arial" w:cs="Arial" w:eastAsia="Arial" w:hAnsi="Arial"/>
          <w:sz w:val="14"/>
          <w:szCs w:val="14"/>
          <w:u w:val="single" w:color="auto"/>
          <w:color w:val="010101"/>
        </w:rPr>
        <w:t>Use of Proceeds</w:t>
      </w:r>
    </w:p>
    <w:p>
      <w:pPr>
        <w:spacing w:after="0" w:line="170" w:lineRule="exact"/>
        <w:rPr>
          <w:sz w:val="20"/>
          <w:szCs w:val="20"/>
          <w:color w:val="auto"/>
        </w:rPr>
      </w:pPr>
    </w:p>
    <w:p>
      <w:pPr>
        <w:jc w:val="both"/>
        <w:ind w:left="20" w:firstLine="487"/>
        <w:spacing w:after="0" w:line="232" w:lineRule="auto"/>
        <w:tabs>
          <w:tab w:leader="none" w:pos="585" w:val="left"/>
        </w:tabs>
        <w:numPr>
          <w:ilvl w:val="0"/>
          <w:numId w:val="93"/>
        </w:numPr>
        <w:rPr>
          <w:rFonts w:ascii="Arial" w:cs="Arial" w:eastAsia="Arial" w:hAnsi="Arial"/>
          <w:sz w:val="15"/>
          <w:szCs w:val="15"/>
          <w:color w:val="010101"/>
        </w:rPr>
      </w:pPr>
      <w:r>
        <w:rPr>
          <w:rFonts w:ascii="Arial" w:cs="Arial" w:eastAsia="Arial" w:hAnsi="Arial"/>
          <w:sz w:val="15"/>
          <w:szCs w:val="15"/>
          <w:color w:val="010101"/>
        </w:rPr>
        <w:t>The proceeds of the Advances or Letters of Credit shall be available (and each Borrower agrees that it shall use such proceeds) for general corporate purposes of each such Borrower and its Subsidiaries. No Borrower will knowingly, while exercising due care, request any Advances or Letters of Credit, and no Borrower shall knowingly, while exercising due care, use, and, to the knowledge of the Borrower exercising due care, each Borrower shall cause its respective Subsidiaries not to knowingly, while exercising due care, use, the proceeds of any Advances or Letters of Credit (a) in furtherance of an offer, payment, promise to pay, or authorization of the payment or giving of money, or anything else of value, to any Person (i) in violation of any applicable Sanctions or Anti-Corruption Law or (ii) in a manner that would cause any Lender to be in violation of any Sanctions, (b) for the purpose of funding, financing or facilitating any activities, business or transaction in, of or with (including any payments to any agent acting on behalf of the Company in the scope of the Company’s business) any Sanctioned Person in violation of applicable Sanctions or (c) in any manner that would result in the violation of the FCPA and any foreign counterpart thereto.</w:t>
      </w:r>
    </w:p>
    <w:p>
      <w:pPr>
        <w:spacing w:after="0" w:line="141"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2.17.</w:t>
      </w:r>
      <w:r>
        <w:rPr>
          <w:sz w:val="20"/>
          <w:szCs w:val="20"/>
          <w:color w:val="auto"/>
        </w:rPr>
        <w:tab/>
      </w:r>
      <w:r>
        <w:rPr>
          <w:rFonts w:ascii="Arial" w:cs="Arial" w:eastAsia="Arial" w:hAnsi="Arial"/>
          <w:sz w:val="14"/>
          <w:szCs w:val="14"/>
          <w:u w:val="single" w:color="auto"/>
          <w:color w:val="010101"/>
        </w:rPr>
        <w:t>Extension of Termination Date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23" w:name="page124"/>
    <w:bookmarkEnd w:id="123"/>
    <w:p>
      <w:pPr>
        <w:ind w:left="20" w:firstLine="487"/>
        <w:spacing w:after="0" w:line="217" w:lineRule="auto"/>
        <w:tabs>
          <w:tab w:leader="none" w:pos="586" w:val="left"/>
        </w:tabs>
        <w:numPr>
          <w:ilvl w:val="0"/>
          <w:numId w:val="94"/>
        </w:numPr>
        <w:rPr>
          <w:rFonts w:ascii="Arial" w:cs="Arial" w:eastAsia="Arial" w:hAnsi="Arial"/>
          <w:sz w:val="16"/>
          <w:szCs w:val="16"/>
          <w:color w:val="010101"/>
        </w:rPr>
      </w:pPr>
      <w:r>
        <w:rPr>
          <w:rFonts w:ascii="Arial" w:cs="Arial" w:eastAsia="Arial" w:hAnsi="Arial"/>
          <w:sz w:val="16"/>
          <w:szCs w:val="16"/>
          <w:color w:val="010101"/>
        </w:rPr>
        <w:t xml:space="preserve">(a) At least 60 days prior to any applicable Termination Date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Maturity</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Date</w:t>
      </w:r>
      <w:r>
        <w:rPr>
          <w:rFonts w:ascii="Arial" w:cs="Arial" w:eastAsia="Arial" w:hAnsi="Arial"/>
          <w:sz w:val="16"/>
          <w:szCs w:val="16"/>
          <w:color w:val="010101"/>
        </w:rPr>
        <w:t xml:space="preserve"> in effect, the Company, on behalf of the Borrowers, by written notice to the Administrative Agent, may request an extension of any Termination Date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m</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 M</w:t>
      </w:r>
      <w:r>
        <w:rPr>
          <w:rFonts w:ascii="Arial" w:cs="Arial" w:eastAsia="Arial" w:hAnsi="Arial"/>
          <w:sz w:val="16"/>
          <w:szCs w:val="16"/>
          <w:b w:val="1"/>
          <w:bCs w:val="1"/>
          <w:u w:val="single" w:color="auto"/>
          <w:color w:val="0000FF"/>
        </w:rPr>
        <w:t>aturit</w:t>
      </w:r>
      <w:r>
        <w:rPr>
          <w:rFonts w:ascii="Arial" w:cs="Arial" w:eastAsia="Arial" w:hAnsi="Arial"/>
          <w:sz w:val="16"/>
          <w:szCs w:val="16"/>
          <w:b w:val="1"/>
          <w:bCs w:val="1"/>
          <w:color w:val="0000FF"/>
        </w:rPr>
        <w:t>y Date</w:t>
      </w:r>
      <w:r>
        <w:rPr>
          <w:rFonts w:ascii="Arial" w:cs="Arial" w:eastAsia="Arial" w:hAnsi="Arial"/>
          <w:sz w:val="16"/>
          <w:szCs w:val="16"/>
          <w:color w:val="010101"/>
        </w:rPr>
        <w:t xml:space="preserve"> in effect at such time by one year from its then scheduled expiration;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the Company may request an extension no more than two times during the term of this Agreement. The Administrative Agent shall promptly notify each Lender of such request, and each Lender shall in turn, in its sole discretion, not later than the date specified in such notice (subject to extension by the Company), notify the Company and the Administrative Agent in writing as to whether such Lender will consent to such extension. If any Lender shall fail to notify the Administrative Agent and the Company in writing of its consent to any such request for extension of the Termination Date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M</w:t>
      </w:r>
      <w:r>
        <w:rPr>
          <w:rFonts w:ascii="Arial" w:cs="Arial" w:eastAsia="Arial" w:hAnsi="Arial"/>
          <w:sz w:val="16"/>
          <w:szCs w:val="16"/>
          <w:b w:val="1"/>
          <w:bCs w:val="1"/>
          <w:u w:val="single" w:color="auto"/>
          <w:color w:val="0000FF"/>
        </w:rPr>
        <w:t>aturit</w:t>
      </w:r>
      <w:r>
        <w:rPr>
          <w:rFonts w:ascii="Arial" w:cs="Arial" w:eastAsia="Arial" w:hAnsi="Arial"/>
          <w:sz w:val="16"/>
          <w:szCs w:val="16"/>
          <w:b w:val="1"/>
          <w:bCs w:val="1"/>
          <w:color w:val="0000FF"/>
        </w:rPr>
        <w:t>y Date</w:t>
      </w:r>
      <w:r>
        <w:rPr>
          <w:rFonts w:ascii="Arial" w:cs="Arial" w:eastAsia="Arial" w:hAnsi="Arial"/>
          <w:sz w:val="16"/>
          <w:szCs w:val="16"/>
          <w:color w:val="010101"/>
        </w:rPr>
        <w:t xml:space="preserve"> prior to the date specified in such notice (as extended, if applicable), such Lender shall be deemed to be a Non-Consenting Lender with respect to such request. The Administrative Agent shall promptly notify the Company of the decision of the Lenders regarding the Company’s request for an extension of the Termination Date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m</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Maturit</w:t>
      </w:r>
      <w:r>
        <w:rPr>
          <w:rFonts w:ascii="Arial" w:cs="Arial" w:eastAsia="Arial" w:hAnsi="Arial"/>
          <w:sz w:val="16"/>
          <w:szCs w:val="16"/>
          <w:b w:val="1"/>
          <w:bCs w:val="1"/>
          <w:color w:val="0000FF"/>
        </w:rPr>
        <w:t>y Date</w:t>
      </w:r>
      <w:r>
        <w:rPr>
          <w:rFonts w:ascii="Arial" w:cs="Arial" w:eastAsia="Arial" w:hAnsi="Arial"/>
          <w:sz w:val="16"/>
          <w:szCs w:val="16"/>
          <w:color w:val="010101"/>
        </w:rPr>
        <w:t>.</w:t>
      </w:r>
    </w:p>
    <w:p>
      <w:pPr>
        <w:spacing w:after="0" w:line="150" w:lineRule="exact"/>
        <w:rPr>
          <w:sz w:val="20"/>
          <w:szCs w:val="20"/>
          <w:color w:val="auto"/>
        </w:rPr>
      </w:pPr>
    </w:p>
    <w:p>
      <w:pPr>
        <w:ind w:left="20" w:right="20" w:firstLine="487"/>
        <w:spacing w:after="0" w:line="243" w:lineRule="auto"/>
        <w:tabs>
          <w:tab w:leader="none" w:pos="909" w:val="left"/>
        </w:tabs>
        <w:numPr>
          <w:ilvl w:val="0"/>
          <w:numId w:val="95"/>
        </w:numPr>
        <w:rPr>
          <w:rFonts w:ascii="Arial" w:cs="Arial" w:eastAsia="Arial" w:hAnsi="Arial"/>
          <w:sz w:val="14"/>
          <w:szCs w:val="14"/>
          <w:color w:val="auto"/>
        </w:rPr>
      </w:pPr>
      <w:r>
        <w:rPr>
          <w:rFonts w:ascii="Arial" w:cs="Arial" w:eastAsia="Arial" w:hAnsi="Arial"/>
          <w:sz w:val="14"/>
          <w:szCs w:val="14"/>
          <w:color w:val="010101"/>
        </w:rPr>
        <w:t xml:space="preserve">If all the Lenders consent in writing to any such request in accordance with subsection (a) of this Section 2.17, the Termination </w:t>
      </w:r>
      <w:r>
        <w:rPr>
          <w:rFonts w:ascii="Arial" w:cs="Arial" w:eastAsia="Arial" w:hAnsi="Arial"/>
          <w:sz w:val="14"/>
          <w:szCs w:val="14"/>
          <w:b w:val="1"/>
          <w:bCs w:val="1"/>
          <w:u w:val="single" w:color="auto"/>
          <w:color w:val="0000FF"/>
        </w:rPr>
        <w:t>Dat</w:t>
      </w:r>
      <w:r>
        <w:rPr>
          <w:rFonts w:ascii="Arial" w:cs="Arial" w:eastAsia="Arial" w:hAnsi="Arial"/>
          <w:sz w:val="14"/>
          <w:szCs w:val="14"/>
          <w:b w:val="1"/>
          <w:bCs w:val="1"/>
          <w:color w:val="0000FF"/>
        </w:rPr>
        <w:t>e or t</w:t>
      </w:r>
      <w:r>
        <w:rPr>
          <w:rFonts w:ascii="Arial" w:cs="Arial" w:eastAsia="Arial" w:hAnsi="Arial"/>
          <w:sz w:val="14"/>
          <w:szCs w:val="14"/>
          <w:b w:val="1"/>
          <w:bCs w:val="1"/>
          <w:u w:val="single" w:color="auto"/>
          <w:color w:val="0000FF"/>
        </w:rPr>
        <w:t>h</w:t>
      </w:r>
      <w:r>
        <w:rPr>
          <w:rFonts w:ascii="Arial" w:cs="Arial" w:eastAsia="Arial" w:hAnsi="Arial"/>
          <w:sz w:val="14"/>
          <w:szCs w:val="14"/>
          <w:b w:val="1"/>
          <w:bCs w:val="1"/>
          <w:color w:val="0000FF"/>
        </w:rPr>
        <w:t>e T</w:t>
      </w:r>
      <w:r>
        <w:rPr>
          <w:rFonts w:ascii="Arial" w:cs="Arial" w:eastAsia="Arial" w:hAnsi="Arial"/>
          <w:sz w:val="14"/>
          <w:szCs w:val="14"/>
          <w:b w:val="1"/>
          <w:bCs w:val="1"/>
          <w:u w:val="single" w:color="auto"/>
          <w:color w:val="0000FF"/>
        </w:rPr>
        <w:t>er</w:t>
      </w:r>
      <w:r>
        <w:rPr>
          <w:rFonts w:ascii="Arial" w:cs="Arial" w:eastAsia="Arial" w:hAnsi="Arial"/>
          <w:sz w:val="14"/>
          <w:szCs w:val="14"/>
          <w:b w:val="1"/>
          <w:bCs w:val="1"/>
          <w:color w:val="0000FF"/>
        </w:rPr>
        <w:t>m L</w:t>
      </w:r>
      <w:r>
        <w:rPr>
          <w:rFonts w:ascii="Arial" w:cs="Arial" w:eastAsia="Arial" w:hAnsi="Arial"/>
          <w:sz w:val="14"/>
          <w:szCs w:val="14"/>
          <w:b w:val="1"/>
          <w:bCs w:val="1"/>
          <w:u w:val="single" w:color="auto"/>
          <w:color w:val="0000FF"/>
        </w:rPr>
        <w:t>oa</w:t>
      </w:r>
      <w:r>
        <w:rPr>
          <w:rFonts w:ascii="Arial" w:cs="Arial" w:eastAsia="Arial" w:hAnsi="Arial"/>
          <w:sz w:val="14"/>
          <w:szCs w:val="14"/>
          <w:b w:val="1"/>
          <w:bCs w:val="1"/>
          <w:color w:val="0000FF"/>
        </w:rPr>
        <w:t>n</w:t>
      </w:r>
      <w:r>
        <w:rPr>
          <w:rFonts w:ascii="Arial" w:cs="Arial" w:eastAsia="Arial" w:hAnsi="Arial"/>
          <w:sz w:val="14"/>
          <w:szCs w:val="14"/>
          <w:color w:val="010101"/>
        </w:rPr>
        <w:t xml:space="preserve"> </w:t>
      </w:r>
      <w:r>
        <w:rPr>
          <w:rFonts w:ascii="Arial" w:cs="Arial" w:eastAsia="Arial" w:hAnsi="Arial"/>
          <w:sz w:val="14"/>
          <w:szCs w:val="14"/>
          <w:b w:val="1"/>
          <w:bCs w:val="1"/>
          <w:color w:val="0000FF"/>
        </w:rPr>
        <w:t xml:space="preserve">Maturity </w:t>
      </w:r>
      <w:r>
        <w:rPr>
          <w:rFonts w:ascii="Arial" w:cs="Arial" w:eastAsia="Arial" w:hAnsi="Arial"/>
          <w:sz w:val="14"/>
          <w:szCs w:val="14"/>
          <w:color w:val="010101"/>
        </w:rPr>
        <w:t>Date in effect at such time shall, effective as at the applicable date specified pursuant to subsection (a) above (the “</w:t>
      </w:r>
      <w:r>
        <w:rPr>
          <w:rFonts w:ascii="Arial" w:cs="Arial" w:eastAsia="Arial" w:hAnsi="Arial"/>
          <w:sz w:val="14"/>
          <w:szCs w:val="14"/>
          <w:u w:val="single" w:color="auto"/>
          <w:color w:val="010101"/>
        </w:rPr>
        <w:t>Extension Date</w:t>
      </w:r>
      <w:r>
        <w:rPr>
          <w:rFonts w:ascii="Arial" w:cs="Arial" w:eastAsia="Arial" w:hAnsi="Arial"/>
          <w:sz w:val="14"/>
          <w:szCs w:val="14"/>
          <w:color w:val="010101"/>
        </w:rPr>
        <w:t>”), be extended for one year;</w:t>
      </w:r>
      <w:r>
        <w:rPr>
          <w:rFonts w:ascii="Arial" w:cs="Arial" w:eastAsia="Arial" w:hAnsi="Arial"/>
          <w:sz w:val="14"/>
          <w:szCs w:val="14"/>
          <w:b w:val="1"/>
          <w:bCs w:val="1"/>
          <w:color w:val="0000FF"/>
        </w:rPr>
        <w:t xml:space="preserve">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on each Extension Date the applicable conditions set forth in Section 3.02 shall be satisfied. If less than all of the Lenders consent in writing to any such request in accordance with subsection (a) of this Section 2.17, the Termination Date </w:t>
      </w:r>
      <w:r>
        <w:rPr>
          <w:rFonts w:ascii="Arial" w:cs="Arial" w:eastAsia="Arial" w:hAnsi="Arial"/>
          <w:sz w:val="14"/>
          <w:szCs w:val="14"/>
          <w:b w:val="1"/>
          <w:bCs w:val="1"/>
          <w:u w:val="single" w:color="auto"/>
          <w:color w:val="0000FF"/>
        </w:rPr>
        <w:t>or th</w:t>
      </w:r>
      <w:r>
        <w:rPr>
          <w:rFonts w:ascii="Arial" w:cs="Arial" w:eastAsia="Arial" w:hAnsi="Arial"/>
          <w:sz w:val="14"/>
          <w:szCs w:val="14"/>
          <w:b w:val="1"/>
          <w:bCs w:val="1"/>
          <w:color w:val="0000FF"/>
        </w:rPr>
        <w:t>e T</w:t>
      </w:r>
      <w:r>
        <w:rPr>
          <w:rFonts w:ascii="Arial" w:cs="Arial" w:eastAsia="Arial" w:hAnsi="Arial"/>
          <w:sz w:val="14"/>
          <w:szCs w:val="14"/>
          <w:b w:val="1"/>
          <w:bCs w:val="1"/>
          <w:u w:val="single" w:color="auto"/>
          <w:color w:val="0000FF"/>
        </w:rPr>
        <w:t>er</w:t>
      </w:r>
      <w:r>
        <w:rPr>
          <w:rFonts w:ascii="Arial" w:cs="Arial" w:eastAsia="Arial" w:hAnsi="Arial"/>
          <w:sz w:val="14"/>
          <w:szCs w:val="14"/>
          <w:b w:val="1"/>
          <w:bCs w:val="1"/>
          <w:color w:val="0000FF"/>
        </w:rPr>
        <w:t>m L</w:t>
      </w:r>
      <w:r>
        <w:rPr>
          <w:rFonts w:ascii="Arial" w:cs="Arial" w:eastAsia="Arial" w:hAnsi="Arial"/>
          <w:sz w:val="14"/>
          <w:szCs w:val="14"/>
          <w:b w:val="1"/>
          <w:bCs w:val="1"/>
          <w:u w:val="single" w:color="auto"/>
          <w:color w:val="0000FF"/>
        </w:rPr>
        <w:t>oa</w:t>
      </w:r>
      <w:r>
        <w:rPr>
          <w:rFonts w:ascii="Arial" w:cs="Arial" w:eastAsia="Arial" w:hAnsi="Arial"/>
          <w:sz w:val="14"/>
          <w:szCs w:val="14"/>
          <w:b w:val="1"/>
          <w:bCs w:val="1"/>
          <w:color w:val="0000FF"/>
        </w:rPr>
        <w:t>n M</w:t>
      </w:r>
      <w:r>
        <w:rPr>
          <w:rFonts w:ascii="Arial" w:cs="Arial" w:eastAsia="Arial" w:hAnsi="Arial"/>
          <w:sz w:val="14"/>
          <w:szCs w:val="14"/>
          <w:b w:val="1"/>
          <w:bCs w:val="1"/>
          <w:u w:val="single" w:color="auto"/>
          <w:color w:val="0000FF"/>
        </w:rPr>
        <w:t>aturit</w:t>
      </w:r>
      <w:r>
        <w:rPr>
          <w:rFonts w:ascii="Arial" w:cs="Arial" w:eastAsia="Arial" w:hAnsi="Arial"/>
          <w:sz w:val="14"/>
          <w:szCs w:val="14"/>
          <w:b w:val="1"/>
          <w:bCs w:val="1"/>
          <w:color w:val="0000FF"/>
        </w:rPr>
        <w:t>y D</w:t>
      </w:r>
      <w:r>
        <w:rPr>
          <w:rFonts w:ascii="Arial" w:cs="Arial" w:eastAsia="Arial" w:hAnsi="Arial"/>
          <w:sz w:val="14"/>
          <w:szCs w:val="14"/>
          <w:b w:val="1"/>
          <w:bCs w:val="1"/>
          <w:u w:val="single" w:color="auto"/>
          <w:color w:val="0000FF"/>
        </w:rPr>
        <w:t>ate</w:t>
      </w:r>
      <w:r>
        <w:rPr>
          <w:rFonts w:ascii="Arial" w:cs="Arial" w:eastAsia="Arial" w:hAnsi="Arial"/>
          <w:sz w:val="14"/>
          <w:szCs w:val="14"/>
          <w:b w:val="1"/>
          <w:bCs w:val="1"/>
          <w:color w:val="0000FF"/>
        </w:rPr>
        <w:t>, as applicable,</w:t>
      </w:r>
      <w:r>
        <w:rPr>
          <w:rFonts w:ascii="Arial" w:cs="Arial" w:eastAsia="Arial" w:hAnsi="Arial"/>
          <w:sz w:val="14"/>
          <w:szCs w:val="14"/>
          <w:color w:val="010101"/>
        </w:rPr>
        <w:t xml:space="preserve"> in effect at such time shall, effective as at the applicable Extension Date and subject to subsection (d) of this Section 2.17, be extended as to those Lenders that so consented (each a “</w:t>
      </w:r>
      <w:r>
        <w:rPr>
          <w:rFonts w:ascii="Arial" w:cs="Arial" w:eastAsia="Arial" w:hAnsi="Arial"/>
          <w:sz w:val="14"/>
          <w:szCs w:val="14"/>
          <w:u w:val="single" w:color="auto"/>
          <w:color w:val="010101"/>
        </w:rPr>
        <w:t>Consenting</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Lender</w:t>
      </w:r>
      <w:r>
        <w:rPr>
          <w:rFonts w:ascii="Arial" w:cs="Arial" w:eastAsia="Arial" w:hAnsi="Arial"/>
          <w:sz w:val="14"/>
          <w:szCs w:val="14"/>
          <w:color w:val="010101"/>
        </w:rPr>
        <w:t xml:space="preserve">”). To the extent that the Termination Date </w:t>
      </w:r>
      <w:r>
        <w:rPr>
          <w:rFonts w:ascii="Arial" w:cs="Arial" w:eastAsia="Arial" w:hAnsi="Arial"/>
          <w:sz w:val="14"/>
          <w:szCs w:val="14"/>
          <w:b w:val="1"/>
          <w:bCs w:val="1"/>
          <w:color w:val="0000FF"/>
        </w:rPr>
        <w:t>or</w:t>
      </w:r>
      <w:r>
        <w:rPr>
          <w:rFonts w:ascii="Arial" w:cs="Arial" w:eastAsia="Arial" w:hAnsi="Arial"/>
          <w:sz w:val="14"/>
          <w:szCs w:val="14"/>
          <w:color w:val="010101"/>
        </w:rPr>
        <w:t xml:space="preserve"> </w:t>
      </w:r>
      <w:r>
        <w:rPr>
          <w:rFonts w:ascii="Arial" w:cs="Arial" w:eastAsia="Arial" w:hAnsi="Arial"/>
          <w:sz w:val="14"/>
          <w:szCs w:val="14"/>
          <w:b w:val="1"/>
          <w:bCs w:val="1"/>
          <w:u w:val="single" w:color="auto"/>
          <w:color w:val="0000FF"/>
        </w:rPr>
        <w:t>th</w:t>
      </w:r>
      <w:r>
        <w:rPr>
          <w:rFonts w:ascii="Arial" w:cs="Arial" w:eastAsia="Arial" w:hAnsi="Arial"/>
          <w:sz w:val="14"/>
          <w:szCs w:val="14"/>
          <w:b w:val="1"/>
          <w:bCs w:val="1"/>
          <w:color w:val="0000FF"/>
        </w:rPr>
        <w:t>e</w:t>
      </w:r>
      <w:r>
        <w:rPr>
          <w:rFonts w:ascii="Arial" w:cs="Arial" w:eastAsia="Arial" w:hAnsi="Arial"/>
          <w:sz w:val="14"/>
          <w:szCs w:val="14"/>
          <w:color w:val="010101"/>
        </w:rPr>
        <w:t xml:space="preserve"> </w:t>
      </w:r>
      <w:r>
        <w:rPr>
          <w:rFonts w:ascii="Arial" w:cs="Arial" w:eastAsia="Arial" w:hAnsi="Arial"/>
          <w:sz w:val="14"/>
          <w:szCs w:val="14"/>
          <w:b w:val="1"/>
          <w:bCs w:val="1"/>
          <w:u w:val="single" w:color="auto"/>
          <w:color w:val="0000FF"/>
        </w:rPr>
        <w:t>Ter</w:t>
      </w:r>
      <w:r>
        <w:rPr>
          <w:rFonts w:ascii="Arial" w:cs="Arial" w:eastAsia="Arial" w:hAnsi="Arial"/>
          <w:sz w:val="14"/>
          <w:szCs w:val="14"/>
          <w:b w:val="1"/>
          <w:bCs w:val="1"/>
          <w:color w:val="0000FF"/>
        </w:rPr>
        <w:t>m</w:t>
      </w:r>
      <w:r>
        <w:rPr>
          <w:rFonts w:ascii="Arial" w:cs="Arial" w:eastAsia="Arial" w:hAnsi="Arial"/>
          <w:sz w:val="14"/>
          <w:szCs w:val="14"/>
          <w:color w:val="010101"/>
        </w:rPr>
        <w:t xml:space="preserve"> </w:t>
      </w:r>
      <w:r>
        <w:rPr>
          <w:rFonts w:ascii="Arial" w:cs="Arial" w:eastAsia="Arial" w:hAnsi="Arial"/>
          <w:sz w:val="14"/>
          <w:szCs w:val="14"/>
          <w:b w:val="1"/>
          <w:bCs w:val="1"/>
          <w:u w:val="single" w:color="auto"/>
          <w:color w:val="0000FF"/>
        </w:rPr>
        <w:t>Loa</w:t>
      </w:r>
      <w:r>
        <w:rPr>
          <w:rFonts w:ascii="Arial" w:cs="Arial" w:eastAsia="Arial" w:hAnsi="Arial"/>
          <w:sz w:val="14"/>
          <w:szCs w:val="14"/>
          <w:b w:val="1"/>
          <w:bCs w:val="1"/>
          <w:color w:val="0000FF"/>
        </w:rPr>
        <w:t>n</w:t>
      </w:r>
      <w:r>
        <w:rPr>
          <w:rFonts w:ascii="Arial" w:cs="Arial" w:eastAsia="Arial" w:hAnsi="Arial"/>
          <w:sz w:val="14"/>
          <w:szCs w:val="14"/>
          <w:color w:val="010101"/>
        </w:rPr>
        <w:t xml:space="preserve"> </w:t>
      </w:r>
      <w:r>
        <w:rPr>
          <w:rFonts w:ascii="Arial" w:cs="Arial" w:eastAsia="Arial" w:hAnsi="Arial"/>
          <w:sz w:val="14"/>
          <w:szCs w:val="14"/>
          <w:b w:val="1"/>
          <w:bCs w:val="1"/>
          <w:u w:val="single" w:color="auto"/>
          <w:color w:val="0000FF"/>
        </w:rPr>
        <w:t>Maturit</w:t>
      </w:r>
      <w:r>
        <w:rPr>
          <w:rFonts w:ascii="Arial" w:cs="Arial" w:eastAsia="Arial" w:hAnsi="Arial"/>
          <w:sz w:val="14"/>
          <w:szCs w:val="14"/>
          <w:b w:val="1"/>
          <w:bCs w:val="1"/>
          <w:color w:val="0000FF"/>
        </w:rPr>
        <w:t>y</w:t>
      </w:r>
      <w:r>
        <w:rPr>
          <w:rFonts w:ascii="Arial" w:cs="Arial" w:eastAsia="Arial" w:hAnsi="Arial"/>
          <w:sz w:val="14"/>
          <w:szCs w:val="14"/>
          <w:color w:val="010101"/>
        </w:rPr>
        <w:t xml:space="preserve"> </w:t>
      </w:r>
      <w:r>
        <w:rPr>
          <w:rFonts w:ascii="Arial" w:cs="Arial" w:eastAsia="Arial" w:hAnsi="Arial"/>
          <w:sz w:val="14"/>
          <w:szCs w:val="14"/>
          <w:b w:val="1"/>
          <w:bCs w:val="1"/>
          <w:u w:val="single" w:color="auto"/>
          <w:color w:val="0000FF"/>
        </w:rPr>
        <w:t>Date</w:t>
      </w:r>
      <w:r>
        <w:rPr>
          <w:rFonts w:ascii="Arial" w:cs="Arial" w:eastAsia="Arial" w:hAnsi="Arial"/>
          <w:sz w:val="14"/>
          <w:szCs w:val="14"/>
          <w:b w:val="1"/>
          <w:bCs w:val="1"/>
          <w:color w:val="0000FF"/>
        </w:rPr>
        <w:t>,</w:t>
      </w:r>
      <w:r>
        <w:rPr>
          <w:rFonts w:ascii="Arial" w:cs="Arial" w:eastAsia="Arial" w:hAnsi="Arial"/>
          <w:sz w:val="14"/>
          <w:szCs w:val="14"/>
          <w:color w:val="010101"/>
        </w:rPr>
        <w:t xml:space="preserve"> </w:t>
      </w:r>
      <w:r>
        <w:rPr>
          <w:rFonts w:ascii="Arial" w:cs="Arial" w:eastAsia="Arial" w:hAnsi="Arial"/>
          <w:sz w:val="14"/>
          <w:szCs w:val="14"/>
          <w:b w:val="1"/>
          <w:bCs w:val="1"/>
          <w:u w:val="single" w:color="auto"/>
          <w:color w:val="0000FF"/>
        </w:rPr>
        <w:t>a</w:t>
      </w:r>
      <w:r>
        <w:rPr>
          <w:rFonts w:ascii="Arial" w:cs="Arial" w:eastAsia="Arial" w:hAnsi="Arial"/>
          <w:sz w:val="14"/>
          <w:szCs w:val="14"/>
          <w:b w:val="1"/>
          <w:bCs w:val="1"/>
          <w:color w:val="0000FF"/>
        </w:rPr>
        <w:t>s applicable,</w:t>
      </w:r>
      <w:r>
        <w:rPr>
          <w:rFonts w:ascii="Arial" w:cs="Arial" w:eastAsia="Arial" w:hAnsi="Arial"/>
          <w:sz w:val="14"/>
          <w:szCs w:val="14"/>
          <w:color w:val="010101"/>
        </w:rPr>
        <w:t xml:space="preserve"> is not extended as to any Lender pursuant to this Section 2.17 and the Commitments of such Lender are not substituted in accordance with subsection (c) of this Section 2.17 on or prior to the applicable Extension Date, the Commitments of such Non-Consenting Lender shall automatically terminate in whole on such unextended Termination Date </w:t>
      </w:r>
      <w:r>
        <w:rPr>
          <w:rFonts w:ascii="Arial" w:cs="Arial" w:eastAsia="Arial" w:hAnsi="Arial"/>
          <w:sz w:val="14"/>
          <w:szCs w:val="14"/>
          <w:b w:val="1"/>
          <w:bCs w:val="1"/>
          <w:color w:val="0000FF"/>
        </w:rPr>
        <w:t>or t</w:t>
      </w:r>
      <w:r>
        <w:rPr>
          <w:rFonts w:ascii="Arial" w:cs="Arial" w:eastAsia="Arial" w:hAnsi="Arial"/>
          <w:sz w:val="14"/>
          <w:szCs w:val="14"/>
          <w:b w:val="1"/>
          <w:bCs w:val="1"/>
          <w:u w:val="single" w:color="auto"/>
          <w:color w:val="0000FF"/>
        </w:rPr>
        <w:t>h</w:t>
      </w:r>
      <w:r>
        <w:rPr>
          <w:rFonts w:ascii="Arial" w:cs="Arial" w:eastAsia="Arial" w:hAnsi="Arial"/>
          <w:sz w:val="14"/>
          <w:szCs w:val="14"/>
          <w:b w:val="1"/>
          <w:bCs w:val="1"/>
          <w:color w:val="0000FF"/>
        </w:rPr>
        <w:t>e T</w:t>
      </w:r>
      <w:r>
        <w:rPr>
          <w:rFonts w:ascii="Arial" w:cs="Arial" w:eastAsia="Arial" w:hAnsi="Arial"/>
          <w:sz w:val="14"/>
          <w:szCs w:val="14"/>
          <w:b w:val="1"/>
          <w:bCs w:val="1"/>
          <w:u w:val="single" w:color="auto"/>
          <w:color w:val="0000FF"/>
        </w:rPr>
        <w:t>er</w:t>
      </w:r>
      <w:r>
        <w:rPr>
          <w:rFonts w:ascii="Arial" w:cs="Arial" w:eastAsia="Arial" w:hAnsi="Arial"/>
          <w:sz w:val="14"/>
          <w:szCs w:val="14"/>
          <w:b w:val="1"/>
          <w:bCs w:val="1"/>
          <w:color w:val="0000FF"/>
        </w:rPr>
        <w:t>m L</w:t>
      </w:r>
      <w:r>
        <w:rPr>
          <w:rFonts w:ascii="Arial" w:cs="Arial" w:eastAsia="Arial" w:hAnsi="Arial"/>
          <w:sz w:val="14"/>
          <w:szCs w:val="14"/>
          <w:b w:val="1"/>
          <w:bCs w:val="1"/>
          <w:u w:val="single" w:color="auto"/>
          <w:color w:val="0000FF"/>
        </w:rPr>
        <w:t>oa</w:t>
      </w:r>
      <w:r>
        <w:rPr>
          <w:rFonts w:ascii="Arial" w:cs="Arial" w:eastAsia="Arial" w:hAnsi="Arial"/>
          <w:sz w:val="14"/>
          <w:szCs w:val="14"/>
          <w:b w:val="1"/>
          <w:bCs w:val="1"/>
          <w:color w:val="0000FF"/>
        </w:rPr>
        <w:t>n M</w:t>
      </w:r>
      <w:r>
        <w:rPr>
          <w:rFonts w:ascii="Arial" w:cs="Arial" w:eastAsia="Arial" w:hAnsi="Arial"/>
          <w:sz w:val="14"/>
          <w:szCs w:val="14"/>
          <w:b w:val="1"/>
          <w:bCs w:val="1"/>
          <w:u w:val="single" w:color="auto"/>
          <w:color w:val="0000FF"/>
        </w:rPr>
        <w:t>aturit</w:t>
      </w:r>
      <w:r>
        <w:rPr>
          <w:rFonts w:ascii="Arial" w:cs="Arial" w:eastAsia="Arial" w:hAnsi="Arial"/>
          <w:sz w:val="14"/>
          <w:szCs w:val="14"/>
          <w:b w:val="1"/>
          <w:bCs w:val="1"/>
          <w:color w:val="0000FF"/>
        </w:rPr>
        <w:t>y D</w:t>
      </w:r>
      <w:r>
        <w:rPr>
          <w:rFonts w:ascii="Arial" w:cs="Arial" w:eastAsia="Arial" w:hAnsi="Arial"/>
          <w:sz w:val="14"/>
          <w:szCs w:val="14"/>
          <w:b w:val="1"/>
          <w:bCs w:val="1"/>
          <w:u w:val="single" w:color="auto"/>
          <w:color w:val="0000FF"/>
        </w:rPr>
        <w:t>ate</w:t>
      </w:r>
      <w:r>
        <w:rPr>
          <w:rFonts w:ascii="Arial" w:cs="Arial" w:eastAsia="Arial" w:hAnsi="Arial"/>
          <w:sz w:val="14"/>
          <w:szCs w:val="14"/>
          <w:b w:val="1"/>
          <w:bCs w:val="1"/>
          <w:color w:val="0000FF"/>
        </w:rPr>
        <w:t>, as</w:t>
      </w:r>
      <w:r>
        <w:rPr>
          <w:rFonts w:ascii="Arial" w:cs="Arial" w:eastAsia="Arial" w:hAnsi="Arial"/>
          <w:sz w:val="14"/>
          <w:szCs w:val="14"/>
          <w:color w:val="010101"/>
        </w:rPr>
        <w:t xml:space="preserve"> </w:t>
      </w:r>
      <w:r>
        <w:rPr>
          <w:rFonts w:ascii="Arial" w:cs="Arial" w:eastAsia="Arial" w:hAnsi="Arial"/>
          <w:sz w:val="14"/>
          <w:szCs w:val="14"/>
          <w:b w:val="1"/>
          <w:bCs w:val="1"/>
          <w:u w:val="single" w:color="auto"/>
          <w:color w:val="0000FF"/>
        </w:rPr>
        <w:t>applicable,</w:t>
      </w:r>
      <w:r>
        <w:rPr>
          <w:rFonts w:ascii="Arial" w:cs="Arial" w:eastAsia="Arial" w:hAnsi="Arial"/>
          <w:sz w:val="14"/>
          <w:szCs w:val="14"/>
          <w:color w:val="010101"/>
        </w:rPr>
        <w:t xml:space="preserve"> without any further notice or other action by the Company, such Lender or any other Person;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such Non-Consenting Lender’s rights under Sections 2.11, 2.14 and</w:t>
      </w:r>
    </w:p>
    <w:p>
      <w:pPr>
        <w:spacing w:after="0" w:line="5" w:lineRule="exact"/>
        <w:rPr>
          <w:rFonts w:ascii="Arial" w:cs="Arial" w:eastAsia="Arial" w:hAnsi="Arial"/>
          <w:sz w:val="14"/>
          <w:szCs w:val="14"/>
          <w:color w:val="auto"/>
        </w:rPr>
      </w:pPr>
    </w:p>
    <w:p>
      <w:pPr>
        <w:ind w:left="20" w:right="180"/>
        <w:spacing w:after="0" w:line="224" w:lineRule="auto"/>
        <w:rPr>
          <w:rFonts w:ascii="Arial" w:cs="Arial" w:eastAsia="Arial" w:hAnsi="Arial"/>
          <w:sz w:val="14"/>
          <w:szCs w:val="14"/>
          <w:color w:val="auto"/>
        </w:rPr>
      </w:pPr>
      <w:r>
        <w:rPr>
          <w:rFonts w:ascii="Arial" w:cs="Arial" w:eastAsia="Arial" w:hAnsi="Arial"/>
          <w:sz w:val="16"/>
          <w:szCs w:val="16"/>
          <w:color w:val="010101"/>
        </w:rPr>
        <w:t xml:space="preserve">8.04, and its obligations under Section 7.05, shall survive the Termination Date </w:t>
      </w:r>
      <w:r>
        <w:rPr>
          <w:rFonts w:ascii="Arial" w:cs="Arial" w:eastAsia="Arial" w:hAnsi="Arial"/>
          <w:sz w:val="16"/>
          <w:szCs w:val="16"/>
          <w:b w:val="1"/>
          <w:bCs w:val="1"/>
          <w:u w:val="single" w:color="auto"/>
          <w:color w:val="0000FF"/>
        </w:rPr>
        <w:t>or th</w:t>
      </w:r>
      <w:r>
        <w:rPr>
          <w:rFonts w:ascii="Arial" w:cs="Arial" w:eastAsia="Arial" w:hAnsi="Arial"/>
          <w:sz w:val="16"/>
          <w:szCs w:val="16"/>
          <w:b w:val="1"/>
          <w:bCs w:val="1"/>
          <w:color w:val="0000FF"/>
        </w:rPr>
        <w:t>e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Loan</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Maturit</w:t>
      </w:r>
      <w:r>
        <w:rPr>
          <w:rFonts w:ascii="Arial" w:cs="Arial" w:eastAsia="Arial" w:hAnsi="Arial"/>
          <w:sz w:val="16"/>
          <w:szCs w:val="16"/>
          <w:b w:val="1"/>
          <w:bCs w:val="1"/>
          <w:color w:val="0000FF"/>
        </w:rPr>
        <w:t>y Date</w:t>
      </w:r>
      <w:r>
        <w:rPr>
          <w:rFonts w:ascii="Arial" w:cs="Arial" w:eastAsia="Arial" w:hAnsi="Arial"/>
          <w:sz w:val="16"/>
          <w:szCs w:val="16"/>
          <w:color w:val="010101"/>
        </w:rPr>
        <w:t xml:space="preserve"> for such Lender as to matters occurring prior to such date. It is understood and agreed that no Lender shall have any obligation whatsoever to agree to any request made by the Company for any requested extension of the Termination Date </w:t>
      </w:r>
      <w:r>
        <w:rPr>
          <w:rFonts w:ascii="Arial" w:cs="Arial" w:eastAsia="Arial" w:hAnsi="Arial"/>
          <w:sz w:val="16"/>
          <w:szCs w:val="16"/>
          <w:b w:val="1"/>
          <w:bCs w:val="1"/>
          <w:color w:val="0000FF"/>
        </w:rPr>
        <w:t>or the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Maturity</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Date</w:t>
      </w:r>
      <w:r>
        <w:rPr>
          <w:rFonts w:ascii="Arial" w:cs="Arial" w:eastAsia="Arial" w:hAnsi="Arial"/>
          <w:sz w:val="16"/>
          <w:szCs w:val="16"/>
          <w:color w:val="010101"/>
        </w:rPr>
        <w:t>.</w:t>
      </w:r>
    </w:p>
    <w:p>
      <w:pPr>
        <w:spacing w:after="0" w:line="194" w:lineRule="exact"/>
        <w:rPr>
          <w:rFonts w:ascii="Arial" w:cs="Arial" w:eastAsia="Arial" w:hAnsi="Arial"/>
          <w:sz w:val="14"/>
          <w:szCs w:val="14"/>
          <w:color w:val="auto"/>
        </w:rPr>
      </w:pPr>
    </w:p>
    <w:p>
      <w:pPr>
        <w:jc w:val="both"/>
        <w:ind w:left="20" w:right="20" w:firstLine="487"/>
        <w:spacing w:after="0" w:line="221" w:lineRule="auto"/>
        <w:tabs>
          <w:tab w:leader="none" w:pos="910" w:val="left"/>
        </w:tabs>
        <w:numPr>
          <w:ilvl w:val="0"/>
          <w:numId w:val="95"/>
        </w:numPr>
        <w:rPr>
          <w:rFonts w:ascii="Arial" w:cs="Arial" w:eastAsia="Arial" w:hAnsi="Arial"/>
          <w:sz w:val="16"/>
          <w:szCs w:val="16"/>
          <w:color w:val="auto"/>
        </w:rPr>
      </w:pPr>
      <w:r>
        <w:rPr>
          <w:rFonts w:ascii="Arial" w:cs="Arial" w:eastAsia="Arial" w:hAnsi="Arial"/>
          <w:sz w:val="16"/>
          <w:szCs w:val="16"/>
          <w:color w:val="010101"/>
        </w:rPr>
        <w:t xml:space="preserve">If less than all of the </w:t>
      </w:r>
      <w:r>
        <w:rPr>
          <w:rFonts w:ascii="Arial" w:cs="Arial" w:eastAsia="Arial" w:hAnsi="Arial"/>
          <w:sz w:val="16"/>
          <w:szCs w:val="16"/>
          <w:b w:val="1"/>
          <w:bCs w:val="1"/>
          <w:u w:val="single" w:color="auto"/>
          <w:color w:val="0000FF"/>
        </w:rPr>
        <w:t>applicable</w:t>
      </w:r>
      <w:r>
        <w:rPr>
          <w:rFonts w:ascii="Arial" w:cs="Arial" w:eastAsia="Arial" w:hAnsi="Arial"/>
          <w:sz w:val="16"/>
          <w:szCs w:val="16"/>
          <w:color w:val="010101"/>
        </w:rPr>
        <w:t xml:space="preserve"> Lenders consent to any such request pursuant to subsection (a) of this Section 2.17, the Administrative Agent shall promptly so notify the Consenting Lenders, and each Consenting Lender may, in its sole discretion, give written notice to the Administrative Agent not later than 30 days prior to the applicable Extension Date of the amount of the Non-Consenting Lenders’ Commitments for which it is willing to accept an assignment. If the Consenting Lenders notify the Administrative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-1408430</wp:posOffset>
            </wp:positionV>
            <wp:extent cx="7683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-1202690</wp:posOffset>
            </wp:positionV>
            <wp:extent cx="7683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-792480</wp:posOffset>
            </wp:positionV>
            <wp:extent cx="23749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237490" cy="63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1" w:right="499" w:bottom="1440" w:gutter="0" w:footer="0" w:header="0"/>
        </w:sectPr>
      </w:pPr>
    </w:p>
    <w:bookmarkStart w:id="124" w:name="page125"/>
    <w:bookmarkEnd w:id="124"/>
    <w:p>
      <w:pPr>
        <w:jc w:val="both"/>
        <w:ind w:left="20" w:right="20"/>
        <w:spacing w:after="0" w:line="214" w:lineRule="auto"/>
        <w:rPr>
          <w:sz w:val="20"/>
          <w:szCs w:val="20"/>
          <w:color w:val="auto"/>
        </w:rPr>
      </w:pPr>
      <w:r>
        <w:rPr>
          <w:rFonts w:ascii="Arial" w:cs="Arial" w:eastAsia="Arial" w:hAnsi="Arial"/>
          <w:sz w:val="16"/>
          <w:szCs w:val="16"/>
          <w:color w:val="010101"/>
        </w:rPr>
        <w:t xml:space="preserve">the Company and the Administrative Agent. If after giving effect to the assignments of Commitments described above there remain any Commitments of Non-Consenting Lenders, the Company may arrange for one or more Consenting Lenders or other Eligible Assignees as Assuming Lenders to assume, effective as of the applicable Extension Date, all or a portion of Non-Consenting Lender’s Commitments and all of the obligations of such Non-Consenting Lender under this Agreement thereafter arising, without recourse to or warranty by, or expense to, such Non-Consenting Lender;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however</w:t>
      </w:r>
      <w:r>
        <w:rPr>
          <w:rFonts w:ascii="Arial" w:cs="Arial" w:eastAsia="Arial" w:hAnsi="Arial"/>
          <w:sz w:val="16"/>
          <w:szCs w:val="16"/>
          <w:color w:val="010101"/>
        </w:rPr>
        <w:t>, that the amount of the Commitments of any such Assuming Lender as a result of such substitution shall in no event be less than</w:t>
      </w:r>
    </w:p>
    <w:p>
      <w:pPr>
        <w:ind w:left="20"/>
        <w:spacing w:after="0" w:line="213" w:lineRule="auto"/>
        <w:rPr>
          <w:sz w:val="20"/>
          <w:szCs w:val="20"/>
          <w:color w:val="auto"/>
        </w:rPr>
      </w:pPr>
      <w:r>
        <w:rPr>
          <w:rFonts w:ascii="Arial" w:cs="Arial" w:eastAsia="Arial" w:hAnsi="Arial"/>
          <w:sz w:val="16"/>
          <w:szCs w:val="16"/>
          <w:color w:val="010101"/>
        </w:rPr>
        <w:t>$10,000,000 unless the amount of the Commitments of such Non-Consenting Lender is less than</w:t>
      </w:r>
    </w:p>
    <w:p>
      <w:pPr>
        <w:ind w:left="20"/>
        <w:spacing w:after="0"/>
        <w:rPr>
          <w:sz w:val="20"/>
          <w:szCs w:val="20"/>
          <w:color w:val="auto"/>
        </w:rPr>
      </w:pPr>
      <w:r>
        <w:rPr>
          <w:rFonts w:ascii="Arial" w:cs="Arial" w:eastAsia="Arial" w:hAnsi="Arial"/>
          <w:sz w:val="16"/>
          <w:szCs w:val="16"/>
          <w:color w:val="010101"/>
        </w:rPr>
        <w:t xml:space="preserve">$10,000,000, in which case such Assuming Lender shall assume all of such lesser amount; and </w:t>
      </w:r>
      <w:r>
        <w:rPr>
          <w:rFonts w:ascii="Arial" w:cs="Arial" w:eastAsia="Arial" w:hAnsi="Arial"/>
          <w:sz w:val="16"/>
          <w:szCs w:val="16"/>
          <w:u w:val="single" w:color="auto"/>
          <w:color w:val="010101"/>
        </w:rPr>
        <w:t>provided further</w:t>
      </w:r>
      <w:r>
        <w:rPr>
          <w:rFonts w:ascii="Arial" w:cs="Arial" w:eastAsia="Arial" w:hAnsi="Arial"/>
          <w:sz w:val="16"/>
          <w:szCs w:val="16"/>
          <w:color w:val="010101"/>
        </w:rPr>
        <w:t xml:space="preserve"> that:</w:t>
      </w:r>
    </w:p>
    <w:p>
      <w:pPr>
        <w:spacing w:after="0" w:line="156" w:lineRule="exact"/>
        <w:rPr>
          <w:sz w:val="20"/>
          <w:szCs w:val="20"/>
          <w:color w:val="auto"/>
        </w:rPr>
      </w:pPr>
    </w:p>
    <w:p>
      <w:pPr>
        <w:jc w:val="both"/>
        <w:ind w:left="500" w:right="20" w:firstLine="492"/>
        <w:spacing w:after="0" w:line="248" w:lineRule="auto"/>
        <w:tabs>
          <w:tab w:leader="none" w:pos="1389" w:val="left"/>
        </w:tabs>
        <w:numPr>
          <w:ilvl w:val="0"/>
          <w:numId w:val="96"/>
        </w:numPr>
        <w:rPr>
          <w:rFonts w:ascii="Arial" w:cs="Arial" w:eastAsia="Arial" w:hAnsi="Arial"/>
          <w:sz w:val="15"/>
          <w:szCs w:val="15"/>
          <w:color w:val="auto"/>
        </w:rPr>
      </w:pPr>
      <w:r>
        <w:rPr>
          <w:rFonts w:ascii="Arial" w:cs="Arial" w:eastAsia="Arial" w:hAnsi="Arial"/>
          <w:sz w:val="15"/>
          <w:szCs w:val="15"/>
          <w:color w:val="010101"/>
        </w:rPr>
        <w:t>any such Consenting Lender or Assuming Lender shall have paid to such Non-Consenting Lender (A) the aggregate principal amount of, and any interest accrued and unpaid to the effective date of the assignment on, the outstanding Extensions of Credit, if any, of such Non-Consenting Lender plus (B) any accrued but unpaid commitment fees owing to such Non-Consenting Lender as of the effective date of such assignment;</w:t>
      </w:r>
    </w:p>
    <w:p>
      <w:pPr>
        <w:spacing w:after="0" w:line="142" w:lineRule="exact"/>
        <w:rPr>
          <w:rFonts w:ascii="Arial" w:cs="Arial" w:eastAsia="Arial" w:hAnsi="Arial"/>
          <w:sz w:val="15"/>
          <w:szCs w:val="15"/>
          <w:color w:val="auto"/>
        </w:rPr>
      </w:pPr>
    </w:p>
    <w:p>
      <w:pPr>
        <w:jc w:val="both"/>
        <w:ind w:left="500" w:right="20" w:firstLine="492"/>
        <w:spacing w:after="0" w:line="230" w:lineRule="auto"/>
        <w:tabs>
          <w:tab w:leader="none" w:pos="1389" w:val="left"/>
        </w:tabs>
        <w:numPr>
          <w:ilvl w:val="0"/>
          <w:numId w:val="96"/>
        </w:numPr>
        <w:rPr>
          <w:rFonts w:ascii="Arial" w:cs="Arial" w:eastAsia="Arial" w:hAnsi="Arial"/>
          <w:sz w:val="16"/>
          <w:szCs w:val="16"/>
          <w:color w:val="auto"/>
        </w:rPr>
      </w:pPr>
      <w:r>
        <w:rPr>
          <w:rFonts w:ascii="Arial" w:cs="Arial" w:eastAsia="Arial" w:hAnsi="Arial"/>
          <w:sz w:val="16"/>
          <w:szCs w:val="16"/>
          <w:color w:val="010101"/>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137" w:lineRule="exact"/>
        <w:rPr>
          <w:rFonts w:ascii="Arial" w:cs="Arial" w:eastAsia="Arial" w:hAnsi="Arial"/>
          <w:sz w:val="16"/>
          <w:szCs w:val="16"/>
          <w:color w:val="auto"/>
        </w:rPr>
      </w:pPr>
    </w:p>
    <w:p>
      <w:pPr>
        <w:ind w:left="500" w:right="40" w:firstLine="492"/>
        <w:spacing w:after="0" w:line="239" w:lineRule="auto"/>
        <w:tabs>
          <w:tab w:leader="none" w:pos="1390" w:val="left"/>
        </w:tabs>
        <w:numPr>
          <w:ilvl w:val="0"/>
          <w:numId w:val="96"/>
        </w:numPr>
        <w:rPr>
          <w:rFonts w:ascii="Arial" w:cs="Arial" w:eastAsia="Arial" w:hAnsi="Arial"/>
          <w:sz w:val="16"/>
          <w:szCs w:val="16"/>
          <w:color w:val="auto"/>
        </w:rPr>
      </w:pPr>
      <w:r>
        <w:rPr>
          <w:rFonts w:ascii="Arial" w:cs="Arial" w:eastAsia="Arial" w:hAnsi="Arial"/>
          <w:sz w:val="16"/>
          <w:szCs w:val="16"/>
          <w:color w:val="010101"/>
        </w:rPr>
        <w:t>with respect to any such Assuming Lender, the applicable processing and recordation fee required under Section 9.07(b) for such assignment shall have been paid;</w:t>
      </w:r>
    </w:p>
    <w:p>
      <w:pPr>
        <w:spacing w:after="0" w:line="149" w:lineRule="exact"/>
        <w:rPr>
          <w:sz w:val="20"/>
          <w:szCs w:val="20"/>
          <w:color w:val="auto"/>
        </w:rPr>
      </w:pPr>
    </w:p>
    <w:p>
      <w:pPr>
        <w:jc w:val="both"/>
        <w:ind w:left="20" w:right="20"/>
        <w:spacing w:after="0" w:line="232" w:lineRule="auto"/>
        <w:rPr>
          <w:sz w:val="20"/>
          <w:szCs w:val="20"/>
          <w:color w:val="auto"/>
        </w:rPr>
      </w:pPr>
      <w:r>
        <w:rPr>
          <w:rFonts w:ascii="Arial" w:cs="Arial" w:eastAsia="Arial" w:hAnsi="Arial"/>
          <w:sz w:val="15"/>
          <w:szCs w:val="15"/>
          <w:u w:val="single" w:color="auto"/>
          <w:color w:val="010101"/>
        </w:rPr>
        <w:t>provided further</w:t>
      </w:r>
      <w:r>
        <w:rPr>
          <w:rFonts w:ascii="Arial" w:cs="Arial" w:eastAsia="Arial" w:hAnsi="Arial"/>
          <w:sz w:val="15"/>
          <w:szCs w:val="15"/>
          <w:color w:val="010101"/>
        </w:rPr>
        <w:t xml:space="preserve"> that such Non-Consenting Lender’s rights under Sections 2.11, 2.14 and 9.04, and its obligations under Section 7.05, shall survive such substitution as to matters occurring prior to the date of substitution. At least three Business Days prior to any Extension Date, (A) each such Assuming Lender, if any, shall have delivered to the Company and the Administrative Agent an Assumption Agreement, duly executed by such Assuming Lender, such Non-Consenting Lender, the Company and the Administrative Agent and (B) any such Consenting Lender shall have delivered confirmation in writing satisfactory to the Company and the Administrative Agent as to the increase in the amount of its Commitments. Upon the payment or prepayment of all amounts referred to in clauses (i), (ii) and (iii) of the immediately preceding sentence, each such Consenting Lender or Assuming Lender, as of the applicable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43" w:lineRule="exact"/>
        <w:rPr>
          <w:sz w:val="20"/>
          <w:szCs w:val="20"/>
          <w:color w:val="auto"/>
        </w:rPr>
      </w:pPr>
    </w:p>
    <w:p>
      <w:pPr>
        <w:ind w:left="1000" w:hanging="493"/>
        <w:spacing w:after="0"/>
        <w:tabs>
          <w:tab w:leader="none" w:pos="1000" w:val="left"/>
        </w:tabs>
        <w:numPr>
          <w:ilvl w:val="1"/>
          <w:numId w:val="97"/>
        </w:numPr>
        <w:rPr>
          <w:rFonts w:ascii="Arial" w:cs="Arial" w:eastAsia="Arial" w:hAnsi="Arial"/>
          <w:sz w:val="16"/>
          <w:szCs w:val="16"/>
          <w:color w:val="auto"/>
        </w:rPr>
      </w:pPr>
      <w:r>
        <w:rPr>
          <w:rFonts w:ascii="Arial" w:cs="Arial" w:eastAsia="Arial" w:hAnsi="Arial"/>
          <w:sz w:val="16"/>
          <w:szCs w:val="16"/>
          <w:color w:val="010101"/>
        </w:rPr>
        <w:t>If (after giving effect to any assignments or assumptions pursuant to subsection</w:t>
      </w:r>
    </w:p>
    <w:p>
      <w:pPr>
        <w:jc w:val="both"/>
        <w:ind w:left="20" w:firstLine="2"/>
        <w:spacing w:after="0" w:line="224" w:lineRule="auto"/>
        <w:tabs>
          <w:tab w:leader="none" w:pos="425" w:val="left"/>
        </w:tabs>
        <w:numPr>
          <w:ilvl w:val="0"/>
          <w:numId w:val="98"/>
        </w:numPr>
        <w:rPr>
          <w:rFonts w:ascii="Arial" w:cs="Arial" w:eastAsia="Arial" w:hAnsi="Arial"/>
          <w:sz w:val="16"/>
          <w:szCs w:val="16"/>
          <w:color w:val="010101"/>
        </w:rPr>
      </w:pPr>
      <w:r>
        <w:rPr>
          <w:rFonts w:ascii="Arial" w:cs="Arial" w:eastAsia="Arial" w:hAnsi="Arial"/>
          <w:sz w:val="16"/>
          <w:szCs w:val="16"/>
          <w:color w:val="010101"/>
        </w:rPr>
        <w:t>of this Section 2.17) Lenders having Commitments equal to at least 50% of the Commitments in effect immediately prior to the applicable Extension Date consent in writing to a requested extension (whether by execution or delivery of an Assumption Agreement or otherwise) not later than one Business Day prior to such Extension Date, the Administrative Agent shall so notify the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25" w:name="page126"/>
    <w:bookmarkEnd w:id="125"/>
    <w:p>
      <w:pPr>
        <w:jc w:val="both"/>
        <w:ind w:left="20" w:right="20"/>
        <w:spacing w:after="0" w:line="218" w:lineRule="auto"/>
        <w:rPr>
          <w:sz w:val="20"/>
          <w:szCs w:val="20"/>
          <w:color w:val="auto"/>
        </w:rPr>
      </w:pPr>
      <w:r>
        <w:rPr>
          <w:rFonts w:ascii="Arial" w:cs="Arial" w:eastAsia="Arial" w:hAnsi="Arial"/>
          <w:sz w:val="16"/>
          <w:szCs w:val="16"/>
          <w:color w:val="010101"/>
        </w:rPr>
        <w:t xml:space="preserve">Company, and, subject to the satisfaction to the applicable conditions in Section 3.02, the Termination </w:t>
      </w:r>
      <w:r>
        <w:rPr>
          <w:rFonts w:ascii="Arial" w:cs="Arial" w:eastAsia="Arial" w:hAnsi="Arial"/>
          <w:sz w:val="16"/>
          <w:szCs w:val="16"/>
          <w:b w:val="1"/>
          <w:bCs w:val="1"/>
          <w:color w:val="0000FF"/>
        </w:rPr>
        <w:t>Date or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Maturity</w:t>
      </w:r>
      <w:r>
        <w:rPr>
          <w:rFonts w:ascii="Arial" w:cs="Arial" w:eastAsia="Arial" w:hAnsi="Arial"/>
          <w:sz w:val="16"/>
          <w:szCs w:val="16"/>
          <w:color w:val="010101"/>
        </w:rPr>
        <w:t xml:space="preserve"> Date then in effect shall be extended for the additional one year period as described in subsection (a) of this Section 2.17, and all references in this Agreement, and in the other Loan Documents, if any, to the “</w:t>
      </w:r>
      <w:r>
        <w:rPr>
          <w:rFonts w:ascii="Arial" w:cs="Arial" w:eastAsia="Arial" w:hAnsi="Arial"/>
          <w:sz w:val="16"/>
          <w:szCs w:val="16"/>
          <w:u w:val="single" w:color="auto"/>
          <w:color w:val="010101"/>
        </w:rPr>
        <w:t>Termination Date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 the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m</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Loa</w:t>
      </w:r>
      <w:r>
        <w:rPr>
          <w:rFonts w:ascii="Arial" w:cs="Arial" w:eastAsia="Arial" w:hAnsi="Arial"/>
          <w:sz w:val="16"/>
          <w:szCs w:val="16"/>
          <w:b w:val="1"/>
          <w:bCs w:val="1"/>
          <w:color w:val="0000FF"/>
        </w:rPr>
        <w:t>n</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Maturit</w:t>
      </w:r>
      <w:r>
        <w:rPr>
          <w:rFonts w:ascii="Arial" w:cs="Arial" w:eastAsia="Arial" w:hAnsi="Arial"/>
          <w:sz w:val="16"/>
          <w:szCs w:val="16"/>
          <w:b w:val="1"/>
          <w:bCs w:val="1"/>
          <w:color w:val="0000FF"/>
        </w:rPr>
        <w:t>y Date”</w:t>
      </w:r>
      <w:r>
        <w:rPr>
          <w:rFonts w:ascii="Arial" w:cs="Arial" w:eastAsia="Arial" w:hAnsi="Arial"/>
          <w:sz w:val="16"/>
          <w:szCs w:val="16"/>
          <w:color w:val="010101"/>
        </w:rPr>
        <w:t xml:space="preserve"> shall, with respect to each Consenting Lender and each Assuming Lender for such Extension Date, refer to the Termination Date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 t</w:t>
      </w:r>
      <w:r>
        <w:rPr>
          <w:rFonts w:ascii="Arial" w:cs="Arial" w:eastAsia="Arial" w:hAnsi="Arial"/>
          <w:sz w:val="16"/>
          <w:szCs w:val="16"/>
          <w:b w:val="1"/>
          <w:bCs w:val="1"/>
          <w:u w:val="single" w:color="auto"/>
          <w:color w:val="0000FF"/>
        </w:rPr>
        <w:t>h</w:t>
      </w:r>
      <w:r>
        <w:rPr>
          <w:rFonts w:ascii="Arial" w:cs="Arial" w:eastAsia="Arial" w:hAnsi="Arial"/>
          <w:sz w:val="16"/>
          <w:szCs w:val="16"/>
          <w:b w:val="1"/>
          <w:bCs w:val="1"/>
          <w:color w:val="0000FF"/>
        </w:rPr>
        <w:t>e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Maturity</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Date</w:t>
      </w:r>
      <w:r>
        <w:rPr>
          <w:rFonts w:ascii="Arial" w:cs="Arial" w:eastAsia="Arial" w:hAnsi="Arial"/>
          <w:sz w:val="16"/>
          <w:szCs w:val="16"/>
          <w:color w:val="010101"/>
        </w:rPr>
        <w:t xml:space="preserve"> as so extended. Promptly following each Extension Date, the Administrative Agent shall notify the Lenders (including, without limitation, each Assuming Lender) of the extension of the scheduled Termination Date </w:t>
      </w:r>
      <w:r>
        <w:rPr>
          <w:rFonts w:ascii="Arial" w:cs="Arial" w:eastAsia="Arial" w:hAnsi="Arial"/>
          <w:sz w:val="16"/>
          <w:szCs w:val="16"/>
          <w:b w:val="1"/>
          <w:bCs w:val="1"/>
          <w:color w:val="0000FF"/>
        </w:rPr>
        <w:t>or the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w:t>
      </w:r>
      <w:r>
        <w:rPr>
          <w:rFonts w:ascii="Arial" w:cs="Arial" w:eastAsia="Arial" w:hAnsi="Arial"/>
          <w:sz w:val="16"/>
          <w:szCs w:val="16"/>
          <w:b w:val="1"/>
          <w:bCs w:val="1"/>
          <w:u w:val="single" w:color="auto"/>
          <w:color w:val="0000FF"/>
        </w:rPr>
        <w:t>oa</w:t>
      </w:r>
      <w:r>
        <w:rPr>
          <w:rFonts w:ascii="Arial" w:cs="Arial" w:eastAsia="Arial" w:hAnsi="Arial"/>
          <w:sz w:val="16"/>
          <w:szCs w:val="16"/>
          <w:b w:val="1"/>
          <w:bCs w:val="1"/>
          <w:color w:val="0000FF"/>
        </w:rPr>
        <w:t>n M</w:t>
      </w:r>
      <w:r>
        <w:rPr>
          <w:rFonts w:ascii="Arial" w:cs="Arial" w:eastAsia="Arial" w:hAnsi="Arial"/>
          <w:sz w:val="16"/>
          <w:szCs w:val="16"/>
          <w:b w:val="1"/>
          <w:bCs w:val="1"/>
          <w:u w:val="single" w:color="auto"/>
          <w:color w:val="0000FF"/>
        </w:rPr>
        <w:t>aturit</w:t>
      </w:r>
      <w:r>
        <w:rPr>
          <w:rFonts w:ascii="Arial" w:cs="Arial" w:eastAsia="Arial" w:hAnsi="Arial"/>
          <w:sz w:val="16"/>
          <w:szCs w:val="16"/>
          <w:b w:val="1"/>
          <w:bCs w:val="1"/>
          <w:color w:val="0000FF"/>
        </w:rPr>
        <w:t>y Date</w:t>
      </w:r>
      <w:r>
        <w:rPr>
          <w:rFonts w:ascii="Arial" w:cs="Arial" w:eastAsia="Arial" w:hAnsi="Arial"/>
          <w:sz w:val="16"/>
          <w:szCs w:val="16"/>
          <w:color w:val="010101"/>
        </w:rPr>
        <w:t xml:space="preserve"> in effect immediately prior thereto and shall thereupon record in the Register the relevant information with respect to each such Consenting Lender and each such Assuming Lender. </w:t>
      </w:r>
      <w:r>
        <w:rPr>
          <w:rFonts w:ascii="Arial" w:cs="Arial" w:eastAsia="Arial" w:hAnsi="Arial"/>
          <w:sz w:val="16"/>
          <w:szCs w:val="16"/>
          <w:b w:val="1"/>
          <w:bCs w:val="1"/>
          <w:u w:val="single" w:color="auto"/>
          <w:color w:val="0000FF"/>
        </w:rPr>
        <w:t>Wit</w:t>
      </w:r>
      <w:r>
        <w:rPr>
          <w:rFonts w:ascii="Arial" w:cs="Arial" w:eastAsia="Arial" w:hAnsi="Arial"/>
          <w:sz w:val="16"/>
          <w:szCs w:val="16"/>
          <w:b w:val="1"/>
          <w:bCs w:val="1"/>
          <w:color w:val="0000FF"/>
        </w:rPr>
        <w:t>h r</w:t>
      </w:r>
      <w:r>
        <w:rPr>
          <w:rFonts w:ascii="Arial" w:cs="Arial" w:eastAsia="Arial" w:hAnsi="Arial"/>
          <w:sz w:val="16"/>
          <w:szCs w:val="16"/>
          <w:b w:val="1"/>
          <w:bCs w:val="1"/>
          <w:u w:val="single" w:color="auto"/>
          <w:color w:val="0000FF"/>
        </w:rPr>
        <w:t>espec</w:t>
      </w:r>
      <w:r>
        <w:rPr>
          <w:rFonts w:ascii="Arial" w:cs="Arial" w:eastAsia="Arial" w:hAnsi="Arial"/>
          <w:sz w:val="16"/>
          <w:szCs w:val="16"/>
          <w:b w:val="1"/>
          <w:bCs w:val="1"/>
          <w:color w:val="0000FF"/>
        </w:rPr>
        <w:t>t to a</w:t>
      </w:r>
      <w:r>
        <w:rPr>
          <w:rFonts w:ascii="Arial" w:cs="Arial" w:eastAsia="Arial" w:hAnsi="Arial"/>
          <w:sz w:val="16"/>
          <w:szCs w:val="16"/>
          <w:b w:val="1"/>
          <w:bCs w:val="1"/>
          <w:u w:val="single" w:color="auto"/>
          <w:color w:val="0000FF"/>
        </w:rPr>
        <w:t>n</w:t>
      </w:r>
      <w:r>
        <w:rPr>
          <w:rFonts w:ascii="Arial" w:cs="Arial" w:eastAsia="Arial" w:hAnsi="Arial"/>
          <w:sz w:val="16"/>
          <w:szCs w:val="16"/>
          <w:b w:val="1"/>
          <w:bCs w:val="1"/>
          <w:color w:val="0000FF"/>
        </w:rPr>
        <w:t>y T</w:t>
      </w:r>
      <w:r>
        <w:rPr>
          <w:rFonts w:ascii="Arial" w:cs="Arial" w:eastAsia="Arial" w:hAnsi="Arial"/>
          <w:sz w:val="16"/>
          <w:szCs w:val="16"/>
          <w:b w:val="1"/>
          <w:bCs w:val="1"/>
          <w:u w:val="single" w:color="auto"/>
          <w:color w:val="0000FF"/>
        </w:rPr>
        <w:t>er</w:t>
      </w:r>
      <w:r>
        <w:rPr>
          <w:rFonts w:ascii="Arial" w:cs="Arial" w:eastAsia="Arial" w:hAnsi="Arial"/>
          <w:sz w:val="16"/>
          <w:szCs w:val="16"/>
          <w:b w:val="1"/>
          <w:bCs w:val="1"/>
          <w:color w:val="0000FF"/>
        </w:rPr>
        <w:t>m Loans</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where the Term Loan Maturity Date is extended, such Term Loans will continue to amortiz</w:t>
      </w:r>
      <w:r>
        <w:rPr>
          <w:rFonts w:ascii="Arial" w:cs="Arial" w:eastAsia="Arial" w:hAnsi="Arial"/>
          <w:sz w:val="16"/>
          <w:szCs w:val="16"/>
          <w:b w:val="1"/>
          <w:bCs w:val="1"/>
          <w:color w:val="0000FF"/>
        </w:rPr>
        <w:t>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n</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e</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quarterl</w:t>
      </w:r>
      <w:r>
        <w:rPr>
          <w:rFonts w:ascii="Arial" w:cs="Arial" w:eastAsia="Arial" w:hAnsi="Arial"/>
          <w:sz w:val="16"/>
          <w:szCs w:val="16"/>
          <w:b w:val="1"/>
          <w:bCs w:val="1"/>
          <w:color w:val="0000FF"/>
        </w:rPr>
        <w:t>y</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amoun</w:t>
      </w:r>
      <w:r>
        <w:rPr>
          <w:rFonts w:ascii="Arial" w:cs="Arial" w:eastAsia="Arial" w:hAnsi="Arial"/>
          <w:sz w:val="16"/>
          <w:szCs w:val="16"/>
          <w:b w:val="1"/>
          <w:bCs w:val="1"/>
          <w:color w:val="0000FF"/>
        </w:rPr>
        <w:t>t</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se</w:t>
      </w:r>
      <w:r>
        <w:rPr>
          <w:rFonts w:ascii="Arial" w:cs="Arial" w:eastAsia="Arial" w:hAnsi="Arial"/>
          <w:sz w:val="16"/>
          <w:szCs w:val="16"/>
          <w:b w:val="1"/>
          <w:bCs w:val="1"/>
          <w:color w:val="0000FF"/>
        </w:rPr>
        <w:t xml:space="preserve">t </w:t>
      </w:r>
      <w:r>
        <w:rPr>
          <w:rFonts w:ascii="Arial" w:cs="Arial" w:eastAsia="Arial" w:hAnsi="Arial"/>
          <w:sz w:val="16"/>
          <w:szCs w:val="16"/>
          <w:b w:val="1"/>
          <w:bCs w:val="1"/>
          <w:u w:val="single" w:color="auto"/>
          <w:color w:val="0000FF"/>
        </w:rPr>
        <w:t>fort</w:t>
      </w:r>
      <w:r>
        <w:rPr>
          <w:rFonts w:ascii="Arial" w:cs="Arial" w:eastAsia="Arial" w:hAnsi="Arial"/>
          <w:sz w:val="16"/>
          <w:szCs w:val="16"/>
          <w:b w:val="1"/>
          <w:bCs w:val="1"/>
          <w:color w:val="0000FF"/>
        </w:rPr>
        <w:t xml:space="preserve">h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Sectio</w:t>
      </w:r>
      <w:r>
        <w:rPr>
          <w:rFonts w:ascii="Arial" w:cs="Arial" w:eastAsia="Arial" w:hAnsi="Arial"/>
          <w:sz w:val="16"/>
          <w:szCs w:val="16"/>
          <w:b w:val="1"/>
          <w:bCs w:val="1"/>
          <w:color w:val="0000FF"/>
        </w:rPr>
        <w:t>n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-739140</wp:posOffset>
            </wp:positionV>
            <wp:extent cx="19367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93675" cy="635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-328295</wp:posOffset>
            </wp:positionV>
            <wp:extent cx="27876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278765" cy="6350"/>
                    </a:xfrm>
                    <a:prstGeom prst="rect">
                      <a:avLst/>
                    </a:prstGeom>
                    <a:noFill/>
                  </pic:spPr>
                </pic:pic>
              </a:graphicData>
            </a:graphic>
          </wp:anchor>
        </w:drawing>
      </w:r>
    </w:p>
    <w:p>
      <w:pPr>
        <w:spacing w:after="0" w:line="132"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2.18.</w:t>
      </w:r>
      <w:r>
        <w:rPr>
          <w:sz w:val="20"/>
          <w:szCs w:val="20"/>
          <w:color w:val="auto"/>
        </w:rPr>
        <w:tab/>
      </w:r>
      <w:r>
        <w:rPr>
          <w:rFonts w:ascii="Arial" w:cs="Arial" w:eastAsia="Arial" w:hAnsi="Arial"/>
          <w:sz w:val="14"/>
          <w:szCs w:val="14"/>
          <w:u w:val="single" w:color="auto"/>
          <w:color w:val="010101"/>
        </w:rPr>
        <w:t>Defaulting Lenders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60" w:lineRule="exact"/>
        <w:rPr>
          <w:sz w:val="20"/>
          <w:szCs w:val="20"/>
          <w:color w:val="auto"/>
        </w:rPr>
      </w:pPr>
    </w:p>
    <w:p>
      <w:pPr>
        <w:ind w:left="20" w:firstLine="487"/>
        <w:spacing w:after="0" w:line="239" w:lineRule="auto"/>
        <w:tabs>
          <w:tab w:leader="none" w:pos="91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010101"/>
        </w:rPr>
        <w:t>Defaulting Lender Adjustments</w:t>
      </w:r>
      <w:r>
        <w:rPr>
          <w:rFonts w:ascii="Arial" w:cs="Arial" w:eastAsia="Arial" w:hAnsi="Arial"/>
          <w:sz w:val="16"/>
          <w:szCs w:val="16"/>
          <w:color w:val="010101"/>
        </w:rPr>
        <w:t>. Notwithstanding anything to the contrary contained in this Agreement, if any Lender becomes a Defaulting Lender, then, until such time as such Lender is no longer a Defaulting Lender, to the extent permitted by Applicable Law:</w:t>
      </w:r>
    </w:p>
    <w:p>
      <w:pPr>
        <w:spacing w:after="0" w:line="148" w:lineRule="exact"/>
        <w:rPr>
          <w:rFonts w:ascii="Arial" w:cs="Arial" w:eastAsia="Arial" w:hAnsi="Arial"/>
          <w:sz w:val="16"/>
          <w:szCs w:val="16"/>
          <w:color w:val="auto"/>
        </w:rPr>
      </w:pPr>
    </w:p>
    <w:p>
      <w:pPr>
        <w:ind w:left="500" w:right="20" w:firstLine="492"/>
        <w:spacing w:after="0" w:line="239" w:lineRule="auto"/>
        <w:tabs>
          <w:tab w:leader="none" w:pos="1389"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010101"/>
        </w:rPr>
        <w:t>Waivers and Amendments</w:t>
      </w:r>
      <w:r>
        <w:rPr>
          <w:rFonts w:ascii="Arial" w:cs="Arial" w:eastAsia="Arial" w:hAnsi="Arial"/>
          <w:sz w:val="16"/>
          <w:szCs w:val="16"/>
          <w:color w:val="010101"/>
        </w:rPr>
        <w:t>. Such Defaulting Lender’s right to approve or disapprove any amendment, waiver or consent with respect to this Agreement shall be restricted as set forth in the definition of Required Lenders.</w:t>
      </w:r>
    </w:p>
    <w:p>
      <w:pPr>
        <w:spacing w:after="0" w:line="148" w:lineRule="exact"/>
        <w:rPr>
          <w:rFonts w:ascii="Arial" w:cs="Arial" w:eastAsia="Arial" w:hAnsi="Arial"/>
          <w:sz w:val="16"/>
          <w:szCs w:val="16"/>
          <w:color w:val="auto"/>
        </w:rPr>
      </w:pPr>
    </w:p>
    <w:p>
      <w:pPr>
        <w:jc w:val="both"/>
        <w:ind w:left="500" w:firstLine="492"/>
        <w:spacing w:after="0" w:line="230" w:lineRule="auto"/>
        <w:tabs>
          <w:tab w:leader="none" w:pos="1389" w:val="left"/>
        </w:tabs>
        <w:numPr>
          <w:ilvl w:val="1"/>
          <w:numId w:val="99"/>
        </w:numPr>
        <w:rPr>
          <w:rFonts w:ascii="Arial" w:cs="Arial" w:eastAsia="Arial" w:hAnsi="Arial"/>
          <w:sz w:val="15"/>
          <w:szCs w:val="15"/>
          <w:color w:val="auto"/>
        </w:rPr>
      </w:pPr>
      <w:r>
        <w:rPr>
          <w:rFonts w:ascii="Arial" w:cs="Arial" w:eastAsia="Arial" w:hAnsi="Arial"/>
          <w:sz w:val="15"/>
          <w:szCs w:val="15"/>
          <w:u w:val="single" w:color="auto"/>
          <w:color w:val="010101"/>
        </w:rPr>
        <w:t>Defaulting Lender Waterfall</w:t>
      </w:r>
      <w:r>
        <w:rPr>
          <w:rFonts w:ascii="Arial" w:cs="Arial" w:eastAsia="Arial" w:hAnsi="Arial"/>
          <w:sz w:val="15"/>
          <w:szCs w:val="15"/>
          <w:color w:val="010101"/>
        </w:rPr>
        <w:t xml:space="preserve">. Any payment of principal, interest, fees or other amounts received by the Administrative Agent for the account of such Defaulting Lender hereunder (whether voluntary or mandatory, at maturity, pursuant to Article VI or otherwise) or received by the Administrative Agent from a Defaulting Lender pursuant to Section 9.05 shall be applied at such time or times as may be determined by the Administrative Agent as follows: </w:t>
      </w:r>
      <w:r>
        <w:rPr>
          <w:rFonts w:ascii="Arial" w:cs="Arial" w:eastAsia="Arial" w:hAnsi="Arial"/>
          <w:sz w:val="15"/>
          <w:szCs w:val="15"/>
          <w:i w:val="1"/>
          <w:iCs w:val="1"/>
          <w:color w:val="010101"/>
        </w:rPr>
        <w:t>first</w:t>
      </w:r>
      <w:r>
        <w:rPr>
          <w:rFonts w:ascii="Arial" w:cs="Arial" w:eastAsia="Arial" w:hAnsi="Arial"/>
          <w:sz w:val="15"/>
          <w:szCs w:val="15"/>
          <w:color w:val="010101"/>
        </w:rPr>
        <w:t xml:space="preserve">, to the payment of any amounts owing by such Defaulting Lender to the Administrative Agent hereunder; </w:t>
      </w:r>
      <w:r>
        <w:rPr>
          <w:rFonts w:ascii="Arial" w:cs="Arial" w:eastAsia="Arial" w:hAnsi="Arial"/>
          <w:sz w:val="15"/>
          <w:szCs w:val="15"/>
          <w:i w:val="1"/>
          <w:iCs w:val="1"/>
          <w:color w:val="010101"/>
        </w:rPr>
        <w:t>second</w:t>
      </w:r>
      <w:r>
        <w:rPr>
          <w:rFonts w:ascii="Arial" w:cs="Arial" w:eastAsia="Arial" w:hAnsi="Arial"/>
          <w:sz w:val="15"/>
          <w:szCs w:val="15"/>
          <w:color w:val="010101"/>
        </w:rPr>
        <w:t xml:space="preserve">, as the Company, on behalf of the Borrowers, may request (so long as no Default exists), to the funding of any Extensions of Credit in respect of which such Defaulting Lender has failed to fund its portion thereof as required by this Agreement, as determined by the Administrative Agent; </w:t>
      </w:r>
      <w:r>
        <w:rPr>
          <w:rFonts w:ascii="Arial" w:cs="Arial" w:eastAsia="Arial" w:hAnsi="Arial"/>
          <w:sz w:val="15"/>
          <w:szCs w:val="15"/>
          <w:i w:val="1"/>
          <w:iCs w:val="1"/>
          <w:color w:val="010101"/>
        </w:rPr>
        <w:t>third</w:t>
      </w:r>
      <w:r>
        <w:rPr>
          <w:rFonts w:ascii="Arial" w:cs="Arial" w:eastAsia="Arial" w:hAnsi="Arial"/>
          <w:sz w:val="15"/>
          <w:szCs w:val="15"/>
          <w:color w:val="010101"/>
        </w:rPr>
        <w:t xml:space="preserve">, to Cash Collateralize the Fronting Exposure of the Issuing Lenders with respect to such Defaulting Lender in accordance with </w:t>
      </w:r>
      <w:r>
        <w:rPr>
          <w:rFonts w:ascii="Arial" w:cs="Arial" w:eastAsia="Arial" w:hAnsi="Arial"/>
          <w:sz w:val="15"/>
          <w:szCs w:val="15"/>
          <w:u w:val="single" w:color="auto"/>
          <w:color w:val="010101"/>
        </w:rPr>
        <w:t>Section 2.21</w:t>
      </w:r>
      <w:r>
        <w:rPr>
          <w:rFonts w:ascii="Arial" w:cs="Arial" w:eastAsia="Arial" w:hAnsi="Arial"/>
          <w:sz w:val="15"/>
          <w:szCs w:val="15"/>
          <w:color w:val="010101"/>
        </w:rPr>
        <w:t xml:space="preserve">, </w:t>
      </w:r>
      <w:r>
        <w:rPr>
          <w:rFonts w:ascii="Arial" w:cs="Arial" w:eastAsia="Arial" w:hAnsi="Arial"/>
          <w:sz w:val="15"/>
          <w:szCs w:val="15"/>
          <w:i w:val="1"/>
          <w:iCs w:val="1"/>
          <w:color w:val="010101"/>
        </w:rPr>
        <w:t>fourth</w:t>
      </w:r>
      <w:r>
        <w:rPr>
          <w:rFonts w:ascii="Arial" w:cs="Arial" w:eastAsia="Arial" w:hAnsi="Arial"/>
          <w:sz w:val="15"/>
          <w:szCs w:val="15"/>
          <w:color w:val="010101"/>
        </w:rPr>
        <w:t xml:space="preserve">, if so determined by the Administrative Agent and the Company, to be held in a deposit account and released pro rata in order to (A) satisfy such Defaulting Lender’s potential future funding obligations with respect to Advances under this Agreement and (B) Cash Collateralize the Issuing Lenders’ future Fronting Exposure with respect to such Defaulting Lender with respect to future Letters of Credit issued under this Agreement, in accordance with Section 2.21; </w:t>
      </w:r>
      <w:r>
        <w:rPr>
          <w:rFonts w:ascii="Arial" w:cs="Arial" w:eastAsia="Arial" w:hAnsi="Arial"/>
          <w:sz w:val="15"/>
          <w:szCs w:val="15"/>
          <w:i w:val="1"/>
          <w:iCs w:val="1"/>
          <w:color w:val="010101"/>
        </w:rPr>
        <w:t>fifth</w:t>
      </w:r>
      <w:r>
        <w:rPr>
          <w:rFonts w:ascii="Arial" w:cs="Arial" w:eastAsia="Arial" w:hAnsi="Arial"/>
          <w:sz w:val="15"/>
          <w:szCs w:val="15"/>
          <w:color w:val="010101"/>
        </w:rPr>
        <w:t xml:space="preserve">, to the payment of any amounts owing to the Lenders as a result of any judgment of a court of competent jurisdiction obtained by any Borrower against such Defaulting Lender as a result of such Defaulting Lender’s breach of its obligations under this Agreement; and </w:t>
      </w:r>
      <w:r>
        <w:rPr>
          <w:rFonts w:ascii="Arial" w:cs="Arial" w:eastAsia="Arial" w:hAnsi="Arial"/>
          <w:sz w:val="15"/>
          <w:szCs w:val="15"/>
          <w:i w:val="1"/>
          <w:iCs w:val="1"/>
          <w:color w:val="010101"/>
        </w:rPr>
        <w:t>sixth</w:t>
      </w:r>
      <w:r>
        <w:rPr>
          <w:rFonts w:ascii="Arial" w:cs="Arial" w:eastAsia="Arial" w:hAnsi="Arial"/>
          <w:sz w:val="15"/>
          <w:szCs w:val="15"/>
          <w:color w:val="010101"/>
        </w:rPr>
        <w:t>, to such Defaulting Lender or as otherwise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1" w:right="499" w:bottom="1440" w:gutter="0" w:footer="0" w:header="0"/>
        </w:sectPr>
      </w:pPr>
    </w:p>
    <w:bookmarkStart w:id="126" w:name="page127"/>
    <w:bookmarkEnd w:id="126"/>
    <w:p>
      <w:pPr>
        <w:jc w:val="both"/>
        <w:ind w:left="500"/>
        <w:spacing w:after="0" w:line="218" w:lineRule="auto"/>
        <w:rPr>
          <w:sz w:val="20"/>
          <w:szCs w:val="20"/>
          <w:color w:val="auto"/>
        </w:rPr>
      </w:pPr>
      <w:r>
        <w:rPr>
          <w:rFonts w:ascii="Arial" w:cs="Arial" w:eastAsia="Arial" w:hAnsi="Arial"/>
          <w:sz w:val="16"/>
          <w:szCs w:val="16"/>
          <w:color w:val="010101"/>
        </w:rPr>
        <w:t xml:space="preserve">directed by a court of competent jurisdiction;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if (x) such payment is a payment of the principal amount of any Advances or funded participations in Letters of Credit in respect of which such Defaulting Lender has not fully funded its appropriate share and (y) such Advances were made or the related Letters of Credit were issued at a time when the conditions set forth in Section 3.02 were satisfied or waived, such payment shall be applied solely to pay the Advances of, or funded participations in Letters of Credit owed to, all Non-Defaulting Lenders on a pro rata basis prior to being applied to the payment of any Advances of, or funded participations in Letters of Credit owed to, such Defaulting Lender until such time as all Advances are held by the Lenders pro rata in accordance with the Commitments. Any payments, prepayments or other amounts paid or payable to a Defaulting Lender that are applied (or held) to pay amounts owed by a Defaulting Lender pursuant to this Section 2.18(a)(ii) shall be deemed paid to and redirected by such Defaulting Lender, and each Lender irrevocably consents hereto.</w:t>
      </w:r>
    </w:p>
    <w:p>
      <w:pPr>
        <w:spacing w:after="0" w:line="148" w:lineRule="exact"/>
        <w:rPr>
          <w:sz w:val="20"/>
          <w:szCs w:val="20"/>
          <w:color w:val="auto"/>
        </w:rPr>
      </w:pPr>
    </w:p>
    <w:p>
      <w:pPr>
        <w:ind w:left="1480" w:hanging="488"/>
        <w:spacing w:after="0"/>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010101"/>
        </w:rPr>
        <w:t>Certain Fees</w:t>
      </w:r>
      <w:r>
        <w:rPr>
          <w:rFonts w:ascii="Arial" w:cs="Arial" w:eastAsia="Arial" w:hAnsi="Arial"/>
          <w:sz w:val="16"/>
          <w:szCs w:val="16"/>
          <w:color w:val="010101"/>
        </w:rPr>
        <w:t>.</w:t>
      </w:r>
    </w:p>
    <w:p>
      <w:pPr>
        <w:spacing w:after="0" w:line="169" w:lineRule="exact"/>
        <w:rPr>
          <w:rFonts w:ascii="Arial" w:cs="Arial" w:eastAsia="Arial" w:hAnsi="Arial"/>
          <w:sz w:val="16"/>
          <w:szCs w:val="16"/>
          <w:color w:val="auto"/>
        </w:rPr>
      </w:pPr>
    </w:p>
    <w:p>
      <w:pPr>
        <w:ind w:left="1000" w:right="20" w:firstLine="477"/>
        <w:spacing w:after="0" w:line="239" w:lineRule="auto"/>
        <w:tabs>
          <w:tab w:leader="none" w:pos="1890" w:val="left"/>
        </w:tabs>
        <w:numPr>
          <w:ilvl w:val="1"/>
          <w:numId w:val="100"/>
        </w:numPr>
        <w:rPr>
          <w:rFonts w:ascii="Arial" w:cs="Arial" w:eastAsia="Arial" w:hAnsi="Arial"/>
          <w:sz w:val="16"/>
          <w:szCs w:val="16"/>
          <w:color w:val="auto"/>
        </w:rPr>
      </w:pPr>
      <w:r>
        <w:rPr>
          <w:rFonts w:ascii="Arial" w:cs="Arial" w:eastAsia="Arial" w:hAnsi="Arial"/>
          <w:sz w:val="16"/>
          <w:szCs w:val="16"/>
          <w:color w:val="010101"/>
        </w:rPr>
        <w:t>No Defaulting Lender shall be entitled to receive a commitment fee for any period during which that Lender is a Defaulting Lender, and no Borrower shall be required to pay such fee otherwise payable to a Defaulting Lender.</w:t>
      </w:r>
    </w:p>
    <w:p>
      <w:pPr>
        <w:spacing w:after="0" w:line="138" w:lineRule="exact"/>
        <w:rPr>
          <w:rFonts w:ascii="Arial" w:cs="Arial" w:eastAsia="Arial" w:hAnsi="Arial"/>
          <w:sz w:val="16"/>
          <w:szCs w:val="16"/>
          <w:color w:val="auto"/>
        </w:rPr>
      </w:pPr>
    </w:p>
    <w:p>
      <w:pPr>
        <w:jc w:val="both"/>
        <w:ind w:left="1000" w:firstLine="477"/>
        <w:spacing w:after="0" w:line="230" w:lineRule="auto"/>
        <w:tabs>
          <w:tab w:leader="none" w:pos="1889" w:val="left"/>
        </w:tabs>
        <w:numPr>
          <w:ilvl w:val="1"/>
          <w:numId w:val="100"/>
        </w:numPr>
        <w:rPr>
          <w:rFonts w:ascii="Arial" w:cs="Arial" w:eastAsia="Arial" w:hAnsi="Arial"/>
          <w:sz w:val="16"/>
          <w:szCs w:val="16"/>
          <w:color w:val="auto"/>
        </w:rPr>
      </w:pPr>
      <w:r>
        <w:rPr>
          <w:rFonts w:ascii="Arial" w:cs="Arial" w:eastAsia="Arial" w:hAnsi="Arial"/>
          <w:sz w:val="16"/>
          <w:szCs w:val="16"/>
          <w:color w:val="010101"/>
        </w:rPr>
        <w:t>Each Defaulting Lender shall be entitled to receive Letter of Credit commissions pursuant to Section 10.03 for any period during which that Lender is a Defaulting Lender only to the extent allocable to its Commitment Percentage of the stated amount of Letters of Credit for which it has provided Cash Collateral pursuant to Section 2.21.</w:t>
      </w:r>
    </w:p>
    <w:p>
      <w:pPr>
        <w:spacing w:after="0" w:line="148" w:lineRule="exact"/>
        <w:rPr>
          <w:rFonts w:ascii="Arial" w:cs="Arial" w:eastAsia="Arial" w:hAnsi="Arial"/>
          <w:sz w:val="16"/>
          <w:szCs w:val="16"/>
          <w:color w:val="auto"/>
        </w:rPr>
      </w:pPr>
    </w:p>
    <w:p>
      <w:pPr>
        <w:ind w:left="1880" w:hanging="403"/>
        <w:spacing w:after="0"/>
        <w:tabs>
          <w:tab w:leader="none" w:pos="1880" w:val="left"/>
        </w:tabs>
        <w:numPr>
          <w:ilvl w:val="1"/>
          <w:numId w:val="100"/>
        </w:numPr>
        <w:rPr>
          <w:rFonts w:ascii="Arial" w:cs="Arial" w:eastAsia="Arial" w:hAnsi="Arial"/>
          <w:sz w:val="15"/>
          <w:szCs w:val="15"/>
          <w:color w:val="auto"/>
        </w:rPr>
      </w:pPr>
      <w:r>
        <w:rPr>
          <w:rFonts w:ascii="Arial" w:cs="Arial" w:eastAsia="Arial" w:hAnsi="Arial"/>
          <w:sz w:val="15"/>
          <w:szCs w:val="15"/>
          <w:color w:val="010101"/>
        </w:rPr>
        <w:t>With respect to any Commitment Fee or Letter of Credit commission not required to be paid to any Defaulting Lender pursuant to clause</w:t>
      </w:r>
    </w:p>
    <w:p>
      <w:pPr>
        <w:spacing w:after="0" w:line="3" w:lineRule="exact"/>
        <w:rPr>
          <w:sz w:val="20"/>
          <w:szCs w:val="20"/>
          <w:color w:val="auto"/>
        </w:rPr>
      </w:pPr>
    </w:p>
    <w:p>
      <w:pPr>
        <w:jc w:val="both"/>
        <w:ind w:left="1000" w:hanging="8"/>
        <w:spacing w:after="0" w:line="235" w:lineRule="auto"/>
        <w:tabs>
          <w:tab w:leader="none" w:pos="1266" w:val="left"/>
        </w:tabs>
        <w:numPr>
          <w:ilvl w:val="1"/>
          <w:numId w:val="101"/>
        </w:numPr>
        <w:rPr>
          <w:rFonts w:ascii="Arial" w:cs="Arial" w:eastAsia="Arial" w:hAnsi="Arial"/>
          <w:sz w:val="15"/>
          <w:szCs w:val="15"/>
          <w:color w:val="010101"/>
        </w:rPr>
      </w:pPr>
      <w:r>
        <w:rPr>
          <w:rFonts w:ascii="Arial" w:cs="Arial" w:eastAsia="Arial" w:hAnsi="Arial"/>
          <w:sz w:val="15"/>
          <w:szCs w:val="15"/>
          <w:color w:val="010101"/>
        </w:rPr>
        <w:t>or (B) above, the Company shall (1) pay to each Non-Defaulting Lender that portion of any such fee otherwise payable to such Defaulting Lender with respect to such Defaulting Lender’s participation in L/C Obligations that have been reallocated to such Non-Defaulting Lender pursuant to clause (c) below, (2) pay to each applicable Issuing Lender the amount of any such fee otherwise payable to such Defaulting Lender to the extent allocable to such Issuing Lender’s Fronting Exposure to such Defaulting Lender, and (3) not be required to pay the remaining amount of any such fee.</w:t>
      </w:r>
    </w:p>
    <w:p>
      <w:pPr>
        <w:spacing w:after="0" w:line="149" w:lineRule="exact"/>
        <w:rPr>
          <w:rFonts w:ascii="Arial" w:cs="Arial" w:eastAsia="Arial" w:hAnsi="Arial"/>
          <w:sz w:val="15"/>
          <w:szCs w:val="15"/>
          <w:color w:val="010101"/>
        </w:rPr>
      </w:pPr>
    </w:p>
    <w:p>
      <w:pPr>
        <w:jc w:val="both"/>
        <w:ind w:left="20" w:right="20" w:firstLine="487"/>
        <w:spacing w:after="0" w:line="257" w:lineRule="auto"/>
        <w:tabs>
          <w:tab w:leader="none" w:pos="909" w:val="left"/>
        </w:tabs>
        <w:numPr>
          <w:ilvl w:val="0"/>
          <w:numId w:val="102"/>
        </w:numPr>
        <w:rPr>
          <w:rFonts w:ascii="Arial" w:cs="Arial" w:eastAsia="Arial" w:hAnsi="Arial"/>
          <w:sz w:val="14"/>
          <w:szCs w:val="14"/>
          <w:color w:val="auto"/>
        </w:rPr>
      </w:pPr>
      <w:r>
        <w:rPr>
          <w:rFonts w:ascii="Arial" w:cs="Arial" w:eastAsia="Arial" w:hAnsi="Arial"/>
          <w:sz w:val="14"/>
          <w:szCs w:val="14"/>
          <w:u w:val="single" w:color="auto"/>
          <w:color w:val="010101"/>
        </w:rPr>
        <w:t>Defaulting Lender Cure</w:t>
      </w:r>
      <w:r>
        <w:rPr>
          <w:rFonts w:ascii="Arial" w:cs="Arial" w:eastAsia="Arial" w:hAnsi="Arial"/>
          <w:sz w:val="14"/>
          <w:szCs w:val="14"/>
          <w:color w:val="010101"/>
        </w:rPr>
        <w:t xml:space="preserve">. If the Company and the Administrative Agent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Letters of Credit to be held pro rata by the Lenders in accordance with the Commitments, whereupon such Lender will cease to be a Defaulting Lender;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no adjustments will</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27" w:name="page128"/>
    <w:bookmarkEnd w:id="127"/>
    <w:p>
      <w:pPr>
        <w:jc w:val="both"/>
        <w:ind w:left="20" w:right="80"/>
        <w:spacing w:after="0" w:line="230" w:lineRule="auto"/>
        <w:rPr>
          <w:sz w:val="20"/>
          <w:szCs w:val="20"/>
          <w:color w:val="auto"/>
        </w:rPr>
      </w:pPr>
      <w:r>
        <w:rPr>
          <w:rFonts w:ascii="Arial" w:cs="Arial" w:eastAsia="Arial" w:hAnsi="Arial"/>
          <w:sz w:val="16"/>
          <w:szCs w:val="16"/>
          <w:color w:val="010101"/>
        </w:rPr>
        <w:t xml:space="preserve">be made retroactively with respect to fees accrued or payments made by or on behalf of any Borrower while that Lender was a Defaulting Lender; and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further</w:t>
      </w:r>
      <w:r>
        <w:rPr>
          <w:rFonts w:ascii="Arial" w:cs="Arial" w:eastAsia="Arial" w:hAnsi="Arial"/>
          <w:sz w:val="16"/>
          <w:szCs w:val="16"/>
          <w:color w:val="010101"/>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48" w:lineRule="exact"/>
        <w:rPr>
          <w:sz w:val="20"/>
          <w:szCs w:val="20"/>
          <w:color w:val="auto"/>
        </w:rPr>
      </w:pPr>
    </w:p>
    <w:p>
      <w:pPr>
        <w:jc w:val="both"/>
        <w:ind w:left="20" w:right="80" w:firstLine="487"/>
        <w:spacing w:after="0" w:line="220" w:lineRule="auto"/>
        <w:tabs>
          <w:tab w:leader="none" w:pos="91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010101"/>
        </w:rPr>
        <w:t>Reallocation of Participations to Reduce Fronting Exposure</w:t>
      </w:r>
      <w:r>
        <w:rPr>
          <w:rFonts w:ascii="Arial" w:cs="Arial" w:eastAsia="Arial" w:hAnsi="Arial"/>
          <w:sz w:val="16"/>
          <w:szCs w:val="16"/>
          <w:color w:val="010101"/>
        </w:rPr>
        <w:t>. All or any part of such Defaulting Lender’s participation in L/C Obligations shall be reallocated among the Non-Defaulting Lenders in accordance with their respective Commitment Percentages (calculated without regard to such Defaulting Lender’s Commitment) but only to the extent that such reallocation does not cause the aggregate Revolving Credit Exposure of any Non-Defaulting Lender to exceed such Non-Defaulting Lender’s Commitment. Subject to Section 9.14,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0" w:lineRule="exact"/>
        <w:rPr>
          <w:rFonts w:ascii="Arial" w:cs="Arial" w:eastAsia="Arial" w:hAnsi="Arial"/>
          <w:sz w:val="16"/>
          <w:szCs w:val="16"/>
          <w:color w:val="auto"/>
        </w:rPr>
      </w:pPr>
    </w:p>
    <w:p>
      <w:pPr>
        <w:jc w:val="both"/>
        <w:ind w:left="20" w:right="60" w:firstLine="487"/>
        <w:spacing w:after="0" w:line="230" w:lineRule="auto"/>
        <w:tabs>
          <w:tab w:leader="none" w:pos="909"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010101"/>
        </w:rPr>
        <w:t>Cash Collateral</w:t>
      </w:r>
      <w:r>
        <w:rPr>
          <w:rFonts w:ascii="Arial" w:cs="Arial" w:eastAsia="Arial" w:hAnsi="Arial"/>
          <w:sz w:val="16"/>
          <w:szCs w:val="16"/>
          <w:color w:val="010101"/>
        </w:rPr>
        <w:t>. If the reallocation described in subsection (c) above cannot, or can only partially, be effected, the Company shall, without prejudice to any right or remedy available to it hereunder or under law, Cash Collateralize the Issuing Lenders’ Fronting Exposure in accordance with the procedures set forth in Section 2.21.</w:t>
      </w:r>
    </w:p>
    <w:p>
      <w:pPr>
        <w:spacing w:after="0" w:line="13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2.19.</w:t>
      </w:r>
      <w:r>
        <w:rPr>
          <w:sz w:val="20"/>
          <w:szCs w:val="20"/>
          <w:color w:val="auto"/>
        </w:rPr>
        <w:tab/>
      </w:r>
      <w:r>
        <w:rPr>
          <w:rFonts w:ascii="Arial" w:cs="Arial" w:eastAsia="Arial" w:hAnsi="Arial"/>
          <w:sz w:val="15"/>
          <w:szCs w:val="15"/>
          <w:u w:val="single" w:color="auto"/>
          <w:color w:val="010101"/>
        </w:rPr>
        <w:t>Mitigation of Obligations; Replacement of Lenders</w:t>
      </w:r>
    </w:p>
    <w:p>
      <w:pPr>
        <w:spacing w:after="0" w:line="170" w:lineRule="exact"/>
        <w:rPr>
          <w:sz w:val="20"/>
          <w:szCs w:val="20"/>
          <w:color w:val="auto"/>
        </w:rPr>
      </w:pPr>
    </w:p>
    <w:p>
      <w:pPr>
        <w:ind w:left="20" w:firstLine="487"/>
        <w:spacing w:after="0" w:line="235" w:lineRule="auto"/>
        <w:tabs>
          <w:tab w:leader="none" w:pos="586" w:val="left"/>
        </w:tabs>
        <w:numPr>
          <w:ilvl w:val="0"/>
          <w:numId w:val="104"/>
        </w:numPr>
        <w:rPr>
          <w:rFonts w:ascii="Arial" w:cs="Arial" w:eastAsia="Arial" w:hAnsi="Arial"/>
          <w:sz w:val="15"/>
          <w:szCs w:val="15"/>
          <w:color w:val="010101"/>
        </w:rPr>
      </w:pPr>
      <w:r>
        <w:rPr>
          <w:rFonts w:ascii="Arial" w:cs="Arial" w:eastAsia="Arial" w:hAnsi="Arial"/>
          <w:sz w:val="15"/>
          <w:szCs w:val="15"/>
          <w:color w:val="010101"/>
        </w:rPr>
        <w:t>(a) If any Lender requests compensation under Section 2.11, or requires any Borrower to pay additional amounts to any Lender or any Governmental Authority for the account of any Lender pursuant to Section 2.14, then such Lender shall (at the request of the Company) use reasonable efforts to designate a different lending office for funding or booking its Advances hereunder or to assign its rights and obligations hereunder to another of its offices, branches or affiliates, if, in the judgment of such Lender, such designation or assignment (i) would eliminate or reduce amounts payable pursuant to Section 2.11 or 2.14, as the case may be, in the future, and (ii) would not subject such Lender to any material unreimbursed cost or expense and would not otherwise be disadvantageous to such Lender. The Company hereby agrees to pay all reasonable costs and expenses incurred by any Lender in connection with any such designation or assignment.</w:t>
      </w:r>
    </w:p>
    <w:p>
      <w:pPr>
        <w:spacing w:after="0" w:line="149" w:lineRule="exact"/>
        <w:rPr>
          <w:sz w:val="20"/>
          <w:szCs w:val="20"/>
          <w:color w:val="auto"/>
        </w:rPr>
      </w:pPr>
    </w:p>
    <w:p>
      <w:pPr>
        <w:jc w:val="both"/>
        <w:ind w:left="20" w:right="60" w:firstLine="487"/>
        <w:spacing w:after="0" w:line="220" w:lineRule="auto"/>
        <w:tabs>
          <w:tab w:leader="none" w:pos="909" w:val="left"/>
        </w:tabs>
        <w:numPr>
          <w:ilvl w:val="0"/>
          <w:numId w:val="105"/>
        </w:numPr>
        <w:rPr>
          <w:rFonts w:ascii="Arial" w:cs="Arial" w:eastAsia="Arial" w:hAnsi="Arial"/>
          <w:sz w:val="16"/>
          <w:szCs w:val="16"/>
          <w:color w:val="auto"/>
        </w:rPr>
      </w:pPr>
      <w:r>
        <w:rPr>
          <w:rFonts w:ascii="Arial" w:cs="Arial" w:eastAsia="Arial" w:hAnsi="Arial"/>
          <w:sz w:val="16"/>
          <w:szCs w:val="16"/>
          <w:color w:val="010101"/>
        </w:rPr>
        <w:t xml:space="preserve">If any Lender requests compensation under Section 2.11, or if any Borrower is required to pay additional amounts to any Lender or any Governmental Authority for the account of any Lender pursuant to Section 2.14, or if any Lender is a Defaulting Lender or Non-Consenting Lender, or following such Lender’s Downgrade, then the Company may, at its sole expense and effort, upon notice to such Lender and the Administrative Agent, require such Lender to assign and delegate, without recourse (in accordance with and subject to the restrictions contained in, and consents required by, Section 9.07(b)), all of its interests, rights and obligations under this Agreement to an Eligible Assignee that shall assume such obligations (which assignee may be another Lender, if a Lender accepts such assignment);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100"/>
          </w:cols>
          <w:pgMar w:left="360" w:top="1265" w:right="439" w:bottom="1440" w:gutter="0" w:footer="0" w:header="0"/>
        </w:sectPr>
      </w:pPr>
    </w:p>
    <w:bookmarkStart w:id="128" w:name="page129"/>
    <w:bookmarkEnd w:id="128"/>
    <w:p>
      <w:pPr>
        <w:jc w:val="both"/>
        <w:ind w:left="500" w:firstLine="492"/>
        <w:spacing w:after="0" w:line="248" w:lineRule="auto"/>
        <w:tabs>
          <w:tab w:leader="none" w:pos="1389" w:val="left"/>
        </w:tabs>
        <w:numPr>
          <w:ilvl w:val="0"/>
          <w:numId w:val="106"/>
        </w:numPr>
        <w:rPr>
          <w:rFonts w:ascii="Arial" w:cs="Arial" w:eastAsia="Arial" w:hAnsi="Arial"/>
          <w:sz w:val="15"/>
          <w:szCs w:val="15"/>
          <w:color w:val="auto"/>
        </w:rPr>
      </w:pPr>
      <w:r>
        <w:rPr>
          <w:rFonts w:ascii="Arial" w:cs="Arial" w:eastAsia="Arial" w:hAnsi="Arial"/>
          <w:sz w:val="15"/>
          <w:szCs w:val="15"/>
          <w:color w:val="010101"/>
        </w:rPr>
        <w:t>such Lender shall have received payment of an amount equal to the outstanding principal of its Advances and funded participations in Letters of Credit, accrued interest thereon, accrued fees and all other amounts payable to it hereunder (including any amounts under Section 9.04(c)) from the assignee (to the extent of such outstanding principal and accrued interest and fees) or the Company (in the case of all other amounts);</w:t>
      </w:r>
    </w:p>
    <w:p>
      <w:pPr>
        <w:spacing w:after="0" w:line="142" w:lineRule="exact"/>
        <w:rPr>
          <w:rFonts w:ascii="Arial" w:cs="Arial" w:eastAsia="Arial" w:hAnsi="Arial"/>
          <w:sz w:val="15"/>
          <w:szCs w:val="15"/>
          <w:color w:val="auto"/>
        </w:rPr>
      </w:pPr>
    </w:p>
    <w:p>
      <w:pPr>
        <w:jc w:val="both"/>
        <w:ind w:left="500" w:firstLine="492"/>
        <w:spacing w:after="0" w:line="230" w:lineRule="auto"/>
        <w:tabs>
          <w:tab w:leader="none" w:pos="1389" w:val="left"/>
        </w:tabs>
        <w:numPr>
          <w:ilvl w:val="0"/>
          <w:numId w:val="106"/>
        </w:numPr>
        <w:rPr>
          <w:rFonts w:ascii="Arial" w:cs="Arial" w:eastAsia="Arial" w:hAnsi="Arial"/>
          <w:sz w:val="16"/>
          <w:szCs w:val="16"/>
          <w:color w:val="auto"/>
        </w:rPr>
      </w:pPr>
      <w:r>
        <w:rPr>
          <w:rFonts w:ascii="Arial" w:cs="Arial" w:eastAsia="Arial" w:hAnsi="Arial"/>
          <w:sz w:val="16"/>
          <w:szCs w:val="16"/>
          <w:color w:val="010101"/>
        </w:rPr>
        <w:t>on the date payment of all amounts referred to in Section 2.19(b)(i) has been made, such Lender shall be deemed to have executed and delivered an Assignment and Assumption, and the Company shall be entitled (but not obligated) to execute and deliver such Assignment and Assumption on behalf of such Lender;</w:t>
      </w:r>
    </w:p>
    <w:p>
      <w:pPr>
        <w:spacing w:after="0" w:line="148" w:lineRule="exact"/>
        <w:rPr>
          <w:rFonts w:ascii="Arial" w:cs="Arial" w:eastAsia="Arial" w:hAnsi="Arial"/>
          <w:sz w:val="16"/>
          <w:szCs w:val="16"/>
          <w:color w:val="auto"/>
        </w:rPr>
      </w:pPr>
    </w:p>
    <w:p>
      <w:pPr>
        <w:ind w:left="500" w:firstLine="492"/>
        <w:spacing w:after="0" w:line="239" w:lineRule="auto"/>
        <w:tabs>
          <w:tab w:leader="none" w:pos="1390" w:val="left"/>
        </w:tabs>
        <w:numPr>
          <w:ilvl w:val="0"/>
          <w:numId w:val="106"/>
        </w:numPr>
        <w:rPr>
          <w:rFonts w:ascii="Arial" w:cs="Arial" w:eastAsia="Arial" w:hAnsi="Arial"/>
          <w:sz w:val="16"/>
          <w:szCs w:val="16"/>
          <w:color w:val="auto"/>
        </w:rPr>
      </w:pPr>
      <w:r>
        <w:rPr>
          <w:rFonts w:ascii="Arial" w:cs="Arial" w:eastAsia="Arial" w:hAnsi="Arial"/>
          <w:sz w:val="16"/>
          <w:szCs w:val="16"/>
          <w:color w:val="010101"/>
        </w:rPr>
        <w:t>in the case of any such assignment resulting from a claim for compensation under Section 2.11 or payments required to be made pursuant to Section 2.14, such assignment will result in a reduction in such compensation or payments thereafter;</w:t>
      </w:r>
    </w:p>
    <w:p>
      <w:pPr>
        <w:spacing w:after="0" w:line="138" w:lineRule="exact"/>
        <w:rPr>
          <w:rFonts w:ascii="Arial" w:cs="Arial" w:eastAsia="Arial" w:hAnsi="Arial"/>
          <w:sz w:val="16"/>
          <w:szCs w:val="16"/>
          <w:color w:val="auto"/>
        </w:rPr>
      </w:pPr>
    </w:p>
    <w:p>
      <w:pPr>
        <w:ind w:left="1480" w:hanging="488"/>
        <w:spacing w:after="0"/>
        <w:tabs>
          <w:tab w:leader="none" w:pos="1480" w:val="left"/>
        </w:tabs>
        <w:numPr>
          <w:ilvl w:val="0"/>
          <w:numId w:val="106"/>
        </w:numPr>
        <w:rPr>
          <w:rFonts w:ascii="Arial" w:cs="Arial" w:eastAsia="Arial" w:hAnsi="Arial"/>
          <w:sz w:val="16"/>
          <w:szCs w:val="16"/>
          <w:color w:val="auto"/>
        </w:rPr>
      </w:pPr>
      <w:r>
        <w:rPr>
          <w:rFonts w:ascii="Arial" w:cs="Arial" w:eastAsia="Arial" w:hAnsi="Arial"/>
          <w:sz w:val="16"/>
          <w:szCs w:val="16"/>
          <w:color w:val="010101"/>
        </w:rPr>
        <w:t>such assignment does not conflict with Applicable Law; and</w:t>
      </w:r>
    </w:p>
    <w:p>
      <w:pPr>
        <w:spacing w:after="0" w:line="169" w:lineRule="exact"/>
        <w:rPr>
          <w:rFonts w:ascii="Arial" w:cs="Arial" w:eastAsia="Arial" w:hAnsi="Arial"/>
          <w:sz w:val="16"/>
          <w:szCs w:val="16"/>
          <w:color w:val="auto"/>
        </w:rPr>
      </w:pPr>
    </w:p>
    <w:p>
      <w:pPr>
        <w:ind w:left="500" w:firstLine="492"/>
        <w:spacing w:after="0" w:line="239" w:lineRule="auto"/>
        <w:tabs>
          <w:tab w:leader="none" w:pos="1389" w:val="left"/>
        </w:tabs>
        <w:numPr>
          <w:ilvl w:val="0"/>
          <w:numId w:val="106"/>
        </w:numPr>
        <w:rPr>
          <w:rFonts w:ascii="Arial" w:cs="Arial" w:eastAsia="Arial" w:hAnsi="Arial"/>
          <w:sz w:val="16"/>
          <w:szCs w:val="16"/>
          <w:color w:val="auto"/>
        </w:rPr>
      </w:pPr>
      <w:r>
        <w:rPr>
          <w:rFonts w:ascii="Arial" w:cs="Arial" w:eastAsia="Arial" w:hAnsi="Arial"/>
          <w:sz w:val="16"/>
          <w:szCs w:val="16"/>
          <w:color w:val="010101"/>
        </w:rPr>
        <w:t>in the case of any assignment resulting from a Lender becoming a Non-Consenting Lender, the applicable assignee shall have consented to the applicable amendment, waiver or consent.</w:t>
      </w:r>
    </w:p>
    <w:p>
      <w:pPr>
        <w:spacing w:after="0" w:line="149" w:lineRule="exact"/>
        <w:rPr>
          <w:sz w:val="20"/>
          <w:szCs w:val="20"/>
          <w:color w:val="auto"/>
        </w:rPr>
      </w:pPr>
    </w:p>
    <w:p>
      <w:pPr>
        <w:ind w:left="20" w:right="20"/>
        <w:spacing w:after="0" w:line="239" w:lineRule="auto"/>
        <w:rPr>
          <w:sz w:val="20"/>
          <w:szCs w:val="20"/>
          <w:color w:val="auto"/>
        </w:rPr>
      </w:pPr>
      <w:r>
        <w:rPr>
          <w:rFonts w:ascii="Arial" w:cs="Arial" w:eastAsia="Arial" w:hAnsi="Arial"/>
          <w:sz w:val="16"/>
          <w:szCs w:val="16"/>
          <w:color w:val="010101"/>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3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2.20.</w:t>
      </w:r>
      <w:r>
        <w:rPr>
          <w:sz w:val="20"/>
          <w:szCs w:val="20"/>
          <w:color w:val="auto"/>
        </w:rPr>
        <w:tab/>
      </w:r>
      <w:r>
        <w:rPr>
          <w:rFonts w:ascii="Arial" w:cs="Arial" w:eastAsia="Arial" w:hAnsi="Arial"/>
          <w:sz w:val="14"/>
          <w:szCs w:val="14"/>
          <w:u w:val="single" w:color="auto"/>
          <w:color w:val="010101"/>
        </w:rPr>
        <w:t>Changed Circumstances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ind w:left="1000" w:hanging="493"/>
        <w:spacing w:after="0"/>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010101"/>
        </w:rPr>
        <w:t>Circumstances Affecting Eurocurrency Rate and RFRs</w:t>
      </w:r>
      <w:r>
        <w:rPr>
          <w:rFonts w:ascii="Arial" w:cs="Arial" w:eastAsia="Arial" w:hAnsi="Arial"/>
          <w:sz w:val="16"/>
          <w:szCs w:val="16"/>
          <w:color w:val="010101"/>
        </w:rPr>
        <w:t>.</w:t>
      </w:r>
    </w:p>
    <w:p>
      <w:pPr>
        <w:spacing w:after="0" w:line="159" w:lineRule="exact"/>
        <w:rPr>
          <w:rFonts w:ascii="Arial" w:cs="Arial" w:eastAsia="Arial" w:hAnsi="Arial"/>
          <w:sz w:val="16"/>
          <w:szCs w:val="16"/>
          <w:color w:val="auto"/>
        </w:rPr>
      </w:pPr>
    </w:p>
    <w:p>
      <w:pPr>
        <w:jc w:val="both"/>
        <w:ind w:left="500" w:firstLine="492"/>
        <w:spacing w:after="0" w:line="217" w:lineRule="auto"/>
        <w:tabs>
          <w:tab w:leader="none" w:pos="1389" w:val="left"/>
        </w:tabs>
        <w:numPr>
          <w:ilvl w:val="1"/>
          <w:numId w:val="107"/>
        </w:numPr>
        <w:rPr>
          <w:rFonts w:ascii="Arial" w:cs="Arial" w:eastAsia="Arial" w:hAnsi="Arial"/>
          <w:sz w:val="15"/>
          <w:szCs w:val="15"/>
          <w:color w:val="auto"/>
        </w:rPr>
      </w:pPr>
      <w:r>
        <w:rPr>
          <w:rFonts w:ascii="Arial" w:cs="Arial" w:eastAsia="Arial" w:hAnsi="Arial"/>
          <w:sz w:val="16"/>
          <w:szCs w:val="16"/>
          <w:color w:val="010101"/>
        </w:rPr>
        <w:t>Subject to clause (c) below, in connection with any RFR Advance or Eurocurrency Rate Advance, a request therefor, a conversion to or a continuation thereof or otherwise, if for any reason (i) the Administrative Agent shall determine (which determination shall be conclusive and binding absent manifest error) that (x) if a Daily Simple RFR is utilized in any calculations hereunder or under any other Loan Document with respect to any Borrower Obligations, interest, fees, commissions or other amounts, reasonable and adequate means do not exist for ascertaining such Daily Simple RFR pursuant to the definition thereof or (y) if Term SOFR or a Eurocurrency Rate is utilized in any calculations hereunder or under any other Loan Document with respect to any Borrower Obligations, interest, fees, commissions or other amounts, reasonable and adequate means do not exist for ascertaining Term SOFR or such Eurocurrency Rate, as applicable for the applicable Currency and the applicable Interest Period with respect to a proposed Term SOFR Advance or Eurocurrency Rate Advance, as applicable, on or prior to the first day of such Interest Period, (ii) the Administrative Agent shall determine (which determination shall be conclusive and binding absent manifest error) that 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29" w:name="page130"/>
    <w:bookmarkEnd w:id="129"/>
    <w:p>
      <w:pPr>
        <w:ind w:left="500" w:right="80"/>
        <w:spacing w:after="0" w:line="243" w:lineRule="auto"/>
        <w:rPr>
          <w:sz w:val="20"/>
          <w:szCs w:val="20"/>
          <w:color w:val="auto"/>
        </w:rPr>
      </w:pPr>
      <w:r>
        <w:rPr>
          <w:rFonts w:ascii="Arial" w:cs="Arial" w:eastAsia="Arial" w:hAnsi="Arial"/>
          <w:sz w:val="14"/>
          <w:szCs w:val="14"/>
          <w:color w:val="010101"/>
        </w:rPr>
        <w:t>fundamental change has occurred in the foreign exchange or interbank markets with respect to an applicable Foreign Currency (including changes in national or international financial, political or economic conditions or currency exchange rates or exchange controls), (iii) with respect to any Eurocurrency Rate Advance,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Advance, or (iv) the Required Lenders shall determine (which determination shall be conclusive and binding absent manifest error) that (x) if a Daily Simple RFR is utilized in any calculations hereunder or under any other Loan Document with respect to any Borrower Obligations, interest, fees, commissions or other amounts, such Daily Simple RFR does not adequately and fairly reflect the cost to such Lenders of making or maintaining such Advances or</w:t>
      </w:r>
    </w:p>
    <w:p>
      <w:pPr>
        <w:spacing w:after="0" w:line="5" w:lineRule="exact"/>
        <w:rPr>
          <w:sz w:val="20"/>
          <w:szCs w:val="20"/>
          <w:color w:val="auto"/>
        </w:rPr>
      </w:pPr>
    </w:p>
    <w:p>
      <w:pPr>
        <w:ind w:left="500" w:firstLine="7"/>
        <w:spacing w:after="0" w:line="224" w:lineRule="auto"/>
        <w:tabs>
          <w:tab w:leader="none" w:pos="729" w:val="left"/>
        </w:tabs>
        <w:numPr>
          <w:ilvl w:val="0"/>
          <w:numId w:val="108"/>
        </w:numPr>
        <w:rPr>
          <w:rFonts w:ascii="Arial" w:cs="Arial" w:eastAsia="Arial" w:hAnsi="Arial"/>
          <w:sz w:val="15"/>
          <w:szCs w:val="15"/>
          <w:color w:val="010101"/>
        </w:rPr>
      </w:pPr>
      <w:r>
        <w:rPr>
          <w:rFonts w:ascii="Arial" w:cs="Arial" w:eastAsia="Arial" w:hAnsi="Arial"/>
          <w:sz w:val="15"/>
          <w:szCs w:val="15"/>
          <w:color w:val="010101"/>
        </w:rPr>
        <w:t xml:space="preserve">if Term SOFR or a Eurocurrency Rate is utilized in any calculations hereunder or under any other Loan Document with respect to any Borrower Obligations, interest, fees, commissions or other amounts, Term SOFR or such Eurocurrency Rate, as applicable, does not adequately and fairly reflect the cost to such Lenders of making or maintaining such Advances during the applicable Interest Period and, in the case of (x) or (y), the Required Lenders have provided notice of such determination to the Administrative Agent, then, in each case, the Administrative Agent shall promptly give notice thereof to the Company. </w:t>
      </w:r>
      <w:r>
        <w:rPr>
          <w:rFonts w:ascii="Arial" w:cs="Arial" w:eastAsia="Arial" w:hAnsi="Arial"/>
          <w:sz w:val="15"/>
          <w:szCs w:val="15"/>
          <w:color w:val="000000"/>
        </w:rPr>
        <w:t>Upon notice thereof by</w:t>
      </w:r>
      <w:r>
        <w:rPr>
          <w:rFonts w:ascii="Arial" w:cs="Arial" w:eastAsia="Arial" w:hAnsi="Arial"/>
          <w:sz w:val="15"/>
          <w:szCs w:val="15"/>
          <w:color w:val="010101"/>
        </w:rPr>
        <w:t xml:space="preserve"> </w:t>
      </w:r>
      <w:r>
        <w:rPr>
          <w:rFonts w:ascii="Arial" w:cs="Arial" w:eastAsia="Arial" w:hAnsi="Arial"/>
          <w:sz w:val="15"/>
          <w:szCs w:val="15"/>
          <w:color w:val="000000"/>
        </w:rPr>
        <w:t xml:space="preserve">the Administrative Agent to the Company, any obligation of the Lenders to make RFR Advances or Eurocurrency Rate Advances, as applicable, in each such Currency, and any right of any Borrower to convert any Advance in each such Currency (if applicable) or to continue any Advance as an RFR Advance or a Eurocurrency Rate Advance, as applicable, in each such Currency, shall be suspended </w:t>
      </w:r>
      <w:r>
        <w:rPr>
          <w:rFonts w:ascii="Arial" w:cs="Arial" w:eastAsia="Arial" w:hAnsi="Arial"/>
          <w:sz w:val="15"/>
          <w:szCs w:val="15"/>
          <w:color w:val="010101"/>
        </w:rPr>
        <w:t>(to the extent of the affected RFR Advances or Eurocurrency Rate Advances</w:t>
      </w:r>
      <w:r>
        <w:rPr>
          <w:rFonts w:ascii="Arial" w:cs="Arial" w:eastAsia="Arial" w:hAnsi="Arial"/>
          <w:sz w:val="15"/>
          <w:szCs w:val="15"/>
          <w:color w:val="000000"/>
        </w:rPr>
        <w:t xml:space="preserve"> </w:t>
      </w:r>
      <w:r>
        <w:rPr>
          <w:rFonts w:ascii="Arial" w:cs="Arial" w:eastAsia="Arial" w:hAnsi="Arial"/>
          <w:sz w:val="15"/>
          <w:szCs w:val="15"/>
          <w:color w:val="010101"/>
        </w:rPr>
        <w:t xml:space="preserve">or, in the case of Term SOFR Advances or Eurocurrency Rate Advances, the affected Interest Periods) </w:t>
      </w:r>
      <w:r>
        <w:rPr>
          <w:rFonts w:ascii="Arial" w:cs="Arial" w:eastAsia="Arial" w:hAnsi="Arial"/>
          <w:sz w:val="15"/>
          <w:szCs w:val="15"/>
          <w:color w:val="000000"/>
        </w:rPr>
        <w:t>until the Administrative Agent (with respect to clause (iv), at</w:t>
      </w:r>
      <w:r>
        <w:rPr>
          <w:rFonts w:ascii="Arial" w:cs="Arial" w:eastAsia="Arial" w:hAnsi="Arial"/>
          <w:sz w:val="15"/>
          <w:szCs w:val="15"/>
          <w:color w:val="010101"/>
        </w:rPr>
        <w:t xml:space="preserve"> </w:t>
      </w:r>
      <w:r>
        <w:rPr>
          <w:rFonts w:ascii="Arial" w:cs="Arial" w:eastAsia="Arial" w:hAnsi="Arial"/>
          <w:sz w:val="15"/>
          <w:szCs w:val="15"/>
          <w:color w:val="000000"/>
        </w:rPr>
        <w:t xml:space="preserve">the instruction of the Required Lenders) revokes such notice. Upon </w:t>
      </w:r>
      <w:r>
        <w:rPr>
          <w:rFonts w:ascii="Arial" w:cs="Arial" w:eastAsia="Arial" w:hAnsi="Arial"/>
          <w:sz w:val="15"/>
          <w:szCs w:val="15"/>
          <w:color w:val="010101"/>
        </w:rPr>
        <w:t>receipt of such notice, (A) any Borrower may revoke any pending request for a borrowing of,</w:t>
      </w:r>
      <w:r>
        <w:rPr>
          <w:rFonts w:ascii="Arial" w:cs="Arial" w:eastAsia="Arial" w:hAnsi="Arial"/>
          <w:sz w:val="15"/>
          <w:szCs w:val="15"/>
          <w:color w:val="000000"/>
        </w:rPr>
        <w:t xml:space="preserve"> </w:t>
      </w:r>
      <w:r>
        <w:rPr>
          <w:rFonts w:ascii="Arial" w:cs="Arial" w:eastAsia="Arial" w:hAnsi="Arial"/>
          <w:sz w:val="15"/>
          <w:szCs w:val="15"/>
          <w:color w:val="010101"/>
        </w:rPr>
        <w:t>conversion to or continuation of RFR Advances or Eurocurrency Rate Advances in each such affected Currency (to the extent of the affected RFR Advances or Eurocurrency Rate Advances or, in the case of Term SOFR Advances or Eurocurrency Rate Advances, the affected Interest Periods) or, failing that, (I) in the case of any request for a borrowing of an affected RFR Advance in US Dollars, such Borrower will be deemed to have converted any such request into a request for a borrowing of or conversion to Base Rate Advances in the amount specified therein and (II) in the case of any request for a borrowing of an affected RFR Advance or Eurocurrency Rate Advances in a Foreign Currency, then such request shall be ineffective and (B)(I) any outstanding affected RFR Advances denominated in US Dollars will be deemed to have been converted into Base Rate Advances immediately or, in the case of Term SOFR Advances, at the end of the applicable Interest Period and (II) any outstanding affected Advances denominated in a Foreign Currency, at the Company’s election, shall either (1) be converted into Base Rate Advances denominated in US Dollars (in an amount equal to the Dollar Equivalent of such Foreign Currency) immediately or, in the case of Eurocurrency Rate Advances, at the end of the applicable Interest Period or</w:t>
      </w:r>
    </w:p>
    <w:p>
      <w:pPr>
        <w:spacing w:after="0" w:line="12" w:lineRule="exact"/>
        <w:rPr>
          <w:rFonts w:ascii="Arial" w:cs="Arial" w:eastAsia="Arial" w:hAnsi="Arial"/>
          <w:sz w:val="15"/>
          <w:szCs w:val="15"/>
          <w:color w:val="010101"/>
        </w:rPr>
      </w:pPr>
    </w:p>
    <w:p>
      <w:pPr>
        <w:ind w:left="700" w:hanging="193"/>
        <w:spacing w:after="0"/>
        <w:tabs>
          <w:tab w:leader="none" w:pos="700" w:val="left"/>
        </w:tabs>
        <w:numPr>
          <w:ilvl w:val="0"/>
          <w:numId w:val="109"/>
        </w:numPr>
        <w:rPr>
          <w:rFonts w:ascii="Arial" w:cs="Arial" w:eastAsia="Arial" w:hAnsi="Arial"/>
          <w:sz w:val="16"/>
          <w:szCs w:val="16"/>
          <w:color w:val="010101"/>
        </w:rPr>
      </w:pPr>
      <w:r>
        <w:rPr>
          <w:rFonts w:ascii="Arial" w:cs="Arial" w:eastAsia="Arial" w:hAnsi="Arial"/>
          <w:sz w:val="16"/>
          <w:szCs w:val="16"/>
          <w:color w:val="010101"/>
        </w:rPr>
        <w:t>be prepaid in full immediately or, in the case of Eurocurrency Rate Advances, at the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120"/>
          </w:cols>
          <w:pgMar w:left="360" w:top="1265" w:right="419" w:bottom="1440" w:gutter="0" w:footer="0" w:header="0"/>
        </w:sectPr>
      </w:pPr>
    </w:p>
    <w:bookmarkStart w:id="130" w:name="page131"/>
    <w:bookmarkEnd w:id="130"/>
    <w:p>
      <w:pPr>
        <w:jc w:val="both"/>
        <w:ind w:left="500" w:right="20"/>
        <w:spacing w:after="0" w:line="222" w:lineRule="auto"/>
        <w:rPr>
          <w:sz w:val="20"/>
          <w:szCs w:val="20"/>
          <w:color w:val="auto"/>
        </w:rPr>
      </w:pPr>
      <w:r>
        <w:rPr>
          <w:rFonts w:ascii="Arial" w:cs="Arial" w:eastAsia="Arial" w:hAnsi="Arial"/>
          <w:sz w:val="16"/>
          <w:szCs w:val="16"/>
          <w:color w:val="010101"/>
        </w:rPr>
        <w:t xml:space="preserve">end of the applicable Interest Period;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if no election is made by the applicable Borrower by the date is the earlier of (x) three (3) Business Days after receipt by the Company of such notice or (y) with respect to a Eurocurrency Rate Advance, the last day of the current Interest Period the Borrower shall be deemed to have elected clause (1) above. </w:t>
      </w:r>
      <w:r>
        <w:rPr>
          <w:rFonts w:ascii="Arial" w:cs="Arial" w:eastAsia="Arial" w:hAnsi="Arial"/>
          <w:sz w:val="16"/>
          <w:szCs w:val="16"/>
          <w:color w:val="000000"/>
        </w:rPr>
        <w:t>Upon any such prepayment or conversion, the applicable Borrower shall also pay accrued interest (except with respect</w:t>
      </w:r>
      <w:r>
        <w:rPr>
          <w:rFonts w:ascii="Arial" w:cs="Arial" w:eastAsia="Arial" w:hAnsi="Arial"/>
          <w:sz w:val="16"/>
          <w:szCs w:val="16"/>
          <w:color w:val="010101"/>
        </w:rPr>
        <w:t xml:space="preserve"> </w:t>
      </w:r>
      <w:r>
        <w:rPr>
          <w:rFonts w:ascii="Arial" w:cs="Arial" w:eastAsia="Arial" w:hAnsi="Arial"/>
          <w:sz w:val="16"/>
          <w:szCs w:val="16"/>
          <w:color w:val="000000"/>
        </w:rPr>
        <w:t xml:space="preserve">to any prepayment or conversion of a Daily Simple RFR Advance) on the amount so prepaid or converted, together with </w:t>
      </w:r>
      <w:r>
        <w:rPr>
          <w:rFonts w:ascii="Arial" w:cs="Arial" w:eastAsia="Arial" w:hAnsi="Arial"/>
          <w:sz w:val="16"/>
          <w:szCs w:val="16"/>
          <w:color w:val="010101"/>
        </w:rPr>
        <w:t>any additional amounts required pursuant</w:t>
      </w:r>
      <w:r>
        <w:rPr>
          <w:rFonts w:ascii="Arial" w:cs="Arial" w:eastAsia="Arial" w:hAnsi="Arial"/>
          <w:sz w:val="16"/>
          <w:szCs w:val="16"/>
          <w:color w:val="000000"/>
        </w:rPr>
        <w:t xml:space="preserve"> </w:t>
      </w:r>
      <w:r>
        <w:rPr>
          <w:rFonts w:ascii="Arial" w:cs="Arial" w:eastAsia="Arial" w:hAnsi="Arial"/>
          <w:sz w:val="16"/>
          <w:szCs w:val="16"/>
          <w:color w:val="010101"/>
        </w:rPr>
        <w:t>to Section 9.04(c).</w:t>
      </w:r>
    </w:p>
    <w:p>
      <w:pPr>
        <w:spacing w:after="0" w:line="149" w:lineRule="exact"/>
        <w:rPr>
          <w:sz w:val="20"/>
          <w:szCs w:val="20"/>
          <w:color w:val="auto"/>
        </w:rPr>
      </w:pPr>
    </w:p>
    <w:p>
      <w:pPr>
        <w:ind w:left="20" w:right="80" w:firstLine="487"/>
        <w:spacing w:after="0" w:line="243" w:lineRule="auto"/>
        <w:tabs>
          <w:tab w:leader="none" w:pos="909"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010101"/>
        </w:rPr>
        <w:t>Laws Affecting Eurocurrency Rate or RFR Availability</w:t>
      </w:r>
      <w:r>
        <w:rPr>
          <w:rFonts w:ascii="Arial" w:cs="Arial" w:eastAsia="Arial" w:hAnsi="Arial"/>
          <w:sz w:val="14"/>
          <w:szCs w:val="14"/>
          <w:color w:val="010101"/>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Advance, Term SOFR Advance or Eurocurrency Rate Advance, or to determine or charge interest based upon any applicable RFR, Daily Simple RFR, Term SOFR, the Eurocurrency Rate or the Adjusted Eurocurrency Rate, such Lender shall promptly give notice thereof to the Administrative Agent and the Administrative Agent shall promptly give notice to the Company and the other Lenders (an “</w:t>
      </w:r>
      <w:r>
        <w:rPr>
          <w:rFonts w:ascii="Arial" w:cs="Arial" w:eastAsia="Arial" w:hAnsi="Arial"/>
          <w:sz w:val="14"/>
          <w:szCs w:val="14"/>
          <w:u w:val="single" w:color="auto"/>
          <w:color w:val="010101"/>
        </w:rPr>
        <w:t>Illegality Notice</w:t>
      </w:r>
      <w:r>
        <w:rPr>
          <w:rFonts w:ascii="Arial" w:cs="Arial" w:eastAsia="Arial" w:hAnsi="Arial"/>
          <w:sz w:val="14"/>
          <w:szCs w:val="14"/>
          <w:color w:val="010101"/>
        </w:rPr>
        <w:t>”).</w:t>
      </w:r>
    </w:p>
    <w:p>
      <w:pPr>
        <w:spacing w:after="0" w:line="5" w:lineRule="exact"/>
        <w:rPr>
          <w:sz w:val="20"/>
          <w:szCs w:val="20"/>
          <w:color w:val="auto"/>
        </w:rPr>
      </w:pPr>
    </w:p>
    <w:p>
      <w:pPr>
        <w:ind w:left="20"/>
        <w:spacing w:after="0" w:line="244" w:lineRule="auto"/>
        <w:rPr>
          <w:sz w:val="20"/>
          <w:szCs w:val="20"/>
          <w:color w:val="auto"/>
        </w:rPr>
      </w:pPr>
      <w:r>
        <w:rPr>
          <w:rFonts w:ascii="Arial" w:cs="Arial" w:eastAsia="Arial" w:hAnsi="Arial"/>
          <w:sz w:val="14"/>
          <w:szCs w:val="14"/>
          <w:color w:val="010101"/>
        </w:rPr>
        <w:t xml:space="preserve">Thereafter, until each affected Lender notifies the Administrative Agent and the Administrative Agent notifies the Company that the circumstances giving rise to such determination no longer exist, (i) any obligation of the Lenders to make RFR Advances or Eurocurrency Rate Advances, as applicable, in the affected Currency or Currencies, and any right of any Borrower to convert any Advance denominated in US Dollars to an RFR Advance or continue any Advance as an RFR Advance or a Eurocurrency Rate Advance, as applicable, in the affected Currency or Currencies shall be suspended and (ii) </w:t>
      </w:r>
      <w:r>
        <w:rPr>
          <w:rFonts w:ascii="Arial" w:cs="Arial" w:eastAsia="Arial" w:hAnsi="Arial"/>
          <w:sz w:val="14"/>
          <w:szCs w:val="14"/>
          <w:color w:val="000000"/>
        </w:rPr>
        <w:t>if necessary to avoid such illegality, the Administrative</w:t>
      </w:r>
      <w:r>
        <w:rPr>
          <w:rFonts w:ascii="Arial" w:cs="Arial" w:eastAsia="Arial" w:hAnsi="Arial"/>
          <w:sz w:val="14"/>
          <w:szCs w:val="14"/>
          <w:color w:val="010101"/>
        </w:rPr>
        <w:t xml:space="preserve"> </w:t>
      </w:r>
      <w:r>
        <w:rPr>
          <w:rFonts w:ascii="Arial" w:cs="Arial" w:eastAsia="Arial" w:hAnsi="Arial"/>
          <w:sz w:val="14"/>
          <w:szCs w:val="14"/>
          <w:color w:val="000000"/>
        </w:rPr>
        <w:t xml:space="preserve">Agent shall compute the Base Rate without reference to clause (c) of the definition of “Base Rate”. Upon receipt an Illegality Notice, the applicable Borrower shall, if necessary to avoid such illegality, upon demand from any Lender (with a copy to the Administrative Agent), prepay or, if applicable, (A) convert all RFR Advances denominated in US Dollars to Base Rate Advances or (B) convert all RFR Advances or Eurocurrency Rate Advances denominated in an affected Foreign Currency to Base Rate Advances denominated in US Dollars (in an amount equal to the Dollar Equivalent of such Foreign Currency) (in each case, if necessary to avoid such illegality, the Administrative Agent shall compute the Base Rate without reference to clause (c) of the definition of “Base Rate”), (I) </w:t>
      </w:r>
      <w:r>
        <w:rPr>
          <w:rFonts w:ascii="Arial" w:cs="Arial" w:eastAsia="Arial" w:hAnsi="Arial"/>
          <w:sz w:val="14"/>
          <w:szCs w:val="14"/>
          <w:color w:val="010101"/>
        </w:rPr>
        <w:t>with respect to Daily Simple RFR</w:t>
      </w:r>
      <w:r>
        <w:rPr>
          <w:rFonts w:ascii="Arial" w:cs="Arial" w:eastAsia="Arial" w:hAnsi="Arial"/>
          <w:sz w:val="14"/>
          <w:szCs w:val="14"/>
          <w:color w:val="000000"/>
        </w:rPr>
        <w:t xml:space="preserve"> </w:t>
      </w:r>
      <w:r>
        <w:rPr>
          <w:rFonts w:ascii="Arial" w:cs="Arial" w:eastAsia="Arial" w:hAnsi="Arial"/>
          <w:sz w:val="14"/>
          <w:szCs w:val="14"/>
          <w:color w:val="010101"/>
        </w:rPr>
        <w:t xml:space="preserve">Advances, </w:t>
      </w:r>
      <w:r>
        <w:rPr>
          <w:rFonts w:ascii="Arial" w:cs="Arial" w:eastAsia="Arial" w:hAnsi="Arial"/>
          <w:sz w:val="14"/>
          <w:szCs w:val="14"/>
          <w:color w:val="000000"/>
        </w:rPr>
        <w:t>on the Interest Payment Date therefor, if all affected Lenders may lawfully continue to maintain such</w:t>
      </w:r>
      <w:r>
        <w:rPr>
          <w:rFonts w:ascii="Arial" w:cs="Arial" w:eastAsia="Arial" w:hAnsi="Arial"/>
          <w:sz w:val="14"/>
          <w:szCs w:val="14"/>
          <w:color w:val="010101"/>
        </w:rPr>
        <w:t xml:space="preserve"> Daily Simple </w:t>
      </w:r>
      <w:r>
        <w:rPr>
          <w:rFonts w:ascii="Arial" w:cs="Arial" w:eastAsia="Arial" w:hAnsi="Arial"/>
          <w:sz w:val="14"/>
          <w:szCs w:val="14"/>
          <w:color w:val="000000"/>
        </w:rPr>
        <w:t>RFR Advances to such day, or immediately,</w:t>
      </w:r>
      <w:r>
        <w:rPr>
          <w:rFonts w:ascii="Arial" w:cs="Arial" w:eastAsia="Arial" w:hAnsi="Arial"/>
          <w:sz w:val="14"/>
          <w:szCs w:val="14"/>
          <w:color w:val="010101"/>
        </w:rPr>
        <w:t xml:space="preserve"> </w:t>
      </w:r>
      <w:r>
        <w:rPr>
          <w:rFonts w:ascii="Arial" w:cs="Arial" w:eastAsia="Arial" w:hAnsi="Arial"/>
          <w:sz w:val="14"/>
          <w:szCs w:val="14"/>
          <w:color w:val="000000"/>
        </w:rPr>
        <w:t xml:space="preserve">if any Lender may not lawfully continue to maintain such </w:t>
      </w:r>
      <w:r>
        <w:rPr>
          <w:rFonts w:ascii="Arial" w:cs="Arial" w:eastAsia="Arial" w:hAnsi="Arial"/>
          <w:sz w:val="14"/>
          <w:szCs w:val="14"/>
          <w:color w:val="010101"/>
        </w:rPr>
        <w:t>Daily Simple</w:t>
      </w:r>
      <w:r>
        <w:rPr>
          <w:rFonts w:ascii="Arial" w:cs="Arial" w:eastAsia="Arial" w:hAnsi="Arial"/>
          <w:sz w:val="14"/>
          <w:szCs w:val="14"/>
          <w:color w:val="000000"/>
        </w:rPr>
        <w:t xml:space="preserve"> RFR Advances to such day or (II) with respect to Eurocurrency Rate Advances or Term SOFR Advances</w:t>
      </w:r>
      <w:r>
        <w:rPr>
          <w:rFonts w:ascii="Arial" w:cs="Arial" w:eastAsia="Arial" w:hAnsi="Arial"/>
          <w:sz w:val="14"/>
          <w:szCs w:val="14"/>
          <w:color w:val="010101"/>
        </w:rPr>
        <w:t>,</w:t>
      </w:r>
      <w:r>
        <w:rPr>
          <w:rFonts w:ascii="Arial" w:cs="Arial" w:eastAsia="Arial" w:hAnsi="Arial"/>
          <w:sz w:val="14"/>
          <w:szCs w:val="14"/>
          <w:color w:val="000000"/>
        </w:rPr>
        <w:t xml:space="preserve"> on the last day of the Interest Period therefor, if all affected Lenders may lawfully continue to maintain such Eurocurrency Rate Advances or Term SOFR Advances, as applicable, to such day, or immediately, if any Lender may not lawfully continue to maintain such Eurocurrency Rate Advances or Term SOFR Advances, as applicable, to such day. Upon any such prepayment or conversion, the applicable Borrower shall also pay accrued interest (except with respect to any prepayment or conversion of a Daily Simple RFR Advance) on the amount so prepaid or converted, together with </w:t>
      </w:r>
      <w:r>
        <w:rPr>
          <w:rFonts w:ascii="Arial" w:cs="Arial" w:eastAsia="Arial" w:hAnsi="Arial"/>
          <w:sz w:val="14"/>
          <w:szCs w:val="14"/>
          <w:color w:val="010101"/>
        </w:rPr>
        <w:t>any additional amounts required pursuant to Section 9.04(c).</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69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131" w:name="page132"/>
    <w:bookmarkEnd w:id="131"/>
    <w:p>
      <w:pPr>
        <w:ind w:left="1000" w:hanging="493"/>
        <w:spacing w:after="0"/>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010101"/>
        </w:rPr>
        <w:t>Benchmark Replacement Setting</w:t>
      </w:r>
      <w:r>
        <w:rPr>
          <w:rFonts w:ascii="Arial" w:cs="Arial" w:eastAsia="Arial" w:hAnsi="Arial"/>
          <w:sz w:val="16"/>
          <w:szCs w:val="16"/>
          <w:color w:val="010101"/>
        </w:rPr>
        <w:t>.</w:t>
      </w:r>
    </w:p>
    <w:p>
      <w:pPr>
        <w:spacing w:after="0" w:line="169" w:lineRule="exact"/>
        <w:rPr>
          <w:rFonts w:ascii="Arial" w:cs="Arial" w:eastAsia="Arial" w:hAnsi="Arial"/>
          <w:sz w:val="16"/>
          <w:szCs w:val="16"/>
          <w:color w:val="auto"/>
        </w:rPr>
      </w:pPr>
    </w:p>
    <w:p>
      <w:pPr>
        <w:jc w:val="both"/>
        <w:ind w:left="500" w:right="20" w:firstLine="492"/>
        <w:spacing w:after="0" w:line="235" w:lineRule="auto"/>
        <w:tabs>
          <w:tab w:leader="none" w:pos="1389" w:val="left"/>
        </w:tabs>
        <w:numPr>
          <w:ilvl w:val="1"/>
          <w:numId w:val="111"/>
        </w:numPr>
        <w:rPr>
          <w:rFonts w:ascii="Arial" w:cs="Arial" w:eastAsia="Arial" w:hAnsi="Arial"/>
          <w:sz w:val="15"/>
          <w:szCs w:val="15"/>
          <w:color w:val="auto"/>
        </w:rPr>
      </w:pPr>
      <w:r>
        <w:rPr>
          <w:rFonts w:ascii="Arial" w:cs="Arial" w:eastAsia="Arial" w:hAnsi="Arial"/>
          <w:sz w:val="15"/>
          <w:szCs w:val="15"/>
          <w:u w:val="single" w:color="auto"/>
          <w:color w:val="010101"/>
        </w:rPr>
        <w:t>Benchmark Replacement</w:t>
      </w:r>
      <w:r>
        <w:rPr>
          <w:rFonts w:ascii="Arial" w:cs="Arial" w:eastAsia="Arial" w:hAnsi="Arial"/>
          <w:sz w:val="15"/>
          <w:szCs w:val="15"/>
          <w:color w:val="010101"/>
        </w:rPr>
        <w:t>. Notwithstanding anything to the contrary herein or in any other Loan Document, upon the occurrence of a Benchmark Transition Event with respect to any Benchmark, the Administrative Agent and the Company may amend this Agreement to replace such Benchmark with a Benchmark Replacement. Any such amendment with respect to a Benchmark Transition Event will become effective at 5:00 p.m. on the fifth (5th) Business Day after the Administrative Agent has posted such proposed amendment to all affected Lenders and the Company so long as the Administrative Agent has not received, by such time, written notice of objection to such amendment from Lenders comprising the Required Lenders. No replacement of a Benchmark with a Benchmark Replacement pursuant to this Section 2.20(c)(i) will occur prior to the applicable Benchmark Transition Start Date.</w:t>
      </w:r>
    </w:p>
    <w:p>
      <w:pPr>
        <w:spacing w:after="0" w:line="148" w:lineRule="exact"/>
        <w:rPr>
          <w:rFonts w:ascii="Arial" w:cs="Arial" w:eastAsia="Arial" w:hAnsi="Arial"/>
          <w:sz w:val="15"/>
          <w:szCs w:val="15"/>
          <w:color w:val="auto"/>
        </w:rPr>
      </w:pPr>
    </w:p>
    <w:p>
      <w:pPr>
        <w:jc w:val="both"/>
        <w:ind w:left="500" w:right="20" w:firstLine="492"/>
        <w:spacing w:after="0" w:line="225" w:lineRule="auto"/>
        <w:tabs>
          <w:tab w:leader="none" w:pos="1389"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010101"/>
        </w:rPr>
        <w:t>Benchmark Replacement Conforming Changes</w:t>
      </w:r>
      <w:r>
        <w:rPr>
          <w:rFonts w:ascii="Arial" w:cs="Arial" w:eastAsia="Arial" w:hAnsi="Arial"/>
          <w:sz w:val="16"/>
          <w:szCs w:val="16"/>
          <w:color w:val="010101"/>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38" w:lineRule="exact"/>
        <w:rPr>
          <w:rFonts w:ascii="Arial" w:cs="Arial" w:eastAsia="Arial" w:hAnsi="Arial"/>
          <w:sz w:val="16"/>
          <w:szCs w:val="16"/>
          <w:color w:val="auto"/>
        </w:rPr>
      </w:pPr>
    </w:p>
    <w:p>
      <w:pPr>
        <w:ind w:left="500" w:right="300" w:firstLine="492"/>
        <w:spacing w:after="0" w:line="251" w:lineRule="auto"/>
        <w:tabs>
          <w:tab w:leader="none" w:pos="1390" w:val="left"/>
        </w:tabs>
        <w:numPr>
          <w:ilvl w:val="1"/>
          <w:numId w:val="111"/>
        </w:numPr>
        <w:rPr>
          <w:rFonts w:ascii="Arial" w:cs="Arial" w:eastAsia="Arial" w:hAnsi="Arial"/>
          <w:sz w:val="14"/>
          <w:szCs w:val="14"/>
          <w:color w:val="auto"/>
        </w:rPr>
      </w:pPr>
      <w:r>
        <w:rPr>
          <w:rFonts w:ascii="Arial" w:cs="Arial" w:eastAsia="Arial" w:hAnsi="Arial"/>
          <w:sz w:val="14"/>
          <w:szCs w:val="14"/>
          <w:u w:val="single" w:color="auto"/>
          <w:color w:val="010101"/>
        </w:rPr>
        <w:t>Notices; Standards for Decisions and Determinations</w:t>
      </w:r>
      <w:r>
        <w:rPr>
          <w:rFonts w:ascii="Arial" w:cs="Arial" w:eastAsia="Arial" w:hAnsi="Arial"/>
          <w:sz w:val="14"/>
          <w:szCs w:val="14"/>
          <w:color w:val="010101"/>
        </w:rPr>
        <w:t>. The Administrative Agent will promptly notify the Company and the Lenders of (A) the implementation of any Benchmark Replacement and (B) the effectiveness of any Conforming Changes in connection with the use, administration, adoption or</w:t>
      </w:r>
    </w:p>
    <w:p>
      <w:pPr>
        <w:spacing w:after="0" w:line="1" w:lineRule="exact"/>
        <w:rPr>
          <w:sz w:val="20"/>
          <w:szCs w:val="20"/>
          <w:color w:val="auto"/>
        </w:rPr>
      </w:pPr>
    </w:p>
    <w:p>
      <w:pPr>
        <w:ind w:left="500" w:right="80"/>
        <w:spacing w:after="0" w:line="217" w:lineRule="auto"/>
        <w:rPr>
          <w:sz w:val="20"/>
          <w:szCs w:val="20"/>
          <w:color w:val="auto"/>
        </w:rPr>
      </w:pPr>
      <w:r>
        <w:rPr>
          <w:rFonts w:ascii="Arial" w:cs="Arial" w:eastAsia="Arial" w:hAnsi="Arial"/>
          <w:sz w:val="16"/>
          <w:szCs w:val="16"/>
          <w:color w:val="010101"/>
        </w:rPr>
        <w:t xml:space="preserve">implementation of a Benchmark Replacement. The Administrative Agent will promptly notify the Company of the removal or reinstatement of any tenor of a Benchmark pursuant to </w:t>
      </w:r>
      <w:r>
        <w:rPr>
          <w:rFonts w:ascii="Arial" w:cs="Arial" w:eastAsia="Arial" w:hAnsi="Arial"/>
          <w:sz w:val="16"/>
          <w:szCs w:val="16"/>
          <w:u w:val="single" w:color="auto"/>
          <w:color w:val="010101"/>
        </w:rPr>
        <w:t>Section 2.20(c)(iv)</w:t>
      </w:r>
      <w:r>
        <w:rPr>
          <w:rFonts w:ascii="Arial" w:cs="Arial" w:eastAsia="Arial" w:hAnsi="Arial"/>
          <w:sz w:val="16"/>
          <w:szCs w:val="16"/>
          <w:color w:val="010101"/>
        </w:rPr>
        <w:t xml:space="preserve">. Any determination, decision or election that may be made by the Administrative Agent or, if applicable, any Lender (or group of Lenders) pursuant to this </w:t>
      </w:r>
      <w:r>
        <w:rPr>
          <w:rFonts w:ascii="Arial" w:cs="Arial" w:eastAsia="Arial" w:hAnsi="Arial"/>
          <w:sz w:val="16"/>
          <w:szCs w:val="16"/>
          <w:u w:val="single" w:color="auto"/>
          <w:color w:val="010101"/>
        </w:rPr>
        <w:t>Section 2.20(c)</w:t>
      </w:r>
      <w:r>
        <w:rPr>
          <w:rFonts w:ascii="Arial" w:cs="Arial" w:eastAsia="Arial" w:hAnsi="Arial"/>
          <w:sz w:val="16"/>
          <w:szCs w:val="16"/>
          <w:color w:val="010101"/>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6"/>
          <w:szCs w:val="16"/>
          <w:u w:val="single" w:color="auto"/>
          <w:color w:val="010101"/>
        </w:rPr>
        <w:t>Section 2.20(c)</w:t>
      </w:r>
      <w:r>
        <w:rPr>
          <w:rFonts w:ascii="Arial" w:cs="Arial" w:eastAsia="Arial" w:hAnsi="Arial"/>
          <w:sz w:val="16"/>
          <w:szCs w:val="16"/>
          <w:color w:val="010101"/>
        </w:rPr>
        <w:t>.</w:t>
      </w:r>
    </w:p>
    <w:p>
      <w:pPr>
        <w:spacing w:after="0" w:line="150" w:lineRule="exact"/>
        <w:rPr>
          <w:sz w:val="20"/>
          <w:szCs w:val="20"/>
          <w:color w:val="auto"/>
        </w:rPr>
      </w:pPr>
    </w:p>
    <w:p>
      <w:pPr>
        <w:jc w:val="both"/>
        <w:ind w:left="500" w:firstLine="492"/>
        <w:spacing w:after="0" w:line="220" w:lineRule="auto"/>
        <w:tabs>
          <w:tab w:leader="none" w:pos="1389"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010101"/>
        </w:rPr>
        <w:t>Unavailability of Tenor of Benchmark</w:t>
      </w:r>
      <w:r>
        <w:rPr>
          <w:rFonts w:ascii="Arial" w:cs="Arial" w:eastAsia="Arial" w:hAnsi="Arial"/>
          <w:sz w:val="16"/>
          <w:szCs w:val="16"/>
          <w:color w:val="010101"/>
        </w:rPr>
        <w:t>. Notwithstanding anything to the contrary herein or in any other Loan Document, at any time (including in connection with the implementation of a Benchmark Replacement), (A) if any then-current Benchmark is a term rate (including the Term SOFR Reference Rate, EURIBOR, BBSY or CDOR)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132" w:name="page133"/>
    <w:bookmarkEnd w:id="132"/>
    <w:p>
      <w:pPr>
        <w:jc w:val="both"/>
        <w:ind w:left="500" w:right="20"/>
        <w:spacing w:after="0" w:line="222" w:lineRule="auto"/>
        <w:rPr>
          <w:sz w:val="20"/>
          <w:szCs w:val="20"/>
          <w:color w:val="auto"/>
        </w:rPr>
      </w:pPr>
      <w:r>
        <w:rPr>
          <w:rFonts w:ascii="Arial" w:cs="Arial" w:eastAsia="Arial" w:hAnsi="Arial"/>
          <w:sz w:val="16"/>
          <w:szCs w:val="16"/>
          <w:color w:val="010101"/>
        </w:rPr>
        <w:t>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49" w:lineRule="exact"/>
        <w:rPr>
          <w:sz w:val="20"/>
          <w:szCs w:val="20"/>
          <w:color w:val="auto"/>
        </w:rPr>
      </w:pPr>
    </w:p>
    <w:p>
      <w:pPr>
        <w:jc w:val="both"/>
        <w:ind w:left="500" w:firstLine="492"/>
        <w:spacing w:after="0" w:line="228" w:lineRule="auto"/>
        <w:tabs>
          <w:tab w:leader="none" w:pos="1389" w:val="left"/>
        </w:tabs>
        <w:numPr>
          <w:ilvl w:val="0"/>
          <w:numId w:val="113"/>
        </w:numPr>
        <w:rPr>
          <w:rFonts w:ascii="Arial" w:cs="Arial" w:eastAsia="Arial" w:hAnsi="Arial"/>
          <w:sz w:val="15"/>
          <w:szCs w:val="15"/>
          <w:color w:val="auto"/>
        </w:rPr>
      </w:pPr>
      <w:r>
        <w:rPr>
          <w:rFonts w:ascii="Arial" w:cs="Arial" w:eastAsia="Arial" w:hAnsi="Arial"/>
          <w:sz w:val="15"/>
          <w:szCs w:val="15"/>
          <w:u w:val="single" w:color="auto"/>
          <w:color w:val="010101"/>
        </w:rPr>
        <w:t>Benchmark Unavailability Period</w:t>
      </w:r>
      <w:r>
        <w:rPr>
          <w:rFonts w:ascii="Arial" w:cs="Arial" w:eastAsia="Arial" w:hAnsi="Arial"/>
          <w:sz w:val="15"/>
          <w:szCs w:val="15"/>
          <w:color w:val="010101"/>
        </w:rPr>
        <w:t xml:space="preserve">. Upon the Company’s receipt of notice of the commencement of a Benchmark Unavailability Period with respect to a given Benchmark, (A) any Borrower may revoke any pending request for a borrowing of, conversion to or continuation of RFR Advances or Eurocurrency Rate Advances, in each case, to be made, converted or continued during any Benchmark Unavailability Period denominated in the applicable Currency and, failing that, (I) in the case of any request for any affected Term SOFR Advances, if applicable, the applicable Borrower will be deemed to have converted any such request into a request for a borrowing of or conversion to Base Rate Advances in the amount specified therein and (II) in the case of any request for any affected RFR Advance or Eurocurrency Rate Advance, in each case, in a Foreign Currency, if applicable, then such request shall be ineffective and (B)(I) any outstanding affected Term SOFR Advances, if applicable, will be deemed to have been converted into Base Rate Advances at the end of the applicable Interest Period and (II) any outstanding affected RFR Advances or Eurocurrency Rate Advances, in each case, denominated in a Foreign Currency, at the applicable Borrower’s election, shall either (1) be converted into Base Rate Advances denominated in US Dollars (in an amount equal to the Dollar Equivalent of such Foreign Currency) immediately or, in the case of Eurocurrency Rate Advances, at the end of the applicable Interest Period or (2) be prepaid in full immediately or, in the case of Eurocurrency Rate Advances, at the end of the applicable Interest Period;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with respect to any Daily Simple RFR Advance, if no election is made by the applicable Borrower by the date that is three (3) Business Days after receipt by the applicable Borrower of such notice, the applicable Borrower shall be deemed to have elected clause (1) above; </w:t>
      </w:r>
      <w:r>
        <w:rPr>
          <w:rFonts w:ascii="Arial" w:cs="Arial" w:eastAsia="Arial" w:hAnsi="Arial"/>
          <w:sz w:val="15"/>
          <w:szCs w:val="15"/>
          <w:u w:val="single" w:color="auto"/>
          <w:color w:val="010101"/>
        </w:rPr>
        <w:t>provided, further</w:t>
      </w:r>
      <w:r>
        <w:rPr>
          <w:rFonts w:ascii="Arial" w:cs="Arial" w:eastAsia="Arial" w:hAnsi="Arial"/>
          <w:sz w:val="15"/>
          <w:szCs w:val="15"/>
          <w:color w:val="010101"/>
        </w:rPr>
        <w:t xml:space="preserve"> that, with respect to any Eurocurrency Rate Advance, if no election is made by the applicable Borrower by the earlier of (x) the date that is three (3) Business Days after receipt by the Company or the applicable Borrower of such notice and (y) the last day of the current Interest Period for the applicable Eurocurrency Rate Advance, the applicable Borrower shall be deemed to have elected clause (1) above. Upon any such prepayment or conversion, the applicable Borrower shall also pay accrued interest </w:t>
      </w:r>
      <w:r>
        <w:rPr>
          <w:rFonts w:ascii="Arial" w:cs="Arial" w:eastAsia="Arial" w:hAnsi="Arial"/>
          <w:sz w:val="15"/>
          <w:szCs w:val="15"/>
          <w:color w:val="000000"/>
        </w:rPr>
        <w:t>(except with respect to any prepayment or conversion of</w:t>
      </w:r>
      <w:r>
        <w:rPr>
          <w:rFonts w:ascii="Arial" w:cs="Arial" w:eastAsia="Arial" w:hAnsi="Arial"/>
          <w:sz w:val="15"/>
          <w:szCs w:val="15"/>
          <w:color w:val="010101"/>
        </w:rPr>
        <w:t xml:space="preserve"> </w:t>
      </w:r>
      <w:r>
        <w:rPr>
          <w:rFonts w:ascii="Arial" w:cs="Arial" w:eastAsia="Arial" w:hAnsi="Arial"/>
          <w:sz w:val="15"/>
          <w:szCs w:val="15"/>
          <w:color w:val="000000"/>
        </w:rPr>
        <w:t xml:space="preserve">a Daily Simple RFR Advance) </w:t>
      </w:r>
      <w:r>
        <w:rPr>
          <w:rFonts w:ascii="Arial" w:cs="Arial" w:eastAsia="Arial" w:hAnsi="Arial"/>
          <w:sz w:val="15"/>
          <w:szCs w:val="15"/>
          <w:color w:val="010101"/>
        </w:rPr>
        <w:t>on the amount so prepaid or converted, together with any additional amounts required under this Agreement. During a Benchmark</w:t>
      </w:r>
      <w:r>
        <w:rPr>
          <w:rFonts w:ascii="Arial" w:cs="Arial" w:eastAsia="Arial" w:hAnsi="Arial"/>
          <w:sz w:val="15"/>
          <w:szCs w:val="15"/>
          <w:color w:val="000000"/>
        </w:rPr>
        <w:t xml:space="preserve"> </w:t>
      </w:r>
      <w:r>
        <w:rPr>
          <w:rFonts w:ascii="Arial" w:cs="Arial" w:eastAsia="Arial" w:hAnsi="Arial"/>
          <w:sz w:val="15"/>
          <w:szCs w:val="15"/>
          <w:color w:val="010101"/>
        </w:rPr>
        <w:t>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33" w:name="page134"/>
    <w:bookmarkEnd w:id="133"/>
    <w:p>
      <w:pPr>
        <w:jc w:val="both"/>
        <w:ind w:left="20" w:firstLine="487"/>
        <w:spacing w:after="0" w:line="230" w:lineRule="auto"/>
        <w:tabs>
          <w:tab w:leader="none" w:pos="909"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010101"/>
        </w:rPr>
        <w:t>Illegality</w:t>
      </w:r>
      <w:r>
        <w:rPr>
          <w:rFonts w:ascii="Arial" w:cs="Arial" w:eastAsia="Arial" w:hAnsi="Arial"/>
          <w:sz w:val="15"/>
          <w:szCs w:val="15"/>
          <w:color w:val="010101"/>
        </w:rPr>
        <w:t>. If, in any applicable jurisdiction, the Administrative Agent, any Issuing Lender or any Lender determines that any Applicable Law has made it unlawful, or that any Governmental Authority has asserted that it is unlawful, for the Administrative Agent, any Issuing Lender or any Lender to (i) perform any of its obligations hereunder or under any other Loan Document, (ii) to fund or maintain its participation in any Extension of Credit or (iii) issue, make, maintain, fund or charge interest or fees with respect to any Extension of Credit to any Foreign Borrower such Person shall promptly notify the Administrative Agent, then, upon the Administrative Agent notifying the Company,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Company shall, (A) repay that Person’s participation in the Extensions of Credit or other applicable Borrower Obligations on the applicable Interest Payment Date for any Daily Simple RFR Advance or on last day of the Interest Period for any Eurocurrency Rate Advance or Term SOFR Advance, or on another applicable date with respect to any other Borrower Obligation, occurring after the Administrative Agent has notified the Company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52" w:lineRule="exact"/>
        <w:rPr>
          <w:rFonts w:ascii="Arial" w:cs="Arial" w:eastAsia="Arial" w:hAnsi="Arial"/>
          <w:sz w:val="15"/>
          <w:szCs w:val="15"/>
          <w:color w:val="auto"/>
        </w:rPr>
      </w:pPr>
    </w:p>
    <w:p>
      <w:pPr>
        <w:jc w:val="both"/>
        <w:ind w:left="20" w:right="20" w:firstLine="487"/>
        <w:spacing w:after="0" w:line="246" w:lineRule="auto"/>
        <w:tabs>
          <w:tab w:leader="none" w:pos="910" w:val="left"/>
        </w:tabs>
        <w:numPr>
          <w:ilvl w:val="1"/>
          <w:numId w:val="114"/>
        </w:numPr>
        <w:rPr>
          <w:rFonts w:ascii="Arial" w:cs="Arial" w:eastAsia="Arial" w:hAnsi="Arial"/>
          <w:sz w:val="14"/>
          <w:szCs w:val="14"/>
          <w:color w:val="auto"/>
        </w:rPr>
      </w:pPr>
      <w:r>
        <w:rPr>
          <w:rFonts w:ascii="Arial" w:cs="Arial" w:eastAsia="Arial" w:hAnsi="Arial"/>
          <w:sz w:val="14"/>
          <w:szCs w:val="14"/>
          <w:u w:val="single" w:color="auto"/>
          <w:color w:val="010101"/>
        </w:rPr>
        <w:t>Foreign Currencies</w:t>
      </w:r>
      <w:r>
        <w:rPr>
          <w:rFonts w:ascii="Arial" w:cs="Arial" w:eastAsia="Arial" w:hAnsi="Arial"/>
          <w:sz w:val="14"/>
          <w:szCs w:val="14"/>
          <w:color w:val="010101"/>
        </w:rPr>
        <w:t>. If, after the designation by the Lenders of any currency as a Foreign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US Dollars, (ii) a Dollar Equivalent no longer being readily calculable with respect to such currency or (iii) such currency being impracticable for the Lenders to loan (each of clauses (i),</w:t>
      </w:r>
    </w:p>
    <w:p>
      <w:pPr>
        <w:jc w:val="both"/>
        <w:ind w:left="20" w:right="20" w:firstLine="2"/>
        <w:spacing w:after="0" w:line="220" w:lineRule="auto"/>
        <w:tabs>
          <w:tab w:leader="none" w:pos="259" w:val="left"/>
        </w:tabs>
        <w:numPr>
          <w:ilvl w:val="0"/>
          <w:numId w:val="115"/>
        </w:numPr>
        <w:rPr>
          <w:rFonts w:ascii="Arial" w:cs="Arial" w:eastAsia="Arial" w:hAnsi="Arial"/>
          <w:sz w:val="16"/>
          <w:szCs w:val="16"/>
          <w:color w:val="010101"/>
        </w:rPr>
      </w:pPr>
      <w:r>
        <w:rPr>
          <w:rFonts w:ascii="Arial" w:cs="Arial" w:eastAsia="Arial" w:hAnsi="Arial"/>
          <w:sz w:val="16"/>
          <w:szCs w:val="16"/>
          <w:color w:val="010101"/>
        </w:rPr>
        <w:t>and (iii), a “</w:t>
      </w:r>
      <w:r>
        <w:rPr>
          <w:rFonts w:ascii="Arial" w:cs="Arial" w:eastAsia="Arial" w:hAnsi="Arial"/>
          <w:sz w:val="16"/>
          <w:szCs w:val="16"/>
          <w:u w:val="single" w:color="auto"/>
          <w:color w:val="010101"/>
        </w:rPr>
        <w:t>Disqualifying Event</w:t>
      </w:r>
      <w:r>
        <w:rPr>
          <w:rFonts w:ascii="Arial" w:cs="Arial" w:eastAsia="Arial" w:hAnsi="Arial"/>
          <w:sz w:val="16"/>
          <w:szCs w:val="16"/>
          <w:color w:val="010101"/>
        </w:rPr>
        <w:t>”), then the Administrative Agent shall promptly notify the Lenders and the Company, and such currency shall no longer be a Foreign Currency until such time as the Disqualifying Event(s) no longer exist. Within five (5) Business Days after receipt of such notice from the Administrative Agent, the applicable Borrowers shall repay all Advances denominated in such currency to which the Disqualifying Event(s) apply or convert such Advances into the Dollar Equivalent in US Dollars, bearing interest at the Base Rate, subject to the other terms contained herein.</w:t>
      </w:r>
    </w:p>
    <w:p>
      <w:pPr>
        <w:spacing w:after="0" w:line="15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2.21.</w:t>
      </w:r>
      <w:r>
        <w:rPr>
          <w:sz w:val="20"/>
          <w:szCs w:val="20"/>
          <w:color w:val="auto"/>
        </w:rPr>
        <w:tab/>
      </w:r>
      <w:r>
        <w:rPr>
          <w:rFonts w:ascii="Arial" w:cs="Arial" w:eastAsia="Arial" w:hAnsi="Arial"/>
          <w:sz w:val="14"/>
          <w:szCs w:val="14"/>
          <w:u w:val="single" w:color="auto"/>
          <w:color w:val="010101"/>
        </w:rPr>
        <w:t>Cash Collateral</w:t>
      </w:r>
    </w:p>
    <w:p>
      <w:pPr>
        <w:spacing w:after="0" w:line="160" w:lineRule="exact"/>
        <w:rPr>
          <w:sz w:val="20"/>
          <w:szCs w:val="20"/>
          <w:color w:val="auto"/>
        </w:rPr>
      </w:pPr>
    </w:p>
    <w:p>
      <w:pPr>
        <w:jc w:val="both"/>
        <w:ind w:left="20" w:firstLine="972"/>
        <w:spacing w:after="0" w:line="225" w:lineRule="auto"/>
        <w:tabs>
          <w:tab w:leader="none" w:pos="1090" w:val="left"/>
        </w:tabs>
        <w:numPr>
          <w:ilvl w:val="1"/>
          <w:numId w:val="116"/>
        </w:numPr>
        <w:rPr>
          <w:rFonts w:ascii="Arial" w:cs="Arial" w:eastAsia="Arial" w:hAnsi="Arial"/>
          <w:sz w:val="16"/>
          <w:szCs w:val="16"/>
          <w:color w:val="010101"/>
        </w:rPr>
      </w:pPr>
      <w:r>
        <w:rPr>
          <w:rFonts w:ascii="Arial" w:cs="Arial" w:eastAsia="Arial" w:hAnsi="Arial"/>
          <w:sz w:val="16"/>
          <w:szCs w:val="16"/>
          <w:color w:val="010101"/>
        </w:rPr>
        <w:t>At any time that there shall exist a Defaulting Lender, within one Business Day following the written request of the Administrative Agent or the applicable Issuing Lender (with a copy to the Administrative Agent), the Company shall Cash Collateralize the Fronting Exposure of such Issuing Lender with respect to such Defaulting Lender (determined after giving effect to any Cash Collateral provided by such Defaulting Lender) in an amount not less than the Minimum Collateral Amount.</w:t>
      </w:r>
    </w:p>
    <w:p>
      <w:pPr>
        <w:spacing w:after="0" w:line="148" w:lineRule="exact"/>
        <w:rPr>
          <w:rFonts w:ascii="Arial" w:cs="Arial" w:eastAsia="Arial" w:hAnsi="Arial"/>
          <w:sz w:val="16"/>
          <w:szCs w:val="16"/>
          <w:color w:val="010101"/>
        </w:rPr>
      </w:pPr>
    </w:p>
    <w:p>
      <w:pPr>
        <w:ind w:left="20" w:right="20" w:firstLine="487"/>
        <w:spacing w:after="0" w:line="239" w:lineRule="auto"/>
        <w:tabs>
          <w:tab w:leader="none" w:pos="91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010101"/>
        </w:rPr>
        <w:t>Grant of Security Interest</w:t>
      </w:r>
      <w:r>
        <w:rPr>
          <w:rFonts w:ascii="Arial" w:cs="Arial" w:eastAsia="Arial" w:hAnsi="Arial"/>
          <w:sz w:val="16"/>
          <w:szCs w:val="16"/>
          <w:color w:val="010101"/>
        </w:rPr>
        <w:t>. The Company, and to the extent provided by any Defaulting Lender, such Defaulting Lender, hereby grants to the Administrative Agent, for the benefit of each Issuing Lender, and agrees to maintain, a first priority security interest in all such</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34" w:name="page135"/>
    <w:bookmarkEnd w:id="134"/>
    <w:p>
      <w:pPr>
        <w:jc w:val="both"/>
        <w:ind w:left="20"/>
        <w:spacing w:after="0" w:line="222" w:lineRule="auto"/>
        <w:rPr>
          <w:sz w:val="20"/>
          <w:szCs w:val="20"/>
          <w:color w:val="auto"/>
        </w:rPr>
      </w:pPr>
      <w:r>
        <w:rPr>
          <w:rFonts w:ascii="Arial" w:cs="Arial" w:eastAsia="Arial" w:hAnsi="Arial"/>
          <w:sz w:val="16"/>
          <w:szCs w:val="16"/>
          <w:color w:val="010101"/>
        </w:rPr>
        <w:t>Cash Collateral as security for the Defaulting Lender’s obligation to fund participations in respect of L/C Obligations, to be applied pursuant to subsection (b) below. If at any time the Administrative Agent determines that Cash Collateral is subject to any right or claim of any Person other than the Administrative Agent or each Issuing Lender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49" w:lineRule="exact"/>
        <w:rPr>
          <w:sz w:val="20"/>
          <w:szCs w:val="20"/>
          <w:color w:val="auto"/>
        </w:rPr>
      </w:pPr>
    </w:p>
    <w:p>
      <w:pPr>
        <w:jc w:val="both"/>
        <w:ind w:left="20" w:right="20" w:firstLine="487"/>
        <w:spacing w:after="0" w:line="225" w:lineRule="auto"/>
        <w:tabs>
          <w:tab w:leader="none" w:pos="909"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010101"/>
        </w:rPr>
        <w:t>Application</w:t>
      </w:r>
      <w:r>
        <w:rPr>
          <w:rFonts w:ascii="Arial" w:cs="Arial" w:eastAsia="Arial" w:hAnsi="Arial"/>
          <w:sz w:val="16"/>
          <w:szCs w:val="16"/>
          <w:color w:val="010101"/>
        </w:rPr>
        <w:t xml:space="preserve">. Notwithstanding anything to the contrary contained in this Agreement or any other Loan Document, Cash Collateral provided under this </w:t>
      </w:r>
      <w:r>
        <w:rPr>
          <w:rFonts w:ascii="Arial" w:cs="Arial" w:eastAsia="Arial" w:hAnsi="Arial"/>
          <w:sz w:val="16"/>
          <w:szCs w:val="16"/>
          <w:u w:val="single" w:color="auto"/>
          <w:color w:val="010101"/>
        </w:rPr>
        <w:t>Section 2.21</w:t>
      </w:r>
      <w:r>
        <w:rPr>
          <w:rFonts w:ascii="Arial" w:cs="Arial" w:eastAsia="Arial" w:hAnsi="Arial"/>
          <w:sz w:val="16"/>
          <w:szCs w:val="16"/>
          <w:color w:val="010101"/>
        </w:rPr>
        <w:t xml:space="preserve"> or </w:t>
      </w:r>
      <w:r>
        <w:rPr>
          <w:rFonts w:ascii="Arial" w:cs="Arial" w:eastAsia="Arial" w:hAnsi="Arial"/>
          <w:sz w:val="16"/>
          <w:szCs w:val="16"/>
          <w:u w:val="single" w:color="auto"/>
          <w:color w:val="010101"/>
        </w:rPr>
        <w:t>Section 2.18</w:t>
      </w:r>
      <w:r>
        <w:rPr>
          <w:rFonts w:ascii="Arial" w:cs="Arial" w:eastAsia="Arial" w:hAnsi="Arial"/>
          <w:sz w:val="16"/>
          <w:szCs w:val="16"/>
          <w:color w:val="010101"/>
        </w:rPr>
        <w:t xml:space="preserve">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48" w:lineRule="exact"/>
        <w:rPr>
          <w:rFonts w:ascii="Arial" w:cs="Arial" w:eastAsia="Arial" w:hAnsi="Arial"/>
          <w:sz w:val="16"/>
          <w:szCs w:val="16"/>
          <w:color w:val="auto"/>
        </w:rPr>
      </w:pPr>
    </w:p>
    <w:p>
      <w:pPr>
        <w:jc w:val="both"/>
        <w:ind w:left="20" w:right="20" w:firstLine="487"/>
        <w:spacing w:after="0" w:line="222" w:lineRule="auto"/>
        <w:tabs>
          <w:tab w:leader="none" w:pos="910" w:val="left"/>
        </w:tabs>
        <w:numPr>
          <w:ilvl w:val="0"/>
          <w:numId w:val="117"/>
        </w:numPr>
        <w:rPr>
          <w:rFonts w:ascii="Arial" w:cs="Arial" w:eastAsia="Arial" w:hAnsi="Arial"/>
          <w:sz w:val="16"/>
          <w:szCs w:val="16"/>
          <w:b w:val="1"/>
          <w:bCs w:val="1"/>
          <w:color w:val="auto"/>
        </w:rPr>
      </w:pPr>
      <w:r>
        <w:rPr>
          <w:rFonts w:ascii="Arial" w:cs="Arial" w:eastAsia="Arial" w:hAnsi="Arial"/>
          <w:sz w:val="16"/>
          <w:szCs w:val="16"/>
          <w:u w:val="single" w:color="auto"/>
          <w:color w:val="010101"/>
        </w:rPr>
        <w:t>Termination of Requirement</w:t>
      </w:r>
      <w:r>
        <w:rPr>
          <w:rFonts w:ascii="Arial" w:cs="Arial" w:eastAsia="Arial" w:hAnsi="Arial"/>
          <w:sz w:val="16"/>
          <w:szCs w:val="16"/>
          <w:color w:val="010101"/>
        </w:rPr>
        <w:t xml:space="preserve">. Cash Collateral (or the appropriate portion thereof) provided to reduce the Fronting Exposure of any Issuing Lender shall no longer be required to be held as Cash Collateral pursuant to this </w:t>
      </w:r>
      <w:r>
        <w:rPr>
          <w:rFonts w:ascii="Arial" w:cs="Arial" w:eastAsia="Arial" w:hAnsi="Arial"/>
          <w:sz w:val="16"/>
          <w:szCs w:val="16"/>
          <w:u w:val="single" w:color="auto"/>
          <w:color w:val="010101"/>
        </w:rPr>
        <w:t>Section 2.21</w:t>
      </w:r>
      <w:r>
        <w:rPr>
          <w:rFonts w:ascii="Arial" w:cs="Arial" w:eastAsia="Arial" w:hAnsi="Arial"/>
          <w:sz w:val="16"/>
          <w:szCs w:val="16"/>
          <w:color w:val="010101"/>
        </w:rPr>
        <w:t xml:space="preserve"> following (i) the elimination of the applicable Fronting Exposure (including by the termination of Defaulting Lender status of the applicable Lender), or (ii) the determination by the Administrative Agent and the applicable Issuing Lender that there exists excess Cash Collateral;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subject to </w:t>
      </w:r>
      <w:r>
        <w:rPr>
          <w:rFonts w:ascii="Arial" w:cs="Arial" w:eastAsia="Arial" w:hAnsi="Arial"/>
          <w:sz w:val="16"/>
          <w:szCs w:val="16"/>
          <w:u w:val="single" w:color="auto"/>
          <w:color w:val="010101"/>
        </w:rPr>
        <w:t>Section 2.18</w:t>
      </w:r>
      <w:r>
        <w:rPr>
          <w:rFonts w:ascii="Arial" w:cs="Arial" w:eastAsia="Arial" w:hAnsi="Arial"/>
          <w:sz w:val="16"/>
          <w:szCs w:val="16"/>
          <w:color w:val="010101"/>
        </w:rPr>
        <w:t>, the Person providing Cash Collateral and the Issuing Lenders may agree that Cash Collateral shall be held to support future anticipated Fronting Exposure or other obligations</w:t>
      </w:r>
      <w:r>
        <w:rPr>
          <w:rFonts w:ascii="Arial" w:cs="Arial" w:eastAsia="Arial" w:hAnsi="Arial"/>
          <w:sz w:val="16"/>
          <w:szCs w:val="16"/>
          <w:b w:val="1"/>
          <w:bCs w:val="1"/>
          <w:color w:val="010101"/>
        </w:rPr>
        <w: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III</w:t>
      </w:r>
    </w:p>
    <w:p>
      <w:pPr>
        <w:spacing w:after="0" w:line="160" w:lineRule="exact"/>
        <w:rPr>
          <w:sz w:val="20"/>
          <w:szCs w:val="20"/>
          <w:color w:val="auto"/>
        </w:rPr>
      </w:pPr>
    </w:p>
    <w:p>
      <w:pPr>
        <w:ind w:left="500" w:right="3620" w:firstLine="3244"/>
        <w:spacing w:after="0" w:line="458" w:lineRule="auto"/>
        <w:rPr>
          <w:sz w:val="20"/>
          <w:szCs w:val="20"/>
          <w:color w:val="auto"/>
        </w:rPr>
      </w:pPr>
      <w:r>
        <w:rPr>
          <w:rFonts w:ascii="Arial" w:cs="Arial" w:eastAsia="Arial" w:hAnsi="Arial"/>
          <w:sz w:val="16"/>
          <w:szCs w:val="16"/>
          <w:color w:val="010101"/>
        </w:rPr>
        <w:t xml:space="preserve">CONDITIONS TO EFFECTIVENESS AND LENDING </w:t>
      </w:r>
      <w:r>
        <w:rPr>
          <w:rFonts w:ascii="Arial" w:cs="Arial" w:eastAsia="Arial" w:hAnsi="Arial"/>
          <w:sz w:val="16"/>
          <w:szCs w:val="16"/>
          <w:color w:val="000000"/>
        </w:rPr>
        <w:t xml:space="preserve">SECTION 3.01. </w:t>
      </w:r>
      <w:r>
        <w:rPr>
          <w:rFonts w:ascii="Arial" w:cs="Arial" w:eastAsia="Arial" w:hAnsi="Arial"/>
          <w:sz w:val="16"/>
          <w:szCs w:val="16"/>
          <w:u w:val="single" w:color="auto"/>
          <w:color w:val="010101"/>
        </w:rPr>
        <w:t>Conditions Precedent to Effectiveness</w:t>
      </w:r>
    </w:p>
    <w:p>
      <w:pPr>
        <w:spacing w:after="0" w:line="1" w:lineRule="exact"/>
        <w:rPr>
          <w:sz w:val="20"/>
          <w:szCs w:val="20"/>
          <w:color w:val="auto"/>
        </w:rPr>
      </w:pPr>
    </w:p>
    <w:p>
      <w:pPr>
        <w:ind w:left="700" w:hanging="193"/>
        <w:spacing w:after="0"/>
        <w:tabs>
          <w:tab w:leader="none" w:pos="700" w:val="left"/>
        </w:tabs>
        <w:numPr>
          <w:ilvl w:val="0"/>
          <w:numId w:val="118"/>
        </w:numPr>
        <w:rPr>
          <w:rFonts w:ascii="Arial" w:cs="Arial" w:eastAsia="Arial" w:hAnsi="Arial"/>
          <w:sz w:val="15"/>
          <w:szCs w:val="15"/>
          <w:color w:val="010101"/>
        </w:rPr>
      </w:pPr>
      <w:r>
        <w:rPr>
          <w:rFonts w:ascii="Arial" w:cs="Arial" w:eastAsia="Arial" w:hAnsi="Arial"/>
          <w:sz w:val="15"/>
          <w:szCs w:val="15"/>
          <w:color w:val="010101"/>
        </w:rPr>
        <w:t xml:space="preserve">This Agreement shall become effective on </w:t>
      </w:r>
      <w:r>
        <w:rPr>
          <w:rFonts w:ascii="Arial" w:cs="Arial" w:eastAsia="Arial" w:hAnsi="Arial"/>
          <w:sz w:val="15"/>
          <w:szCs w:val="15"/>
          <w:color w:val="FF0000"/>
          <w:strike w:val="1"/>
        </w:rPr>
        <w:t>and as of the first date on which the following conditions precedent have been satisfied (the “</w:t>
      </w:r>
      <w:r>
        <w:rPr>
          <w:rFonts w:ascii="Arial" w:cs="Arial" w:eastAsia="Arial" w:hAnsi="Arial"/>
          <w:sz w:val="15"/>
          <w:szCs w:val="15"/>
          <w:b w:val="1"/>
          <w:bCs w:val="1"/>
          <w:u w:val="single" w:color="auto"/>
          <w:color w:val="0000FF"/>
        </w:rPr>
        <w:t>the</w:t>
      </w:r>
      <w:r>
        <w:rPr>
          <w:rFonts w:ascii="Arial" w:cs="Arial" w:eastAsia="Arial" w:hAnsi="Arial"/>
          <w:sz w:val="15"/>
          <w:szCs w:val="15"/>
          <w:color w:val="010101"/>
        </w:rPr>
        <w:t xml:space="preserve"> Effective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010101"/>
        </w:rPr>
        <w:t>Date</w:t>
      </w:r>
      <w:r>
        <w:rPr>
          <w:rFonts w:ascii="Arial" w:cs="Arial" w:eastAsia="Arial" w:hAnsi="Arial"/>
          <w:sz w:val="16"/>
          <w:szCs w:val="16"/>
          <w:color w:val="FF0000"/>
          <w:strike w:val="1"/>
        </w:rPr>
        <w:t>”)</w:t>
      </w:r>
      <w:r>
        <w:rPr>
          <w:rFonts w:ascii="Arial" w:cs="Arial" w:eastAsia="Arial" w:hAnsi="Arial"/>
          <w:sz w:val="16"/>
          <w:szCs w:val="16"/>
          <w:color w:val="010101"/>
        </w:rPr>
        <w:t>:</w:t>
      </w:r>
    </w:p>
    <w:p>
      <w:pPr>
        <w:spacing w:after="0" w:line="146" w:lineRule="exact"/>
        <w:rPr>
          <w:sz w:val="20"/>
          <w:szCs w:val="20"/>
          <w:color w:val="auto"/>
        </w:rPr>
      </w:pPr>
    </w:p>
    <w:p>
      <w:pPr>
        <w:jc w:val="both"/>
        <w:ind w:left="20" w:right="20" w:firstLine="487"/>
        <w:spacing w:after="0" w:line="230" w:lineRule="auto"/>
        <w:tabs>
          <w:tab w:leader="none" w:pos="910" w:val="left"/>
        </w:tabs>
        <w:numPr>
          <w:ilvl w:val="0"/>
          <w:numId w:val="119"/>
        </w:numPr>
        <w:rPr>
          <w:rFonts w:ascii="Arial" w:cs="Arial" w:eastAsia="Arial" w:hAnsi="Arial"/>
          <w:sz w:val="16"/>
          <w:szCs w:val="16"/>
          <w:color w:val="auto"/>
        </w:rPr>
      </w:pPr>
      <w:r>
        <w:rPr>
          <w:rFonts w:ascii="Arial" w:cs="Arial" w:eastAsia="Arial" w:hAnsi="Arial"/>
          <w:sz w:val="16"/>
          <w:szCs w:val="16"/>
          <w:color w:val="010101"/>
        </w:rPr>
        <w:t>The Company shall have paid all accrued fees and, to the extent invoiced at least two Business Days prior to the Effective Date, expenses of the Administrative Agent and the Lenders (including the accrued fees and expenses of counsel to the Administrative Agent), in each case to the extent payable pursuant to the Engagement Letter.</w:t>
      </w:r>
    </w:p>
    <w:p>
      <w:pPr>
        <w:spacing w:after="0" w:line="148" w:lineRule="exact"/>
        <w:rPr>
          <w:rFonts w:ascii="Arial" w:cs="Arial" w:eastAsia="Arial" w:hAnsi="Arial"/>
          <w:sz w:val="16"/>
          <w:szCs w:val="16"/>
          <w:color w:val="auto"/>
        </w:rPr>
      </w:pPr>
    </w:p>
    <w:p>
      <w:pPr>
        <w:ind w:left="20" w:right="20" w:firstLine="487"/>
        <w:spacing w:after="0" w:line="239" w:lineRule="auto"/>
        <w:tabs>
          <w:tab w:leader="none" w:pos="909" w:val="left"/>
        </w:tabs>
        <w:numPr>
          <w:ilvl w:val="0"/>
          <w:numId w:val="119"/>
        </w:numPr>
        <w:rPr>
          <w:rFonts w:ascii="Arial" w:cs="Arial" w:eastAsia="Arial" w:hAnsi="Arial"/>
          <w:sz w:val="16"/>
          <w:szCs w:val="16"/>
          <w:color w:val="auto"/>
        </w:rPr>
      </w:pPr>
      <w:r>
        <w:rPr>
          <w:rFonts w:ascii="Arial" w:cs="Arial" w:eastAsia="Arial" w:hAnsi="Arial"/>
          <w:sz w:val="16"/>
          <w:szCs w:val="16"/>
          <w:color w:val="010101"/>
        </w:rPr>
        <w:t>On the Effective Date, the following statements shall be true and the Administrative Agent shall have received for the account of each Lender a certificate signed by a duly authorized officer of the Company, dated the Effective Date, stating that:</w:t>
      </w:r>
    </w:p>
    <w:p>
      <w:pPr>
        <w:spacing w:after="0" w:line="148" w:lineRule="exact"/>
        <w:rPr>
          <w:rFonts w:ascii="Arial" w:cs="Arial" w:eastAsia="Arial" w:hAnsi="Arial"/>
          <w:sz w:val="16"/>
          <w:szCs w:val="16"/>
          <w:color w:val="auto"/>
        </w:rPr>
      </w:pPr>
    </w:p>
    <w:p>
      <w:pPr>
        <w:ind w:left="500" w:right="20" w:firstLine="492"/>
        <w:spacing w:after="0" w:line="239" w:lineRule="auto"/>
        <w:tabs>
          <w:tab w:leader="none" w:pos="1389" w:val="left"/>
        </w:tabs>
        <w:numPr>
          <w:ilvl w:val="1"/>
          <w:numId w:val="119"/>
        </w:numPr>
        <w:rPr>
          <w:rFonts w:ascii="Arial" w:cs="Arial" w:eastAsia="Arial" w:hAnsi="Arial"/>
          <w:sz w:val="16"/>
          <w:szCs w:val="16"/>
          <w:color w:val="auto"/>
        </w:rPr>
      </w:pPr>
      <w:r>
        <w:rPr>
          <w:rFonts w:ascii="Arial" w:cs="Arial" w:eastAsia="Arial" w:hAnsi="Arial"/>
          <w:sz w:val="16"/>
          <w:szCs w:val="16"/>
          <w:color w:val="010101"/>
        </w:rPr>
        <w:t>The representations and warranties contained in Section 4.01 are (1) with respect to representations and warranties that contain a materiality qualification in Section 4.01, true and correct and (2) with respect to all other representations and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35" w:name="page136"/>
    <w:bookmarkEnd w:id="135"/>
    <w:p>
      <w:pPr>
        <w:ind w:left="500"/>
        <w:spacing w:after="0"/>
        <w:rPr>
          <w:sz w:val="20"/>
          <w:szCs w:val="20"/>
          <w:color w:val="auto"/>
        </w:rPr>
      </w:pPr>
      <w:r>
        <w:rPr>
          <w:rFonts w:ascii="Arial" w:cs="Arial" w:eastAsia="Arial" w:hAnsi="Arial"/>
          <w:sz w:val="16"/>
          <w:szCs w:val="16"/>
          <w:color w:val="010101"/>
        </w:rPr>
        <w:t>warranties, true and correct in all material respects, in each case, on and as of the Effective Date, and</w:t>
      </w:r>
    </w:p>
    <w:p>
      <w:pPr>
        <w:spacing w:after="0" w:line="170" w:lineRule="exact"/>
        <w:rPr>
          <w:sz w:val="20"/>
          <w:szCs w:val="20"/>
          <w:color w:val="auto"/>
        </w:rPr>
      </w:pPr>
    </w:p>
    <w:p>
      <w:pPr>
        <w:ind w:left="1480" w:hanging="488"/>
        <w:spacing w:after="0"/>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010101"/>
        </w:rPr>
        <w:t>No event has occurred and is continuing that constitutes a Default.</w:t>
      </w:r>
    </w:p>
    <w:p>
      <w:pPr>
        <w:spacing w:after="0" w:line="169" w:lineRule="exact"/>
        <w:rPr>
          <w:rFonts w:ascii="Arial" w:cs="Arial" w:eastAsia="Arial" w:hAnsi="Arial"/>
          <w:sz w:val="16"/>
          <w:szCs w:val="16"/>
          <w:color w:val="auto"/>
        </w:rPr>
      </w:pPr>
    </w:p>
    <w:p>
      <w:pPr>
        <w:ind w:left="20" w:right="40" w:firstLine="487"/>
        <w:spacing w:after="0" w:line="239" w:lineRule="auto"/>
        <w:tabs>
          <w:tab w:leader="none" w:pos="910" w:val="left"/>
        </w:tabs>
        <w:numPr>
          <w:ilvl w:val="0"/>
          <w:numId w:val="121"/>
        </w:numPr>
        <w:rPr>
          <w:rFonts w:ascii="Arial" w:cs="Arial" w:eastAsia="Arial" w:hAnsi="Arial"/>
          <w:sz w:val="16"/>
          <w:szCs w:val="16"/>
          <w:color w:val="auto"/>
        </w:rPr>
      </w:pPr>
      <w:r>
        <w:rPr>
          <w:rFonts w:ascii="Arial" w:cs="Arial" w:eastAsia="Arial" w:hAnsi="Arial"/>
          <w:sz w:val="16"/>
          <w:szCs w:val="16"/>
          <w:color w:val="010101"/>
        </w:rPr>
        <w:t>The Administrative Agent shall have received on or before the Effective Date the following, each dated such day, in form and substance satisfactory to the Administrative Agent:</w:t>
      </w:r>
    </w:p>
    <w:p>
      <w:pPr>
        <w:spacing w:after="0" w:line="138" w:lineRule="exact"/>
        <w:rPr>
          <w:rFonts w:ascii="Arial" w:cs="Arial" w:eastAsia="Arial" w:hAnsi="Arial"/>
          <w:sz w:val="16"/>
          <w:szCs w:val="16"/>
          <w:color w:val="auto"/>
        </w:rPr>
      </w:pPr>
    </w:p>
    <w:p>
      <w:pPr>
        <w:ind w:left="1400" w:hanging="408"/>
        <w:spacing w:after="0"/>
        <w:tabs>
          <w:tab w:leader="none" w:pos="1400" w:val="left"/>
        </w:tabs>
        <w:numPr>
          <w:ilvl w:val="1"/>
          <w:numId w:val="121"/>
        </w:numPr>
        <w:rPr>
          <w:rFonts w:ascii="Arial" w:cs="Arial" w:eastAsia="Arial" w:hAnsi="Arial"/>
          <w:sz w:val="16"/>
          <w:szCs w:val="16"/>
          <w:color w:val="auto"/>
        </w:rPr>
      </w:pPr>
      <w:r>
        <w:rPr>
          <w:rFonts w:ascii="Arial" w:cs="Arial" w:eastAsia="Arial" w:hAnsi="Arial"/>
          <w:sz w:val="16"/>
          <w:szCs w:val="16"/>
          <w:color w:val="010101"/>
        </w:rPr>
        <w:t>The Notes to the Lenders, to the extent requested by any Lender at least three Business Days before the Effective Date.</w:t>
      </w:r>
    </w:p>
    <w:p>
      <w:pPr>
        <w:spacing w:after="0" w:line="170" w:lineRule="exact"/>
        <w:rPr>
          <w:sz w:val="20"/>
          <w:szCs w:val="20"/>
          <w:color w:val="auto"/>
        </w:rPr>
      </w:pPr>
    </w:p>
    <w:p>
      <w:pPr>
        <w:jc w:val="both"/>
        <w:ind w:left="500" w:firstLine="492"/>
        <w:spacing w:after="0" w:line="225" w:lineRule="auto"/>
        <w:tabs>
          <w:tab w:leader="none" w:pos="1389" w:val="left"/>
        </w:tabs>
        <w:numPr>
          <w:ilvl w:val="1"/>
          <w:numId w:val="122"/>
        </w:numPr>
        <w:rPr>
          <w:rFonts w:ascii="Arial" w:cs="Arial" w:eastAsia="Arial" w:hAnsi="Arial"/>
          <w:sz w:val="16"/>
          <w:szCs w:val="16"/>
          <w:color w:val="auto"/>
        </w:rPr>
      </w:pPr>
      <w:r>
        <w:rPr>
          <w:rFonts w:ascii="Arial" w:cs="Arial" w:eastAsia="Arial" w:hAnsi="Arial"/>
          <w:sz w:val="16"/>
          <w:szCs w:val="16"/>
          <w:color w:val="010101"/>
        </w:rPr>
        <w:t>Certified copies of (1) the resolutions of the board of directors (or equivalent governing body) of each Credit Party approving this Agreement and, to the extent applicable, the other Loan Documents, and of all documents evidencing other necessary corporate or other action and governmental approvals, if any, with respect to this Agreement and the other Loan Documents, (2) the articles of incorporation or other constitutional or charter documents, as applicable, of each Credit Party and (3) the bylaws or comparable operating agreement, as applicable, of each Credit Party.</w:t>
      </w:r>
    </w:p>
    <w:p>
      <w:pPr>
        <w:spacing w:after="0" w:line="148" w:lineRule="exact"/>
        <w:rPr>
          <w:rFonts w:ascii="Arial" w:cs="Arial" w:eastAsia="Arial" w:hAnsi="Arial"/>
          <w:sz w:val="16"/>
          <w:szCs w:val="16"/>
          <w:color w:val="auto"/>
        </w:rPr>
      </w:pPr>
    </w:p>
    <w:p>
      <w:pPr>
        <w:jc w:val="both"/>
        <w:ind w:left="500" w:right="40" w:firstLine="492"/>
        <w:spacing w:after="0" w:line="230" w:lineRule="auto"/>
        <w:tabs>
          <w:tab w:leader="none" w:pos="1390" w:val="left"/>
        </w:tabs>
        <w:numPr>
          <w:ilvl w:val="1"/>
          <w:numId w:val="122"/>
        </w:numPr>
        <w:rPr>
          <w:rFonts w:ascii="Arial" w:cs="Arial" w:eastAsia="Arial" w:hAnsi="Arial"/>
          <w:sz w:val="16"/>
          <w:szCs w:val="16"/>
          <w:color w:val="auto"/>
        </w:rPr>
      </w:pPr>
      <w:r>
        <w:rPr>
          <w:rFonts w:ascii="Arial" w:cs="Arial" w:eastAsia="Arial" w:hAnsi="Arial"/>
          <w:sz w:val="16"/>
          <w:szCs w:val="16"/>
          <w:color w:val="010101"/>
        </w:rPr>
        <w:t>Certificates of good standing, existence or its equivalent with respect to each Credit Party certified as of a recent date by the appropriate Governmental Authorities of the state of incorporation or organization and each other state in which the failure to so qualify and be in good standing would reasonably be expected to have a Material Adverse Effect.</w:t>
      </w:r>
    </w:p>
    <w:p>
      <w:pPr>
        <w:spacing w:after="0" w:line="137" w:lineRule="exact"/>
        <w:rPr>
          <w:rFonts w:ascii="Arial" w:cs="Arial" w:eastAsia="Arial" w:hAnsi="Arial"/>
          <w:sz w:val="16"/>
          <w:szCs w:val="16"/>
          <w:color w:val="auto"/>
        </w:rPr>
      </w:pPr>
    </w:p>
    <w:p>
      <w:pPr>
        <w:ind w:left="500" w:firstLine="492"/>
        <w:spacing w:after="0" w:line="239" w:lineRule="auto"/>
        <w:tabs>
          <w:tab w:leader="none" w:pos="1389" w:val="left"/>
        </w:tabs>
        <w:numPr>
          <w:ilvl w:val="1"/>
          <w:numId w:val="122"/>
        </w:numPr>
        <w:rPr>
          <w:rFonts w:ascii="Arial" w:cs="Arial" w:eastAsia="Arial" w:hAnsi="Arial"/>
          <w:sz w:val="16"/>
          <w:szCs w:val="16"/>
          <w:color w:val="auto"/>
        </w:rPr>
      </w:pPr>
      <w:r>
        <w:rPr>
          <w:rFonts w:ascii="Arial" w:cs="Arial" w:eastAsia="Arial" w:hAnsi="Arial"/>
          <w:sz w:val="16"/>
          <w:szCs w:val="16"/>
          <w:color w:val="010101"/>
        </w:rPr>
        <w:t>A certificate of the Secretary or an Assistant Secretary of each Credit Party certifying the names and true signatures of the officers of such Credit Party authorized to sign each Loan Document to which it is a party and the other documents to be delivered by it hereunder.</w:t>
      </w:r>
    </w:p>
    <w:p>
      <w:pPr>
        <w:spacing w:after="0" w:line="148" w:lineRule="exact"/>
        <w:rPr>
          <w:rFonts w:ascii="Arial" w:cs="Arial" w:eastAsia="Arial" w:hAnsi="Arial"/>
          <w:sz w:val="16"/>
          <w:szCs w:val="16"/>
          <w:color w:val="auto"/>
        </w:rPr>
      </w:pPr>
    </w:p>
    <w:p>
      <w:pPr>
        <w:jc w:val="both"/>
        <w:ind w:left="500" w:right="20" w:firstLine="492"/>
        <w:spacing w:after="0" w:line="230" w:lineRule="auto"/>
        <w:tabs>
          <w:tab w:leader="none" w:pos="1389" w:val="left"/>
        </w:tabs>
        <w:numPr>
          <w:ilvl w:val="1"/>
          <w:numId w:val="122"/>
        </w:numPr>
        <w:rPr>
          <w:rFonts w:ascii="Arial" w:cs="Arial" w:eastAsia="Arial" w:hAnsi="Arial"/>
          <w:sz w:val="16"/>
          <w:szCs w:val="16"/>
          <w:color w:val="auto"/>
        </w:rPr>
      </w:pPr>
      <w:r>
        <w:rPr>
          <w:rFonts w:ascii="Arial" w:cs="Arial" w:eastAsia="Arial" w:hAnsi="Arial"/>
          <w:sz w:val="16"/>
          <w:szCs w:val="16"/>
          <w:color w:val="010101"/>
        </w:rPr>
        <w:t>A favorable opinion of each of (i) Cravath, Swaine &amp; Moore LLP, special New York counsel for the Credit Parties, (ii) Latham, Luna, Eden &amp; Beaudine, LLP, special Florida counsel for the Credit Parties and (iii) King &amp; Spalding International LLP, English law legal adviser to the Administrative Agent, in each case, in form and substance satisfactory to the Administrative Agent.</w:t>
      </w:r>
    </w:p>
    <w:p>
      <w:pPr>
        <w:spacing w:after="0" w:line="148" w:lineRule="exact"/>
        <w:rPr>
          <w:rFonts w:ascii="Arial" w:cs="Arial" w:eastAsia="Arial" w:hAnsi="Arial"/>
          <w:sz w:val="16"/>
          <w:szCs w:val="16"/>
          <w:color w:val="auto"/>
        </w:rPr>
      </w:pPr>
    </w:p>
    <w:p>
      <w:pPr>
        <w:ind w:left="500" w:right="40" w:firstLine="492"/>
        <w:spacing w:after="0" w:line="239" w:lineRule="auto"/>
        <w:tabs>
          <w:tab w:leader="none" w:pos="1389" w:val="left"/>
        </w:tabs>
        <w:numPr>
          <w:ilvl w:val="1"/>
          <w:numId w:val="122"/>
        </w:numPr>
        <w:rPr>
          <w:rFonts w:ascii="Arial" w:cs="Arial" w:eastAsia="Arial" w:hAnsi="Arial"/>
          <w:sz w:val="16"/>
          <w:szCs w:val="16"/>
          <w:color w:val="auto"/>
        </w:rPr>
      </w:pPr>
      <w:r>
        <w:rPr>
          <w:rFonts w:ascii="Arial" w:cs="Arial" w:eastAsia="Arial" w:hAnsi="Arial"/>
          <w:sz w:val="16"/>
          <w:szCs w:val="16"/>
          <w:color w:val="010101"/>
        </w:rPr>
        <w:t>An officer’s certificate prepared by the chief financial officer of the Company as to the solvency of the Company and its Subsidiaries, on a consolidated basis after giving effect to the effectiveness of this Agreement on the Effective Date, in substantially the form of Exhibit G hereto.</w:t>
      </w:r>
    </w:p>
    <w:p>
      <w:pPr>
        <w:spacing w:after="0" w:line="138" w:lineRule="exact"/>
        <w:rPr>
          <w:rFonts w:ascii="Arial" w:cs="Arial" w:eastAsia="Arial" w:hAnsi="Arial"/>
          <w:sz w:val="16"/>
          <w:szCs w:val="16"/>
          <w:color w:val="auto"/>
        </w:rPr>
      </w:pPr>
    </w:p>
    <w:p>
      <w:pPr>
        <w:jc w:val="both"/>
        <w:ind w:left="20" w:right="40" w:firstLine="487"/>
        <w:spacing w:after="0" w:line="230" w:lineRule="auto"/>
        <w:tabs>
          <w:tab w:leader="none" w:pos="909" w:val="left"/>
        </w:tabs>
        <w:numPr>
          <w:ilvl w:val="0"/>
          <w:numId w:val="123"/>
        </w:numPr>
        <w:rPr>
          <w:rFonts w:ascii="Arial" w:cs="Arial" w:eastAsia="Arial" w:hAnsi="Arial"/>
          <w:sz w:val="16"/>
          <w:szCs w:val="16"/>
          <w:color w:val="auto"/>
        </w:rPr>
      </w:pPr>
      <w:r>
        <w:rPr>
          <w:rFonts w:ascii="Arial" w:cs="Arial" w:eastAsia="Arial" w:hAnsi="Arial"/>
          <w:sz w:val="16"/>
          <w:szCs w:val="16"/>
          <w:color w:val="010101"/>
        </w:rPr>
        <w:t>The Administrative Agent shall have received pro forma Consolidated financial statements for the Company and its Subsidiaries, taken as a whole, and projections prepared by management of the Company, of balance sheets, income statements and cash flow statements for the three year period following the Effective Date.</w:t>
      </w:r>
    </w:p>
    <w:p>
      <w:pPr>
        <w:spacing w:after="0" w:line="148" w:lineRule="exact"/>
        <w:rPr>
          <w:rFonts w:ascii="Arial" w:cs="Arial" w:eastAsia="Arial" w:hAnsi="Arial"/>
          <w:sz w:val="16"/>
          <w:szCs w:val="16"/>
          <w:color w:val="auto"/>
        </w:rPr>
      </w:pPr>
    </w:p>
    <w:p>
      <w:pPr>
        <w:ind w:left="20" w:right="20" w:firstLine="487"/>
        <w:spacing w:after="0" w:line="239" w:lineRule="auto"/>
        <w:tabs>
          <w:tab w:leader="none" w:pos="910" w:val="left"/>
        </w:tabs>
        <w:numPr>
          <w:ilvl w:val="0"/>
          <w:numId w:val="123"/>
        </w:numPr>
        <w:rPr>
          <w:rFonts w:ascii="Arial" w:cs="Arial" w:eastAsia="Arial" w:hAnsi="Arial"/>
          <w:sz w:val="16"/>
          <w:szCs w:val="16"/>
          <w:color w:val="auto"/>
        </w:rPr>
      </w:pPr>
      <w:r>
        <w:rPr>
          <w:rFonts w:ascii="Arial" w:cs="Arial" w:eastAsia="Arial" w:hAnsi="Arial"/>
          <w:sz w:val="16"/>
          <w:szCs w:val="16"/>
          <w:color w:val="010101"/>
        </w:rPr>
        <w:t>The Administrative Agent shall have received (i) at least five Business Days (or such shorter period agreed to by the Administrative Agent in its sole discretion) for the Company</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36" w:name="page137"/>
    <w:bookmarkEnd w:id="136"/>
    <w:p>
      <w:pPr>
        <w:jc w:val="both"/>
        <w:ind w:left="20"/>
        <w:spacing w:after="0" w:line="263" w:lineRule="auto"/>
        <w:rPr>
          <w:sz w:val="20"/>
          <w:szCs w:val="20"/>
          <w:color w:val="auto"/>
        </w:rPr>
      </w:pPr>
      <w:r>
        <w:rPr>
          <w:rFonts w:ascii="Arial" w:cs="Arial" w:eastAsia="Arial" w:hAnsi="Arial"/>
          <w:sz w:val="14"/>
          <w:szCs w:val="14"/>
          <w:color w:val="010101"/>
        </w:rPr>
        <w:t>and its Domestic Subsidiaries and (ii) at least fifteen Business Days (or such shorter period agreed to by the Administrative Agent in its sole discretion) for any Foreign Borrower, in each case prior to the Effective Date all documentation and other information about the Company and the other Credit Parties as has been reasonably requested in writing at least 10 Business Days prior to the Effective Date by the Administrative Agent that it (on behalf of itself and the Lenders) reasonably determines is required by regulatory authorities under applicable “know your customer” and anti-money laundering rules and regulations, including without limitation the Patriot Act.</w:t>
      </w:r>
    </w:p>
    <w:p>
      <w:pPr>
        <w:spacing w:after="0" w:line="133" w:lineRule="exact"/>
        <w:rPr>
          <w:sz w:val="20"/>
          <w:szCs w:val="20"/>
          <w:color w:val="auto"/>
        </w:rPr>
      </w:pPr>
    </w:p>
    <w:p>
      <w:pPr>
        <w:ind w:left="1000" w:hanging="493"/>
        <w:spacing w:after="0"/>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color w:val="010101"/>
        </w:rPr>
        <w:t>Since December 31, 2021, no Material Adverse Effect has occurred.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010101"/>
        </w:rPr>
        <w:t>Conditions Precedent to Each Borrowing, Letter of Credit Issuance, Increase Date and Extension Date</w:t>
      </w:r>
    </w:p>
    <w:p>
      <w:pPr>
        <w:spacing w:after="0" w:line="160" w:lineRule="exact"/>
        <w:rPr>
          <w:sz w:val="20"/>
          <w:szCs w:val="20"/>
          <w:color w:val="auto"/>
        </w:rPr>
      </w:pPr>
    </w:p>
    <w:p>
      <w:pPr>
        <w:jc w:val="both"/>
        <w:ind w:left="20" w:right="20" w:firstLine="487"/>
        <w:spacing w:after="0" w:line="232" w:lineRule="auto"/>
        <w:tabs>
          <w:tab w:leader="none" w:pos="588" w:val="left"/>
        </w:tabs>
        <w:numPr>
          <w:ilvl w:val="0"/>
          <w:numId w:val="125"/>
        </w:numPr>
        <w:rPr>
          <w:rFonts w:ascii="Arial" w:cs="Arial" w:eastAsia="Arial" w:hAnsi="Arial"/>
          <w:sz w:val="15"/>
          <w:szCs w:val="15"/>
          <w:color w:val="010101"/>
        </w:rPr>
      </w:pPr>
      <w:r>
        <w:rPr>
          <w:rFonts w:ascii="Arial" w:cs="Arial" w:eastAsia="Arial" w:hAnsi="Arial"/>
          <w:sz w:val="15"/>
          <w:szCs w:val="15"/>
          <w:color w:val="010101"/>
        </w:rPr>
        <w:t>The obligation of each Lender to make or participate in an Extension of Credit, the obligation of each Issuing Lender to issue or extend a Letter of Credit, each Commitment Increase and each extension of Commitments pursuant to Section 2.17 shall be subject to the conditions precedent that the Effective Date shall have occurred, the Administrative Agent shall have received the relevant Notice of Borrowing, request for Commitment Increase or request for Commitment extension and the applicable Issuing Lender shall have received the relevant Letter of Credit Documents, and on the date of such Borrowing, such Letter of Credit issuance or extension date, such Increase Date or such Extension Date the following statements shall be true (and each of the giving of the applicable Notice of Borrowing, request for issuance or extension of a Letter of Credit, request for Commitment Increase, request for Commitment extension and the acceptance by the applicable Borrower of the proceeds of such Borrowing or the issuance or extension of such Letter of Credit shall constitute a representation and warranty by the Borrowers that on the date of such Extension of Credit, such Increase Date or such Extension Date such statements are true):</w:t>
      </w:r>
    </w:p>
    <w:p>
      <w:pPr>
        <w:spacing w:after="0" w:line="151" w:lineRule="exact"/>
        <w:rPr>
          <w:sz w:val="20"/>
          <w:szCs w:val="20"/>
          <w:color w:val="auto"/>
        </w:rPr>
      </w:pPr>
    </w:p>
    <w:p>
      <w:pPr>
        <w:jc w:val="both"/>
        <w:ind w:left="20" w:firstLine="487"/>
        <w:spacing w:after="0" w:line="263" w:lineRule="auto"/>
        <w:tabs>
          <w:tab w:leader="none" w:pos="910" w:val="left"/>
        </w:tabs>
        <w:numPr>
          <w:ilvl w:val="0"/>
          <w:numId w:val="126"/>
        </w:numPr>
        <w:rPr>
          <w:rFonts w:ascii="Arial" w:cs="Arial" w:eastAsia="Arial" w:hAnsi="Arial"/>
          <w:sz w:val="14"/>
          <w:szCs w:val="14"/>
          <w:color w:val="auto"/>
        </w:rPr>
      </w:pPr>
      <w:r>
        <w:rPr>
          <w:rFonts w:ascii="Arial" w:cs="Arial" w:eastAsia="Arial" w:hAnsi="Arial"/>
          <w:sz w:val="14"/>
          <w:szCs w:val="14"/>
          <w:color w:val="010101"/>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w:t>
      </w:r>
    </w:p>
    <w:p>
      <w:pPr>
        <w:spacing w:after="0" w:line="183" w:lineRule="exact"/>
        <w:rPr>
          <w:rFonts w:ascii="Arial" w:cs="Arial" w:eastAsia="Arial" w:hAnsi="Arial"/>
          <w:sz w:val="14"/>
          <w:szCs w:val="14"/>
          <w:color w:val="auto"/>
        </w:rPr>
      </w:pPr>
    </w:p>
    <w:p>
      <w:pPr>
        <w:ind w:left="20" w:right="20" w:firstLine="487"/>
        <w:spacing w:after="0" w:line="239" w:lineRule="auto"/>
        <w:tabs>
          <w:tab w:leader="none" w:pos="909" w:val="left"/>
        </w:tabs>
        <w:numPr>
          <w:ilvl w:val="0"/>
          <w:numId w:val="126"/>
        </w:numPr>
        <w:rPr>
          <w:rFonts w:ascii="Arial" w:cs="Arial" w:eastAsia="Arial" w:hAnsi="Arial"/>
          <w:sz w:val="16"/>
          <w:szCs w:val="16"/>
          <w:color w:val="auto"/>
        </w:rPr>
      </w:pPr>
      <w:r>
        <w:rPr>
          <w:rFonts w:ascii="Arial" w:cs="Arial" w:eastAsia="Arial" w:hAnsi="Arial"/>
          <w:sz w:val="16"/>
          <w:szCs w:val="16"/>
          <w:color w:val="010101"/>
        </w:rPr>
        <w:t>no event has occurred and is continuing, or would result from such Extension of Credit, such Increase Date or such Extension Date or from the application of the proceeds therefrom, that constitutes a Default,</w:t>
      </w:r>
    </w:p>
    <w:p>
      <w:pPr>
        <w:spacing w:after="0" w:line="148" w:lineRule="exact"/>
        <w:rPr>
          <w:rFonts w:ascii="Arial" w:cs="Arial" w:eastAsia="Arial" w:hAnsi="Arial"/>
          <w:sz w:val="16"/>
          <w:szCs w:val="16"/>
          <w:color w:val="auto"/>
        </w:rPr>
      </w:pPr>
    </w:p>
    <w:p>
      <w:pPr>
        <w:jc w:val="both"/>
        <w:ind w:left="20" w:right="20" w:firstLine="487"/>
        <w:spacing w:after="0" w:line="225" w:lineRule="auto"/>
        <w:tabs>
          <w:tab w:leader="none" w:pos="910" w:val="left"/>
        </w:tabs>
        <w:numPr>
          <w:ilvl w:val="0"/>
          <w:numId w:val="126"/>
        </w:numPr>
        <w:rPr>
          <w:rFonts w:ascii="Arial" w:cs="Arial" w:eastAsia="Arial" w:hAnsi="Arial"/>
          <w:sz w:val="16"/>
          <w:szCs w:val="16"/>
          <w:color w:val="auto"/>
        </w:rPr>
      </w:pPr>
      <w:r>
        <w:rPr>
          <w:rFonts w:ascii="Arial" w:cs="Arial" w:eastAsia="Arial" w:hAnsi="Arial"/>
          <w:sz w:val="16"/>
          <w:szCs w:val="16"/>
          <w:color w:val="010101"/>
        </w:rPr>
        <w:t>in the case of any Extension of Credit denominated in a Foreign Currency, there shall not have occurred any change in national or international financial, political or economic conditions or currency exchange rates or exchange controls which in the reasonable opinion of the Administrative Agent or the Required Lenders (in the case of any Extension of Credit to be denominated in a Foreign Currency) would make it impracticable for such Extension of Credit to be denominated in the relevant Foreign Currency, and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37" w:name="page138"/>
    <w:bookmarkEnd w:id="137"/>
    <w:p>
      <w:pPr>
        <w:ind w:left="20" w:right="40" w:firstLine="487"/>
        <w:spacing w:after="0" w:line="239" w:lineRule="auto"/>
        <w:tabs>
          <w:tab w:leader="none" w:pos="909" w:val="left"/>
        </w:tabs>
        <w:numPr>
          <w:ilvl w:val="0"/>
          <w:numId w:val="127"/>
        </w:numPr>
        <w:rPr>
          <w:rFonts w:ascii="Arial" w:cs="Arial" w:eastAsia="Arial" w:hAnsi="Arial"/>
          <w:sz w:val="16"/>
          <w:szCs w:val="16"/>
          <w:color w:val="auto"/>
        </w:rPr>
      </w:pPr>
      <w:r>
        <w:rPr>
          <w:rFonts w:ascii="Arial" w:cs="Arial" w:eastAsia="Arial" w:hAnsi="Arial"/>
          <w:sz w:val="16"/>
          <w:szCs w:val="16"/>
          <w:color w:val="010101"/>
        </w:rPr>
        <w:t>no Issuing Lender shall be required to issue, extend, renew or increase any Letter of Credit unless it is satisfied that it will have no Fronting Exposure after giving effect thereto.</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3.03.</w:t>
      </w:r>
      <w:r>
        <w:rPr>
          <w:sz w:val="20"/>
          <w:szCs w:val="20"/>
          <w:color w:val="auto"/>
        </w:rPr>
        <w:tab/>
      </w:r>
      <w:r>
        <w:rPr>
          <w:rFonts w:ascii="Arial" w:cs="Arial" w:eastAsia="Arial" w:hAnsi="Arial"/>
          <w:sz w:val="14"/>
          <w:szCs w:val="14"/>
          <w:u w:val="single" w:color="auto"/>
          <w:color w:val="010101"/>
        </w:rPr>
        <w:t>Determinations Under Section 3.01</w:t>
      </w:r>
    </w:p>
    <w:p>
      <w:pPr>
        <w:spacing w:after="0" w:line="170" w:lineRule="exact"/>
        <w:rPr>
          <w:sz w:val="20"/>
          <w:szCs w:val="20"/>
          <w:color w:val="auto"/>
        </w:rPr>
      </w:pPr>
    </w:p>
    <w:p>
      <w:pPr>
        <w:jc w:val="both"/>
        <w:ind w:left="20" w:right="20" w:firstLine="2"/>
        <w:spacing w:after="0" w:line="222" w:lineRule="auto"/>
        <w:tabs>
          <w:tab w:leader="none" w:pos="239" w:val="left"/>
        </w:tabs>
        <w:numPr>
          <w:ilvl w:val="0"/>
          <w:numId w:val="128"/>
        </w:numPr>
        <w:rPr>
          <w:rFonts w:ascii="Arial" w:cs="Arial" w:eastAsia="Arial" w:hAnsi="Arial"/>
          <w:sz w:val="16"/>
          <w:szCs w:val="16"/>
          <w:color w:val="010101"/>
        </w:rPr>
      </w:pPr>
      <w:r>
        <w:rPr>
          <w:rFonts w:ascii="Arial" w:cs="Arial" w:eastAsia="Arial" w:hAnsi="Arial"/>
          <w:sz w:val="16"/>
          <w:szCs w:val="16"/>
          <w:color w:val="010101"/>
        </w:rPr>
        <w:t>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this Agreement shall have received notice from such Lender prior to the date that the Company, by notice to the Lenders, designates as the proposed Effective Date, specifying its objection thereto. The Administrative Agent shall promptly notify the Lenders and the Company of the occurrence of the Effective Date.</w:t>
      </w:r>
    </w:p>
    <w:p>
      <w:pPr>
        <w:spacing w:after="0" w:line="250"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 xml:space="preserve">ARTICLE IV </w:t>
      </w:r>
      <w:r>
        <w:rPr>
          <w:rFonts w:ascii="Arial" w:cs="Arial" w:eastAsia="Arial" w:hAnsi="Arial"/>
          <w:sz w:val="16"/>
          <w:szCs w:val="16"/>
          <w:color w:val="010101"/>
        </w:rPr>
        <w:t>REPRESENTATIONS AND WARRANTIES</w:t>
      </w:r>
    </w:p>
    <w:p>
      <w:pPr>
        <w:spacing w:after="0" w:line="7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4.01.</w:t>
      </w:r>
      <w:r>
        <w:rPr>
          <w:sz w:val="20"/>
          <w:szCs w:val="20"/>
          <w:color w:val="auto"/>
        </w:rPr>
        <w:tab/>
      </w:r>
      <w:r>
        <w:rPr>
          <w:rFonts w:ascii="Arial" w:cs="Arial" w:eastAsia="Arial" w:hAnsi="Arial"/>
          <w:sz w:val="14"/>
          <w:szCs w:val="14"/>
          <w:u w:val="single" w:color="auto"/>
          <w:color w:val="010101"/>
        </w:rPr>
        <w:t>Representations and Warranties of the Credit Parties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 Each Credit Party represents and warrants as follows:</w:t>
      </w:r>
    </w:p>
    <w:p>
      <w:pPr>
        <w:spacing w:after="0" w:line="170" w:lineRule="exact"/>
        <w:rPr>
          <w:sz w:val="20"/>
          <w:szCs w:val="20"/>
          <w:color w:val="auto"/>
        </w:rPr>
      </w:pPr>
    </w:p>
    <w:p>
      <w:pPr>
        <w:jc w:val="both"/>
        <w:ind w:left="20" w:right="20" w:firstLine="487"/>
        <w:spacing w:after="0" w:line="225" w:lineRule="auto"/>
        <w:tabs>
          <w:tab w:leader="none" w:pos="910" w:val="left"/>
        </w:tabs>
        <w:numPr>
          <w:ilvl w:val="0"/>
          <w:numId w:val="129"/>
        </w:numPr>
        <w:rPr>
          <w:rFonts w:ascii="Arial" w:cs="Arial" w:eastAsia="Arial" w:hAnsi="Arial"/>
          <w:sz w:val="16"/>
          <w:szCs w:val="16"/>
          <w:color w:val="auto"/>
        </w:rPr>
      </w:pPr>
      <w:r>
        <w:rPr>
          <w:rFonts w:ascii="Arial" w:cs="Arial" w:eastAsia="Arial" w:hAnsi="Arial"/>
          <w:sz w:val="16"/>
          <w:szCs w:val="16"/>
          <w:color w:val="010101"/>
        </w:rPr>
        <w:t>Each Credit Party is duly organized or registered, validly existing and (if applicable in its jurisdiction of incorporation) in good standing under the Applicable Laws of the jurisdiction of its incorporation or formation and is in compliance with all Applicable Laws (including any Anti-Corruption Laws and including compliance with respect to each Plan but excluding those laws referred to in clauses (j), (k) and (l) below), except to the extent such non-compliance would not, individually or in the aggregate, reasonably be expected to result in a Material Adverse Effect.</w:t>
      </w:r>
    </w:p>
    <w:p>
      <w:pPr>
        <w:spacing w:after="0" w:line="138" w:lineRule="exact"/>
        <w:rPr>
          <w:rFonts w:ascii="Arial" w:cs="Arial" w:eastAsia="Arial" w:hAnsi="Arial"/>
          <w:sz w:val="16"/>
          <w:szCs w:val="16"/>
          <w:color w:val="auto"/>
        </w:rPr>
      </w:pPr>
    </w:p>
    <w:p>
      <w:pPr>
        <w:jc w:val="both"/>
        <w:ind w:left="20" w:firstLine="487"/>
        <w:spacing w:after="0" w:line="220" w:lineRule="auto"/>
        <w:tabs>
          <w:tab w:leader="none" w:pos="909" w:val="left"/>
        </w:tabs>
        <w:numPr>
          <w:ilvl w:val="0"/>
          <w:numId w:val="129"/>
        </w:numPr>
        <w:rPr>
          <w:rFonts w:ascii="Arial" w:cs="Arial" w:eastAsia="Arial" w:hAnsi="Arial"/>
          <w:sz w:val="16"/>
          <w:szCs w:val="16"/>
          <w:color w:val="auto"/>
        </w:rPr>
      </w:pPr>
      <w:r>
        <w:rPr>
          <w:rFonts w:ascii="Arial" w:cs="Arial" w:eastAsia="Arial" w:hAnsi="Arial"/>
          <w:sz w:val="16"/>
          <w:szCs w:val="16"/>
          <w:color w:val="010101"/>
        </w:rPr>
        <w:t>The execution, delivery and performance by each Credit Party of this Agreement and each other Loan Document to which it is a party, and the consummation of the transactions contemplated hereby, are within such Credit Party’s capacity and corporate or other powers, have been duly and validly authorized by all necessary corporate or other action, and do not contravene (i) such Credit Party’s constitutional documents, charter or bylaws (or equivalent documents) or (ii) any Applicable Law, to include, in the case of any Credit Party incorporated under the laws of the Commonwealth of Australia, Chapter 2E or Part 2J.3 of the Corporations Act 2001 (Cwlth), or contractual restriction binding on or affecting such Credit Party, except in the case of clause (ii) to the extent such contravention would not, individually or in the aggregate, reasonably be expected to result in a Material Adverse Effect.</w:t>
      </w:r>
    </w:p>
    <w:p>
      <w:pPr>
        <w:spacing w:after="0" w:line="150" w:lineRule="exact"/>
        <w:rPr>
          <w:rFonts w:ascii="Arial" w:cs="Arial" w:eastAsia="Arial" w:hAnsi="Arial"/>
          <w:sz w:val="16"/>
          <w:szCs w:val="16"/>
          <w:color w:val="auto"/>
        </w:rPr>
      </w:pPr>
    </w:p>
    <w:p>
      <w:pPr>
        <w:jc w:val="both"/>
        <w:ind w:left="20" w:right="20" w:firstLine="487"/>
        <w:spacing w:after="0" w:line="230" w:lineRule="auto"/>
        <w:tabs>
          <w:tab w:leader="none" w:pos="910" w:val="left"/>
        </w:tabs>
        <w:numPr>
          <w:ilvl w:val="0"/>
          <w:numId w:val="129"/>
        </w:numPr>
        <w:rPr>
          <w:rFonts w:ascii="Arial" w:cs="Arial" w:eastAsia="Arial" w:hAnsi="Arial"/>
          <w:sz w:val="16"/>
          <w:szCs w:val="16"/>
          <w:color w:val="auto"/>
        </w:rPr>
      </w:pPr>
      <w:r>
        <w:rPr>
          <w:rFonts w:ascii="Arial" w:cs="Arial" w:eastAsia="Arial" w:hAnsi="Arial"/>
          <w:sz w:val="16"/>
          <w:szCs w:val="16"/>
          <w:color w:val="010101"/>
        </w:rPr>
        <w:t>No authorization or approval or other action by, and no notice to or filing with, any Governmental Authority or regulatory body or any other third party is required for the due and valid execution, delivery and performance by any Credit Party of this Agreement or each other Loan Document to which it is a party, except such as have been obtained or made and are in full force and effect.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38" w:name="page139"/>
    <w:bookmarkEnd w:id="138"/>
    <w:p>
      <w:pPr>
        <w:jc w:val="both"/>
        <w:ind w:left="20" w:right="20" w:firstLine="487"/>
        <w:spacing w:after="0" w:line="230" w:lineRule="auto"/>
        <w:tabs>
          <w:tab w:leader="none" w:pos="909" w:val="left"/>
        </w:tabs>
        <w:numPr>
          <w:ilvl w:val="0"/>
          <w:numId w:val="130"/>
        </w:numPr>
        <w:rPr>
          <w:rFonts w:ascii="Arial" w:cs="Arial" w:eastAsia="Arial" w:hAnsi="Arial"/>
          <w:sz w:val="16"/>
          <w:szCs w:val="16"/>
          <w:color w:val="auto"/>
        </w:rPr>
      </w:pPr>
      <w:r>
        <w:rPr>
          <w:rFonts w:ascii="Arial" w:cs="Arial" w:eastAsia="Arial" w:hAnsi="Arial"/>
          <w:sz w:val="16"/>
          <w:szCs w:val="16"/>
          <w:color w:val="010101"/>
        </w:rPr>
        <w:t>This Agreement has been, and each other Loan Document when delivered hereunder will have been duly executed and delivered by each Credit Party party thereto. This Agreement is, and each other Loan Document when delivered will be, the legal, valid and binding obligation of each Credit Party party thereto enforceable against such Credit Party in accordance with their respective terms.</w:t>
      </w:r>
    </w:p>
    <w:p>
      <w:pPr>
        <w:spacing w:after="0" w:line="148" w:lineRule="exact"/>
        <w:rPr>
          <w:rFonts w:ascii="Arial" w:cs="Arial" w:eastAsia="Arial" w:hAnsi="Arial"/>
          <w:sz w:val="16"/>
          <w:szCs w:val="16"/>
          <w:color w:val="auto"/>
        </w:rPr>
      </w:pPr>
    </w:p>
    <w:p>
      <w:pPr>
        <w:jc w:val="both"/>
        <w:ind w:left="20" w:firstLine="487"/>
        <w:spacing w:after="0" w:line="220" w:lineRule="auto"/>
        <w:tabs>
          <w:tab w:leader="none" w:pos="910" w:val="left"/>
        </w:tabs>
        <w:numPr>
          <w:ilvl w:val="0"/>
          <w:numId w:val="130"/>
        </w:numPr>
        <w:rPr>
          <w:rFonts w:ascii="Arial" w:cs="Arial" w:eastAsia="Arial" w:hAnsi="Arial"/>
          <w:sz w:val="16"/>
          <w:szCs w:val="16"/>
          <w:color w:val="auto"/>
        </w:rPr>
      </w:pPr>
      <w:r>
        <w:rPr>
          <w:rFonts w:ascii="Arial" w:cs="Arial" w:eastAsia="Arial" w:hAnsi="Arial"/>
          <w:sz w:val="16"/>
          <w:szCs w:val="16"/>
          <w:color w:val="010101"/>
        </w:rPr>
        <w:t>The audited financial statements of the Company and its Subsidiaries for the fiscal year ended December 31, 2021, containing the consolidated balance sheet of the Company and its Subsidiaries as of the end of such fiscal year and consolidated statements of income and cash flows of the Company and its Subsidiaries for such fiscal year, in each case accompanied by an opinion by PricewaterhouseCoopers LLP and duly certified by the chief financial officer of the Company, copies of which have been furnished to each Lender, fairly present the Consolidated financial condition of the Company and its Subsidiaries as at such dates and the Consolidated results of the operations of the Company and its Subsidiaries for the periods ended on such dates, all in accordance with generally accepted accounting principles consistently applied.</w:t>
      </w:r>
    </w:p>
    <w:p>
      <w:pPr>
        <w:spacing w:after="0" w:line="150" w:lineRule="exact"/>
        <w:rPr>
          <w:rFonts w:ascii="Arial" w:cs="Arial" w:eastAsia="Arial" w:hAnsi="Arial"/>
          <w:sz w:val="16"/>
          <w:szCs w:val="16"/>
          <w:color w:val="auto"/>
        </w:rPr>
      </w:pPr>
    </w:p>
    <w:p>
      <w:pPr>
        <w:jc w:val="both"/>
        <w:ind w:left="20" w:right="20" w:firstLine="487"/>
        <w:spacing w:after="0" w:line="225" w:lineRule="auto"/>
        <w:tabs>
          <w:tab w:leader="none" w:pos="909" w:val="left"/>
        </w:tabs>
        <w:numPr>
          <w:ilvl w:val="0"/>
          <w:numId w:val="130"/>
        </w:numPr>
        <w:rPr>
          <w:rFonts w:ascii="Arial" w:cs="Arial" w:eastAsia="Arial" w:hAnsi="Arial"/>
          <w:sz w:val="16"/>
          <w:szCs w:val="16"/>
          <w:color w:val="auto"/>
        </w:rPr>
      </w:pPr>
      <w:r>
        <w:rPr>
          <w:rFonts w:ascii="Arial" w:cs="Arial" w:eastAsia="Arial" w:hAnsi="Arial"/>
          <w:sz w:val="16"/>
          <w:szCs w:val="16"/>
          <w:color w:val="010101"/>
        </w:rPr>
        <w:t>There is no pending or, to the knowledge of the Company, threatened action, suit, investigation, litigation or proceeding, including, without limitation, any Environmental Action, affecting the Company or any of its Subsidiaries before any court, governmental agency or arbitrator that (i) is pending or, to the knowledge of the Company, threatened as of the Effective Date and is reasonably likely to have a Material Adverse Effect or (ii) purports to affect the legality, validity or enforceability of this Agreement or any other Loan Document.</w:t>
      </w:r>
    </w:p>
    <w:p>
      <w:pPr>
        <w:spacing w:after="0" w:line="138" w:lineRule="exact"/>
        <w:rPr>
          <w:rFonts w:ascii="Arial" w:cs="Arial" w:eastAsia="Arial" w:hAnsi="Arial"/>
          <w:sz w:val="16"/>
          <w:szCs w:val="16"/>
          <w:color w:val="auto"/>
        </w:rPr>
      </w:pPr>
    </w:p>
    <w:p>
      <w:pPr>
        <w:ind w:left="20" w:right="20" w:firstLine="487"/>
        <w:spacing w:after="0" w:line="239" w:lineRule="auto"/>
        <w:tabs>
          <w:tab w:leader="none" w:pos="909" w:val="left"/>
        </w:tabs>
        <w:numPr>
          <w:ilvl w:val="0"/>
          <w:numId w:val="130"/>
        </w:numPr>
        <w:rPr>
          <w:rFonts w:ascii="Arial" w:cs="Arial" w:eastAsia="Arial" w:hAnsi="Arial"/>
          <w:sz w:val="16"/>
          <w:szCs w:val="16"/>
          <w:color w:val="auto"/>
        </w:rPr>
      </w:pPr>
      <w:r>
        <w:rPr>
          <w:rFonts w:ascii="Arial" w:cs="Arial" w:eastAsia="Arial" w:hAnsi="Arial"/>
          <w:sz w:val="16"/>
          <w:szCs w:val="16"/>
          <w:color w:val="010101"/>
        </w:rPr>
        <w:t>No Borrower is, and immediately after the application by any Borrower of the proceeds of each Extension of Credit will not be, an “investment company” within the meaning of the Investment Company Act of 1940, as amended.</w:t>
      </w:r>
    </w:p>
    <w:p>
      <w:pPr>
        <w:spacing w:after="0" w:line="148" w:lineRule="exact"/>
        <w:rPr>
          <w:rFonts w:ascii="Arial" w:cs="Arial" w:eastAsia="Arial" w:hAnsi="Arial"/>
          <w:sz w:val="16"/>
          <w:szCs w:val="16"/>
          <w:color w:val="auto"/>
        </w:rPr>
      </w:pPr>
    </w:p>
    <w:p>
      <w:pPr>
        <w:jc w:val="both"/>
        <w:ind w:left="20" w:right="20" w:firstLine="487"/>
        <w:spacing w:after="0" w:line="225" w:lineRule="auto"/>
        <w:tabs>
          <w:tab w:leader="none" w:pos="909" w:val="left"/>
        </w:tabs>
        <w:numPr>
          <w:ilvl w:val="0"/>
          <w:numId w:val="130"/>
        </w:numPr>
        <w:rPr>
          <w:rFonts w:ascii="Arial" w:cs="Arial" w:eastAsia="Arial" w:hAnsi="Arial"/>
          <w:sz w:val="16"/>
          <w:szCs w:val="16"/>
          <w:color w:val="auto"/>
        </w:rPr>
      </w:pPr>
      <w:r>
        <w:rPr>
          <w:rFonts w:ascii="Arial" w:cs="Arial" w:eastAsia="Arial" w:hAnsi="Arial"/>
          <w:sz w:val="16"/>
          <w:szCs w:val="16"/>
          <w:color w:val="010101"/>
        </w:rPr>
        <w:t>After giving effect to the application of the proceeds of each Extension of Credit, not more than 25% of the value of the assets of the Company and its Subsidiaries (as determined in good faith by the Company) subject to the provisions of Section 5.02(a) or subject to any restriction contained in any agreement or instrument between any Borrower and any Lender or any Affiliate of any Lender relating to Debt and within the scope of Section 6.01(d), will consist of or be represented by Margin Stock.</w:t>
      </w:r>
    </w:p>
    <w:p>
      <w:pPr>
        <w:spacing w:after="0" w:line="148" w:lineRule="exact"/>
        <w:rPr>
          <w:rFonts w:ascii="Arial" w:cs="Arial" w:eastAsia="Arial" w:hAnsi="Arial"/>
          <w:sz w:val="16"/>
          <w:szCs w:val="16"/>
          <w:color w:val="auto"/>
        </w:rPr>
      </w:pPr>
    </w:p>
    <w:p>
      <w:pPr>
        <w:jc w:val="both"/>
        <w:ind w:left="20" w:firstLine="487"/>
        <w:spacing w:after="0" w:line="225" w:lineRule="auto"/>
        <w:tabs>
          <w:tab w:leader="none" w:pos="909" w:val="left"/>
        </w:tabs>
        <w:numPr>
          <w:ilvl w:val="0"/>
          <w:numId w:val="130"/>
        </w:numPr>
        <w:rPr>
          <w:rFonts w:ascii="Arial" w:cs="Arial" w:eastAsia="Arial" w:hAnsi="Arial"/>
          <w:sz w:val="16"/>
          <w:szCs w:val="16"/>
          <w:color w:val="auto"/>
        </w:rPr>
      </w:pPr>
      <w:r>
        <w:rPr>
          <w:rFonts w:ascii="Arial" w:cs="Arial" w:eastAsia="Arial" w:hAnsi="Arial"/>
          <w:sz w:val="16"/>
          <w:szCs w:val="16"/>
          <w:color w:val="010101"/>
        </w:rPr>
        <w:t>All factual information furnished by or on behalf of the Company or any of its Subsidiaries to the Administrative Agent or any Lender in connection with the negotiation of this Agreement or any other Loan Document, included herein or therein or furnished hereunder or thereunder (as modified or supplemented by other information so furnished) does not contain any material misstatement of fact or omit to state any material fact necessary to make the statements therein, in the light of the circumstances under which they were made, not materially misleading.</w:t>
      </w:r>
    </w:p>
    <w:p>
      <w:pPr>
        <w:spacing w:after="0" w:line="138" w:lineRule="exact"/>
        <w:rPr>
          <w:rFonts w:ascii="Arial" w:cs="Arial" w:eastAsia="Arial" w:hAnsi="Arial"/>
          <w:sz w:val="16"/>
          <w:szCs w:val="16"/>
          <w:color w:val="auto"/>
        </w:rPr>
      </w:pPr>
    </w:p>
    <w:p>
      <w:pPr>
        <w:jc w:val="both"/>
        <w:ind w:left="20" w:right="20" w:firstLine="487"/>
        <w:spacing w:after="0" w:line="230" w:lineRule="auto"/>
        <w:tabs>
          <w:tab w:leader="none" w:pos="909" w:val="left"/>
        </w:tabs>
        <w:numPr>
          <w:ilvl w:val="0"/>
          <w:numId w:val="130"/>
        </w:numPr>
        <w:rPr>
          <w:rFonts w:ascii="Arial" w:cs="Arial" w:eastAsia="Arial" w:hAnsi="Arial"/>
          <w:sz w:val="16"/>
          <w:szCs w:val="16"/>
          <w:color w:val="auto"/>
        </w:rPr>
      </w:pPr>
      <w:r>
        <w:rPr>
          <w:rFonts w:ascii="Arial" w:cs="Arial" w:eastAsia="Arial" w:hAnsi="Arial"/>
          <w:sz w:val="16"/>
          <w:szCs w:val="16"/>
          <w:color w:val="010101"/>
        </w:rPr>
        <w:t>Each of the Credit Parties and their Subsidiaries is in compliance with the FCPA. Neither the Company nor any of its Subsidiaries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39" w:name="page140"/>
    <w:bookmarkEnd w:id="139"/>
    <w:p>
      <w:pPr>
        <w:ind w:left="20" w:right="20"/>
        <w:spacing w:after="0" w:line="239" w:lineRule="auto"/>
        <w:rPr>
          <w:sz w:val="20"/>
          <w:szCs w:val="20"/>
          <w:color w:val="auto"/>
        </w:rPr>
      </w:pPr>
      <w:r>
        <w:rPr>
          <w:rFonts w:ascii="Arial" w:cs="Arial" w:eastAsia="Arial" w:hAnsi="Arial"/>
          <w:sz w:val="16"/>
          <w:szCs w:val="16"/>
          <w:color w:val="010101"/>
        </w:rPr>
        <w:t>political party or party official or any candidate for foreign political office, and (c) with the intent to induce the recipient to misuse his or her official position to direct business wrongfully to the Company or its Subsidiary or to any other Person, in each case in violation of the FCPA</w:t>
      </w:r>
      <w:r>
        <w:rPr>
          <w:rFonts w:ascii="Arial" w:cs="Arial" w:eastAsia="Arial" w:hAnsi="Arial"/>
          <w:sz w:val="16"/>
          <w:szCs w:val="16"/>
          <w:i w:val="1"/>
          <w:iCs w:val="1"/>
          <w:color w:val="010101"/>
        </w:rPr>
        <w:t>.</w:t>
      </w:r>
    </w:p>
    <w:p>
      <w:pPr>
        <w:spacing w:after="0" w:line="149" w:lineRule="exact"/>
        <w:rPr>
          <w:sz w:val="20"/>
          <w:szCs w:val="20"/>
          <w:color w:val="auto"/>
        </w:rPr>
      </w:pPr>
    </w:p>
    <w:p>
      <w:pPr>
        <w:jc w:val="both"/>
        <w:ind w:left="20" w:firstLine="487"/>
        <w:spacing w:after="0" w:line="219" w:lineRule="auto"/>
        <w:tabs>
          <w:tab w:leader="none" w:pos="909" w:val="left"/>
        </w:tabs>
        <w:numPr>
          <w:ilvl w:val="0"/>
          <w:numId w:val="131"/>
        </w:numPr>
        <w:rPr>
          <w:rFonts w:ascii="Arial" w:cs="Arial" w:eastAsia="Arial" w:hAnsi="Arial"/>
          <w:sz w:val="16"/>
          <w:szCs w:val="16"/>
          <w:color w:val="auto"/>
        </w:rPr>
      </w:pPr>
      <w:r>
        <w:rPr>
          <w:rFonts w:ascii="Arial" w:cs="Arial" w:eastAsia="Arial" w:hAnsi="Arial"/>
          <w:sz w:val="16"/>
          <w:szCs w:val="16"/>
          <w:color w:val="010101"/>
        </w:rPr>
        <w:t>(i) None of the Company, any Subsidiary or, to the knowledge of the Company or such Subsidiary exercising due care, any of their respective (A) directors, officers or employees or (B) agents or representatives that will act in any capacity in connection with the Credit Facility is a Sanctioned Person or is currently the subject or target of any Sanctions and (ii) none of the Company or any Subsidiary (A) has its assets located in a Sanctioned Country in violation of Sanctions, (B) is currently under administrative, civil or criminal investigation for an alleged violation of, or, in the past five years,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(C) knowingly, while exercising due care, directly or indirectly derives revenues from investments in, or transactions with, Sanctioned Persons in violation of Sanctions.</w:t>
      </w:r>
    </w:p>
    <w:p>
      <w:pPr>
        <w:spacing w:after="0" w:line="148" w:lineRule="exact"/>
        <w:rPr>
          <w:rFonts w:ascii="Arial" w:cs="Arial" w:eastAsia="Arial" w:hAnsi="Arial"/>
          <w:sz w:val="16"/>
          <w:szCs w:val="16"/>
          <w:color w:val="auto"/>
        </w:rPr>
      </w:pPr>
    </w:p>
    <w:p>
      <w:pPr>
        <w:jc w:val="both"/>
        <w:ind w:left="20" w:right="40" w:firstLine="487"/>
        <w:spacing w:after="0" w:line="230" w:lineRule="auto"/>
        <w:tabs>
          <w:tab w:leader="none" w:pos="909" w:val="left"/>
        </w:tabs>
        <w:numPr>
          <w:ilvl w:val="0"/>
          <w:numId w:val="131"/>
        </w:numPr>
        <w:rPr>
          <w:rFonts w:ascii="Arial" w:cs="Arial" w:eastAsia="Arial" w:hAnsi="Arial"/>
          <w:sz w:val="16"/>
          <w:szCs w:val="16"/>
          <w:color w:val="auto"/>
        </w:rPr>
      </w:pPr>
      <w:r>
        <w:rPr>
          <w:rFonts w:ascii="Arial" w:cs="Arial" w:eastAsia="Arial" w:hAnsi="Arial"/>
          <w:sz w:val="16"/>
          <w:szCs w:val="16"/>
          <w:color w:val="010101"/>
        </w:rPr>
        <w:t>Each of the Company and its Subsidiaries has implemented and maintains in effect policies and procedures reasonably designed to ensure compliance by the Company and its Subsidiaries and, while acting on behalf of the Company or its Subsidiaries, their respective directors, officers, employees and agents with applicable Anti-Corruption Laws, Anti-Money Laundering Laws and Sanctions.</w:t>
      </w:r>
    </w:p>
    <w:p>
      <w:pPr>
        <w:spacing w:after="0" w:line="137" w:lineRule="exact"/>
        <w:rPr>
          <w:rFonts w:ascii="Arial" w:cs="Arial" w:eastAsia="Arial" w:hAnsi="Arial"/>
          <w:sz w:val="16"/>
          <w:szCs w:val="16"/>
          <w:color w:val="auto"/>
        </w:rPr>
      </w:pPr>
    </w:p>
    <w:p>
      <w:pPr>
        <w:jc w:val="both"/>
        <w:ind w:left="20" w:right="20" w:firstLine="487"/>
        <w:spacing w:after="0" w:line="230" w:lineRule="auto"/>
        <w:tabs>
          <w:tab w:leader="none" w:pos="909" w:val="left"/>
        </w:tabs>
        <w:numPr>
          <w:ilvl w:val="0"/>
          <w:numId w:val="131"/>
        </w:numPr>
        <w:rPr>
          <w:rFonts w:ascii="Arial" w:cs="Arial" w:eastAsia="Arial" w:hAnsi="Arial"/>
          <w:sz w:val="16"/>
          <w:szCs w:val="16"/>
          <w:color w:val="auto"/>
        </w:rPr>
      </w:pPr>
      <w:r>
        <w:rPr>
          <w:rFonts w:ascii="Arial" w:cs="Arial" w:eastAsia="Arial" w:hAnsi="Arial"/>
          <w:sz w:val="16"/>
          <w:szCs w:val="16"/>
          <w:color w:val="010101"/>
        </w:rPr>
        <w:t>Each of the Company and its Subsidiaries, and to the knowledge of the Company exercising due care, each director, officer and employee of the Company and each such Subsidiary, while acting on behalf of the Company or Subsidiary, is (i) in material compliance with applicable Anti-Corruption Laws and Anti-Money Laundering Laws and (ii) not in knowing violation of any applicable Sanctions.</w:t>
      </w:r>
    </w:p>
    <w:p>
      <w:pPr>
        <w:spacing w:after="0" w:line="148" w:lineRule="exact"/>
        <w:rPr>
          <w:rFonts w:ascii="Arial" w:cs="Arial" w:eastAsia="Arial" w:hAnsi="Arial"/>
          <w:sz w:val="16"/>
          <w:szCs w:val="16"/>
          <w:color w:val="auto"/>
        </w:rPr>
      </w:pPr>
    </w:p>
    <w:p>
      <w:pPr>
        <w:ind w:left="20" w:right="80" w:firstLine="487"/>
        <w:spacing w:after="0" w:line="220" w:lineRule="auto"/>
        <w:tabs>
          <w:tab w:leader="none" w:pos="909" w:val="left"/>
        </w:tabs>
        <w:numPr>
          <w:ilvl w:val="0"/>
          <w:numId w:val="131"/>
        </w:numPr>
        <w:rPr>
          <w:rFonts w:ascii="Arial" w:cs="Arial" w:eastAsia="Arial" w:hAnsi="Arial"/>
          <w:sz w:val="16"/>
          <w:szCs w:val="16"/>
          <w:color w:val="auto"/>
        </w:rPr>
      </w:pPr>
      <w:r>
        <w:rPr>
          <w:rFonts w:ascii="Arial" w:cs="Arial" w:eastAsia="Arial" w:hAnsi="Arial"/>
          <w:sz w:val="16"/>
          <w:szCs w:val="16"/>
          <w:color w:val="010101"/>
        </w:rPr>
        <w:t>Neither the Company nor any of its Subsidiaries is an “enemy” or an “ally of the enemy” within the meaning of Section 2 of the Trading with the Enemy Act of the United States of America (50 U.S.C. App. §§ 1 et seq.) (the “</w:t>
      </w:r>
      <w:r>
        <w:rPr>
          <w:rFonts w:ascii="Arial" w:cs="Arial" w:eastAsia="Arial" w:hAnsi="Arial"/>
          <w:sz w:val="16"/>
          <w:szCs w:val="16"/>
          <w:u w:val="single" w:color="auto"/>
          <w:color w:val="010101"/>
        </w:rPr>
        <w:t>Trading with the Enemy Act</w:t>
      </w:r>
      <w:r>
        <w:rPr>
          <w:rFonts w:ascii="Arial" w:cs="Arial" w:eastAsia="Arial" w:hAnsi="Arial"/>
          <w:sz w:val="16"/>
          <w:szCs w:val="16"/>
          <w:color w:val="010101"/>
        </w:rPr>
        <w:t>”), as amended. Neither the Company nor any of its Subsidiaries is in violation of (a) the Trading with the Enemy Act, as amended, (b) any of the foreign assets control regulations of the United States Department of the Treasury (31 CFR, Subtitle B, Chapter V, as amended) or any enabling legislation or executive order relating thereto or (c) the Patriot Act. None of the Credit Parties (i) is a blocked person described in Section 1 of the Anti-Terrorism Order or (ii) to its knowledge exercising due care, engages in any dealings or transactions, or is otherwise associated, with any such blocked person in violation of Sanctions.</w:t>
      </w:r>
    </w:p>
    <w:p>
      <w:pPr>
        <w:spacing w:after="0" w:line="150" w:lineRule="exact"/>
        <w:rPr>
          <w:rFonts w:ascii="Arial" w:cs="Arial" w:eastAsia="Arial" w:hAnsi="Arial"/>
          <w:sz w:val="16"/>
          <w:szCs w:val="16"/>
          <w:color w:val="auto"/>
        </w:rPr>
      </w:pPr>
    </w:p>
    <w:p>
      <w:pPr>
        <w:jc w:val="both"/>
        <w:ind w:left="20" w:right="40" w:firstLine="487"/>
        <w:spacing w:after="0" w:line="230" w:lineRule="auto"/>
        <w:tabs>
          <w:tab w:leader="none" w:pos="909" w:val="left"/>
        </w:tabs>
        <w:numPr>
          <w:ilvl w:val="0"/>
          <w:numId w:val="131"/>
        </w:numPr>
        <w:rPr>
          <w:rFonts w:ascii="Arial" w:cs="Arial" w:eastAsia="Arial" w:hAnsi="Arial"/>
          <w:sz w:val="16"/>
          <w:szCs w:val="16"/>
          <w:color w:val="auto"/>
        </w:rPr>
      </w:pPr>
      <w:r>
        <w:rPr>
          <w:rFonts w:ascii="Arial" w:cs="Arial" w:eastAsia="Arial" w:hAnsi="Arial"/>
          <w:sz w:val="16"/>
          <w:szCs w:val="16"/>
          <w:color w:val="010101"/>
        </w:rPr>
        <w:t>The Company or its Subsidiaries are the owner of, or have a valid leasehold interest in, all of their respective real and personal property material to the conduct of the business of the Company and its Subsidiaries, taken as a whole, and none of such assets is subject to any Lien other than Permitted Liens or Liens permitted by Section 5.02(a).</w:t>
      </w:r>
    </w:p>
    <w:p>
      <w:pPr>
        <w:spacing w:after="0" w:line="137" w:lineRule="exact"/>
        <w:rPr>
          <w:rFonts w:ascii="Arial" w:cs="Arial" w:eastAsia="Arial" w:hAnsi="Arial"/>
          <w:sz w:val="16"/>
          <w:szCs w:val="16"/>
          <w:color w:val="auto"/>
        </w:rPr>
      </w:pPr>
    </w:p>
    <w:p>
      <w:pPr>
        <w:ind w:left="20" w:right="480" w:firstLine="487"/>
        <w:spacing w:after="0" w:line="239" w:lineRule="auto"/>
        <w:tabs>
          <w:tab w:leader="none" w:pos="909" w:val="left"/>
        </w:tabs>
        <w:numPr>
          <w:ilvl w:val="0"/>
          <w:numId w:val="131"/>
        </w:numPr>
        <w:rPr>
          <w:rFonts w:ascii="Arial" w:cs="Arial" w:eastAsia="Arial" w:hAnsi="Arial"/>
          <w:sz w:val="16"/>
          <w:szCs w:val="16"/>
          <w:color w:val="auto"/>
        </w:rPr>
      </w:pPr>
      <w:r>
        <w:rPr>
          <w:rFonts w:ascii="Arial" w:cs="Arial" w:eastAsia="Arial" w:hAnsi="Arial"/>
          <w:sz w:val="16"/>
          <w:szCs w:val="16"/>
          <w:color w:val="010101"/>
        </w:rPr>
        <w:t>Each of the Credit Parties and its Subsidiaries has filed, or caused to be filed, all income Tax returns and all other Tax returns (federal, state, local and foreign) required to be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40" w:name="page141"/>
    <w:bookmarkEnd w:id="140"/>
    <w:p>
      <w:pPr>
        <w:ind w:left="20" w:right="20"/>
        <w:spacing w:after="0" w:line="222" w:lineRule="auto"/>
        <w:rPr>
          <w:sz w:val="20"/>
          <w:szCs w:val="20"/>
          <w:color w:val="auto"/>
        </w:rPr>
      </w:pPr>
      <w:r>
        <w:rPr>
          <w:rFonts w:ascii="Arial" w:cs="Arial" w:eastAsia="Arial" w:hAnsi="Arial"/>
          <w:sz w:val="16"/>
          <w:szCs w:val="16"/>
          <w:color w:val="010101"/>
        </w:rPr>
        <w:t>filed and paid (</w:t>
      </w:r>
      <w:r>
        <w:rPr>
          <w:rFonts w:ascii="Arial" w:cs="Arial" w:eastAsia="Arial" w:hAnsi="Arial"/>
          <w:sz w:val="16"/>
          <w:szCs w:val="16"/>
          <w:color w:val="FF0000"/>
          <w:strike w:val="1"/>
        </w:rPr>
        <w:t>a</w:t>
      </w:r>
      <w:r>
        <w:rPr>
          <w:rFonts w:ascii="Arial" w:cs="Arial" w:eastAsia="Arial" w:hAnsi="Arial"/>
          <w:sz w:val="16"/>
          <w:szCs w:val="16"/>
          <w:b w:val="1"/>
          <w:bCs w:val="1"/>
          <w:u w:val="single" w:color="auto"/>
          <w:color w:val="0000FF"/>
        </w:rPr>
        <w:t>a</w:t>
      </w:r>
      <w:r>
        <w:rPr>
          <w:rFonts w:ascii="Arial" w:cs="Arial" w:eastAsia="Arial" w:hAnsi="Arial"/>
          <w:sz w:val="16"/>
          <w:szCs w:val="16"/>
          <w:color w:val="010101"/>
        </w:rPr>
        <w:t>) all amounts of Taxes shown thereon to be due (including interest and penalties) and (</w:t>
      </w:r>
      <w:r>
        <w:rPr>
          <w:rFonts w:ascii="Arial" w:cs="Arial" w:eastAsia="Arial" w:hAnsi="Arial"/>
          <w:sz w:val="16"/>
          <w:szCs w:val="16"/>
          <w:color w:val="FF0000"/>
          <w:strike w:val="1"/>
        </w:rPr>
        <w:t>b</w:t>
      </w:r>
      <w:r>
        <w:rPr>
          <w:rFonts w:ascii="Arial" w:cs="Arial" w:eastAsia="Arial" w:hAnsi="Arial"/>
          <w:sz w:val="16"/>
          <w:szCs w:val="16"/>
          <w:b w:val="1"/>
          <w:bCs w:val="1"/>
          <w:u w:val="single" w:color="auto"/>
          <w:color w:val="0000FF"/>
        </w:rPr>
        <w:t>b</w:t>
      </w:r>
      <w:r>
        <w:rPr>
          <w:rFonts w:ascii="Arial" w:cs="Arial" w:eastAsia="Arial" w:hAnsi="Arial"/>
          <w:sz w:val="16"/>
          <w:szCs w:val="16"/>
          <w:color w:val="010101"/>
        </w:rPr>
        <w:t>) all other Taxes, fees, assessments and other governmental charges (including mortgage recording Taxes, documentary stamp Taxes and intangibles Taxes) owing by it, except</w:t>
      </w:r>
    </w:p>
    <w:p>
      <w:pPr>
        <w:spacing w:after="0" w:line="1" w:lineRule="exact"/>
        <w:rPr>
          <w:sz w:val="20"/>
          <w:szCs w:val="20"/>
          <w:color w:val="auto"/>
        </w:rPr>
      </w:pPr>
    </w:p>
    <w:p>
      <w:pPr>
        <w:jc w:val="both"/>
        <w:ind w:left="20" w:right="20" w:firstLine="2"/>
        <w:spacing w:after="0" w:line="224" w:lineRule="auto"/>
        <w:tabs>
          <w:tab w:leader="none" w:pos="239" w:val="left"/>
        </w:tabs>
        <w:numPr>
          <w:ilvl w:val="0"/>
          <w:numId w:val="132"/>
        </w:numPr>
        <w:rPr>
          <w:rFonts w:ascii="Arial" w:cs="Arial" w:eastAsia="Arial" w:hAnsi="Arial"/>
          <w:sz w:val="16"/>
          <w:szCs w:val="16"/>
          <w:color w:val="010101"/>
        </w:rPr>
      </w:pPr>
      <w:r>
        <w:rPr>
          <w:rFonts w:ascii="Arial" w:cs="Arial" w:eastAsia="Arial" w:hAnsi="Arial"/>
          <w:sz w:val="16"/>
          <w:szCs w:val="16"/>
          <w:color w:val="010101"/>
        </w:rPr>
        <w:t>Taxes that are not yet delinquent, (ii) Taxes that are being contested in good faith and by proper proceedings, and against which adequate reserves are being maintained in accordance with GAAP or (iii) to the extent that failure to do so would not reasonably be expected, individually or in the aggregate, to result in a Material Adverse Effect.</w:t>
      </w:r>
    </w:p>
    <w:p>
      <w:pPr>
        <w:spacing w:after="0" w:line="147" w:lineRule="exact"/>
        <w:rPr>
          <w:rFonts w:ascii="Arial" w:cs="Arial" w:eastAsia="Arial" w:hAnsi="Arial"/>
          <w:sz w:val="16"/>
          <w:szCs w:val="16"/>
          <w:color w:val="010101"/>
        </w:rPr>
      </w:pPr>
    </w:p>
    <w:p>
      <w:pPr>
        <w:jc w:val="both"/>
        <w:ind w:left="20" w:firstLine="487"/>
        <w:spacing w:after="0" w:line="229" w:lineRule="auto"/>
        <w:tabs>
          <w:tab w:leader="none" w:pos="909" w:val="left"/>
        </w:tabs>
        <w:numPr>
          <w:ilvl w:val="1"/>
          <w:numId w:val="132"/>
        </w:numPr>
        <w:rPr>
          <w:rFonts w:ascii="Arial" w:cs="Arial" w:eastAsia="Arial" w:hAnsi="Arial"/>
          <w:sz w:val="15"/>
          <w:szCs w:val="15"/>
          <w:color w:val="auto"/>
        </w:rPr>
      </w:pPr>
      <w:r>
        <w:rPr>
          <w:rFonts w:ascii="Arial" w:cs="Arial" w:eastAsia="Arial" w:hAnsi="Arial"/>
          <w:sz w:val="15"/>
          <w:szCs w:val="15"/>
          <w:color w:val="010101"/>
        </w:rPr>
        <w:t>Except as disclosed and except for instances that would not reasonably be expected, individually or in the aggregate, to have a Material Adverse Effect, (i) the facilities and properties owned, leased or operated by the Credit Parties or any of their Subsidiaries (the “</w:t>
      </w:r>
      <w:r>
        <w:rPr>
          <w:rFonts w:ascii="Arial" w:cs="Arial" w:eastAsia="Arial" w:hAnsi="Arial"/>
          <w:sz w:val="15"/>
          <w:szCs w:val="15"/>
          <w:u w:val="single" w:color="auto"/>
          <w:color w:val="010101"/>
        </w:rPr>
        <w:t>Properties</w:t>
      </w:r>
      <w:r>
        <w:rPr>
          <w:rFonts w:ascii="Arial" w:cs="Arial" w:eastAsia="Arial" w:hAnsi="Arial"/>
          <w:sz w:val="15"/>
          <w:szCs w:val="15"/>
          <w:color w:val="010101"/>
        </w:rPr>
        <w:t>”) are not contaminated with any Hazardous Materials in amounts or concentrations which (y) constitute a violation of, or (z) would reasonably be expected to subject any Credit Party to liability under any Environmental Law, (ii) the operations of the Credit Parties and/or their Subsidiaries at the Properties are in compliance, and have in the last five years been in compliance, with all Environmental Laws, (iii) neither the Credit Parties nor their Subsidiaries have received any unresolved written notice alleging responsibility for a violation, non-compliance, liability or potential liability of any Credit Party under Environmental Laws regarding any of the Properties or the Business, nor do the Credit Parties or their Subsidiaries have knowledge that any such notice will be received or is being threatened, (iv) to the knowledge of the Credit Parties, Hazardous Materials have not been transported or disposed of by or on behalf of any Credit Party in violation of, or in a manner that could reasonably be expected to give rise to liability on behalf of any Credit Party, under any Environmental Law, and no Hazardous Materials have been generated, treated, stored or disposed of at, on or under any of the Properties in violation of, or in a manner that would reasonably be expected to give rise to liability on behalf of any Credit Party under, any Environmental Law and (v) no judicial proceeding or governmental or administrative action is pending or, to the knowledge of the Credit Parties and their Subsidiaries, threatened, under any Environmental Law to which any Credit Party or any Subsidiary is or is expected to be named as a party with respect to the Properties or the business operated by the Credit Parties or any of their Subsidiaries, nor is any Credit Party or Subsidiary a party to any outstanding consent decrees or other decrees, consent orders, administrative orders or other orders, in each case, by or with any governmental entity, under any Environmental Law with respect to the Properties or the business operated by the Credit Parties or any of their Subsidiaries.</w:t>
      </w:r>
    </w:p>
    <w:p>
      <w:pPr>
        <w:spacing w:after="0" w:line="148" w:lineRule="exact"/>
        <w:rPr>
          <w:rFonts w:ascii="Arial" w:cs="Arial" w:eastAsia="Arial" w:hAnsi="Arial"/>
          <w:sz w:val="15"/>
          <w:szCs w:val="15"/>
          <w:color w:val="auto"/>
        </w:rPr>
      </w:pPr>
    </w:p>
    <w:p>
      <w:pPr>
        <w:jc w:val="both"/>
        <w:ind w:left="20" w:right="20" w:firstLine="487"/>
        <w:spacing w:after="0" w:line="214" w:lineRule="auto"/>
        <w:tabs>
          <w:tab w:leader="none" w:pos="909" w:val="left"/>
        </w:tabs>
        <w:numPr>
          <w:ilvl w:val="1"/>
          <w:numId w:val="132"/>
        </w:numPr>
        <w:rPr>
          <w:rFonts w:ascii="Arial" w:cs="Arial" w:eastAsia="Arial" w:hAnsi="Arial"/>
          <w:sz w:val="16"/>
          <w:szCs w:val="16"/>
          <w:color w:val="auto"/>
        </w:rPr>
      </w:pPr>
      <w:r>
        <w:rPr>
          <w:rFonts w:ascii="Arial" w:cs="Arial" w:eastAsia="Arial" w:hAnsi="Arial"/>
          <w:sz w:val="16"/>
          <w:szCs w:val="16"/>
          <w:color w:val="010101"/>
        </w:rPr>
        <w:t>Except as would not reasonably be expected, individually or in the aggregate, to have a Material Adverse Effect, (i) no ERISA Event has occurred during the five-year period prior to the date on which this representation is made or deemed made with respect to any Plan and (ii) neither any Borrower nor any of its ERISA Affiliates is currently subject to any liability for a complete or partial withdrawal from a Multiemployer Plan. The present value of all accrued benefits under all Single Employer Plans taken in the aggregate (based on the assumptions used to fund such Plans) did not, as of the last annual valuation date prior to the date on which this representation is being made or deemed made, exceed by greater than</w:t>
      </w:r>
    </w:p>
    <w:p>
      <w:pPr>
        <w:spacing w:after="0" w:line="2"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010101"/>
        </w:rPr>
        <w:t>$35,000,000 the value of the assets of such Plans taken in the aggregate allocable to such accrued benefits.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79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1" w:right="499" w:bottom="1440" w:gutter="0" w:footer="0" w:header="0"/>
        </w:sectPr>
      </w:pPr>
    </w:p>
    <w:bookmarkStart w:id="141" w:name="page142"/>
    <w:bookmarkEnd w:id="141"/>
    <w:p>
      <w:pPr>
        <w:jc w:val="both"/>
        <w:ind w:left="20" w:firstLine="487"/>
        <w:spacing w:after="0" w:line="230" w:lineRule="auto"/>
        <w:tabs>
          <w:tab w:leader="none" w:pos="910" w:val="left"/>
        </w:tabs>
        <w:numPr>
          <w:ilvl w:val="0"/>
          <w:numId w:val="133"/>
        </w:numPr>
        <w:rPr>
          <w:rFonts w:ascii="Arial" w:cs="Arial" w:eastAsia="Arial" w:hAnsi="Arial"/>
          <w:sz w:val="16"/>
          <w:szCs w:val="16"/>
          <w:color w:val="auto"/>
        </w:rPr>
      </w:pPr>
      <w:r>
        <w:rPr>
          <w:rFonts w:ascii="Arial" w:cs="Arial" w:eastAsia="Arial" w:hAnsi="Arial"/>
          <w:sz w:val="16"/>
          <w:szCs w:val="16"/>
          <w:color w:val="010101"/>
        </w:rPr>
        <w:t>Except as would not reasonably be expected, individually or in the aggregate, to have a Material Adverse Effect, (i) there are no strikes, walkouts, work stoppages or other labor difficulty pending or, to the knowledge of any Credit Party, threatened against any Credit Party and (ii) no unfair labor practice complaint is pending against any Credit Party or any of its Subsidiaries.</w:t>
      </w:r>
    </w:p>
    <w:p>
      <w:pPr>
        <w:spacing w:after="0" w:line="148" w:lineRule="exact"/>
        <w:rPr>
          <w:rFonts w:ascii="Arial" w:cs="Arial" w:eastAsia="Arial" w:hAnsi="Arial"/>
          <w:sz w:val="16"/>
          <w:szCs w:val="16"/>
          <w:color w:val="auto"/>
        </w:rPr>
      </w:pPr>
    </w:p>
    <w:p>
      <w:pPr>
        <w:ind w:left="920" w:hanging="413"/>
        <w:spacing w:after="0"/>
        <w:tabs>
          <w:tab w:leader="none" w:pos="920" w:val="left"/>
        </w:tabs>
        <w:numPr>
          <w:ilvl w:val="0"/>
          <w:numId w:val="133"/>
        </w:numPr>
        <w:rPr>
          <w:rFonts w:ascii="Arial" w:cs="Arial" w:eastAsia="Arial" w:hAnsi="Arial"/>
          <w:sz w:val="15"/>
          <w:szCs w:val="15"/>
          <w:color w:val="auto"/>
        </w:rPr>
      </w:pPr>
      <w:r>
        <w:rPr>
          <w:rFonts w:ascii="Arial" w:cs="Arial" w:eastAsia="Arial" w:hAnsi="Arial"/>
          <w:sz w:val="15"/>
          <w:szCs w:val="15"/>
          <w:color w:val="010101"/>
        </w:rPr>
        <w:t>As of the Effective Date, each Material Contract is, after giving effect to the transactions contemplated to occur on the Effective Date, in full force and</w:t>
      </w:r>
    </w:p>
    <w:p>
      <w:pPr>
        <w:spacing w:after="0" w:line="3"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6"/>
          <w:szCs w:val="16"/>
          <w:color w:val="010101"/>
        </w:rPr>
        <w:t>effect.</w:t>
      </w:r>
    </w:p>
    <w:p>
      <w:pPr>
        <w:spacing w:after="0" w:line="155" w:lineRule="exact"/>
        <w:rPr>
          <w:rFonts w:ascii="Arial" w:cs="Arial" w:eastAsia="Arial" w:hAnsi="Arial"/>
          <w:sz w:val="15"/>
          <w:szCs w:val="15"/>
          <w:color w:val="auto"/>
        </w:rPr>
      </w:pPr>
    </w:p>
    <w:p>
      <w:pPr>
        <w:ind w:left="1000" w:hanging="493"/>
        <w:spacing w:after="0"/>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010101"/>
        </w:rPr>
        <w:t>No Credit Party is an Affected Financial Institution.</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ARTICLE V</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010101"/>
        </w:rPr>
        <w:t>COVENANTS OF THE CREDIT PARTIES</w:t>
      </w:r>
    </w:p>
    <w:p>
      <w:pPr>
        <w:spacing w:after="0" w:line="17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5.01.</w:t>
      </w:r>
      <w:r>
        <w:rPr>
          <w:sz w:val="20"/>
          <w:szCs w:val="20"/>
          <w:color w:val="auto"/>
        </w:rPr>
        <w:tab/>
      </w:r>
      <w:r>
        <w:rPr>
          <w:rFonts w:ascii="Arial" w:cs="Arial" w:eastAsia="Arial" w:hAnsi="Arial"/>
          <w:sz w:val="15"/>
          <w:szCs w:val="15"/>
          <w:u w:val="single" w:color="auto"/>
          <w:color w:val="010101"/>
        </w:rPr>
        <w:t>Affirmative Covenants</w:t>
      </w:r>
    </w:p>
    <w:p>
      <w:pPr>
        <w:spacing w:after="0" w:line="170" w:lineRule="exact"/>
        <w:rPr>
          <w:sz w:val="20"/>
          <w:szCs w:val="20"/>
          <w:color w:val="auto"/>
        </w:rPr>
      </w:pPr>
    </w:p>
    <w:p>
      <w:pPr>
        <w:ind w:left="20" w:firstLine="487"/>
        <w:spacing w:after="0" w:line="271" w:lineRule="auto"/>
        <w:tabs>
          <w:tab w:leader="none" w:pos="590" w:val="left"/>
        </w:tabs>
        <w:numPr>
          <w:ilvl w:val="0"/>
          <w:numId w:val="134"/>
        </w:numPr>
        <w:rPr>
          <w:rFonts w:ascii="Arial" w:cs="Arial" w:eastAsia="Arial" w:hAnsi="Arial"/>
          <w:sz w:val="15"/>
          <w:szCs w:val="15"/>
          <w:color w:val="010101"/>
        </w:rPr>
      </w:pPr>
      <w:r>
        <w:rPr>
          <w:rFonts w:ascii="Arial" w:cs="Arial" w:eastAsia="Arial" w:hAnsi="Arial"/>
          <w:sz w:val="15"/>
          <w:szCs w:val="15"/>
          <w:color w:val="010101"/>
        </w:rPr>
        <w:t>So long as any Advance shall remain unpaid, all Letters of Credit have not yet been terminated or expired (unless Cash Collateralized or otherwise provided for in a manner reasonably satisfactory to the applicable Issuing Lender), or any Lender shall have any Commitment hereunder, each of the Credit Parties will:</w:t>
      </w:r>
    </w:p>
    <w:p>
      <w:pPr>
        <w:spacing w:after="0" w:line="116" w:lineRule="exact"/>
        <w:rPr>
          <w:sz w:val="20"/>
          <w:szCs w:val="20"/>
          <w:color w:val="auto"/>
        </w:rPr>
      </w:pPr>
    </w:p>
    <w:p>
      <w:pPr>
        <w:jc w:val="both"/>
        <w:ind w:left="20" w:firstLine="487"/>
        <w:spacing w:after="0" w:line="252" w:lineRule="auto"/>
        <w:tabs>
          <w:tab w:leader="none" w:pos="910" w:val="left"/>
        </w:tabs>
        <w:numPr>
          <w:ilvl w:val="0"/>
          <w:numId w:val="135"/>
        </w:numPr>
        <w:rPr>
          <w:rFonts w:ascii="Arial" w:cs="Arial" w:eastAsia="Arial" w:hAnsi="Arial"/>
          <w:sz w:val="14"/>
          <w:szCs w:val="14"/>
          <w:color w:val="auto"/>
        </w:rPr>
      </w:pPr>
      <w:r>
        <w:rPr>
          <w:rFonts w:ascii="Arial" w:cs="Arial" w:eastAsia="Arial" w:hAnsi="Arial"/>
          <w:sz w:val="14"/>
          <w:szCs w:val="14"/>
          <w:u w:val="single" w:color="auto"/>
          <w:color w:val="010101"/>
        </w:rPr>
        <w:t>Compliance with Laws, Etc.</w:t>
      </w:r>
      <w:r>
        <w:rPr>
          <w:rFonts w:ascii="Arial" w:cs="Arial" w:eastAsia="Arial" w:hAnsi="Arial"/>
          <w:sz w:val="14"/>
          <w:szCs w:val="14"/>
          <w:color w:val="010101"/>
        </w:rPr>
        <w:t xml:space="preserve"> Comply, and cause each of its Subsidiaries to comply, in all material respects, with all Applicable Laws, rules, regulations and orders, such compliance to include, without limitation, compliance with ERISA and Environmental Laws and, in the case of any Credit Party incorporated under the laws of the Commonwealth of Australia, Chapter 2E and Part 2J.3 of the Corporations Act 2001 (Cwlth), except, in each case, to the extent that any failures to so comply, individually or in the aggregate, would not be reasonably likely to have a Material Adverse Effect;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however</w:t>
      </w:r>
      <w:r>
        <w:rPr>
          <w:rFonts w:ascii="Arial" w:cs="Arial" w:eastAsia="Arial" w:hAnsi="Arial"/>
          <w:sz w:val="14"/>
          <w:szCs w:val="14"/>
          <w:color w:val="010101"/>
        </w:rPr>
        <w:t>, that neither the Company nor any of its Subsidiaries shall be required to comply with any law, rule, regulation or order to the extent it is being contested in good faith and by proper proceedings and as to which appropriate reserves are being maintained. The Company shall maintain, and cause each of its Subsidiaries to maintain, policies and procedures reasonably designed to ensure (i) it is in material compliance with applicable Anti-Corruption Laws and (ii) it is not in knowing, while exercising due care, violation of any applicable Sanctions.</w:t>
      </w:r>
    </w:p>
    <w:p>
      <w:pPr>
        <w:spacing w:after="0" w:line="140" w:lineRule="exact"/>
        <w:rPr>
          <w:rFonts w:ascii="Arial" w:cs="Arial" w:eastAsia="Arial" w:hAnsi="Arial"/>
          <w:sz w:val="14"/>
          <w:szCs w:val="14"/>
          <w:color w:val="auto"/>
        </w:rPr>
      </w:pPr>
    </w:p>
    <w:p>
      <w:pPr>
        <w:jc w:val="both"/>
        <w:ind w:left="20" w:firstLine="487"/>
        <w:spacing w:after="0" w:line="225" w:lineRule="auto"/>
        <w:tabs>
          <w:tab w:leader="none" w:pos="909"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010101"/>
        </w:rPr>
        <w:t>Payment of Taxes, Etc.</w:t>
      </w:r>
      <w:r>
        <w:rPr>
          <w:rFonts w:ascii="Arial" w:cs="Arial" w:eastAsia="Arial" w:hAnsi="Arial"/>
          <w:sz w:val="16"/>
          <w:szCs w:val="16"/>
          <w:color w:val="010101"/>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however</w:t>
      </w:r>
      <w:r>
        <w:rPr>
          <w:rFonts w:ascii="Arial" w:cs="Arial" w:eastAsia="Arial" w:hAnsi="Arial"/>
          <w:sz w:val="16"/>
          <w:szCs w:val="16"/>
          <w:color w:val="010101"/>
        </w:rPr>
        <w:t>, that neither the Company nor any of its Subsidiaries shall be required to pay or discharge any such Tax, assessment, charge or claim that is being contested in good faith and by proper proceedings and as to which appropriate reserves are being maintained.</w:t>
      </w:r>
    </w:p>
    <w:p>
      <w:pPr>
        <w:spacing w:after="0" w:line="148" w:lineRule="exact"/>
        <w:rPr>
          <w:rFonts w:ascii="Arial" w:cs="Arial" w:eastAsia="Arial" w:hAnsi="Arial"/>
          <w:sz w:val="16"/>
          <w:szCs w:val="16"/>
          <w:color w:val="auto"/>
        </w:rPr>
      </w:pPr>
    </w:p>
    <w:p>
      <w:pPr>
        <w:jc w:val="both"/>
        <w:ind w:left="20" w:firstLine="487"/>
        <w:spacing w:after="0" w:line="230" w:lineRule="auto"/>
        <w:tabs>
          <w:tab w:leader="none" w:pos="91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010101"/>
        </w:rPr>
        <w:t>Maintenance of Insurance</w:t>
      </w:r>
      <w:r>
        <w:rPr>
          <w:rFonts w:ascii="Arial" w:cs="Arial" w:eastAsia="Arial" w:hAnsi="Arial"/>
          <w:sz w:val="16"/>
          <w:szCs w:val="16"/>
          <w:color w:val="010101"/>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each Credit Party or such Significant Subsidiary operates.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42" w:name="page143"/>
    <w:bookmarkEnd w:id="142"/>
    <w:p>
      <w:pPr>
        <w:jc w:val="both"/>
        <w:ind w:left="20" w:firstLine="487"/>
        <w:spacing w:after="0" w:line="230" w:lineRule="auto"/>
        <w:tabs>
          <w:tab w:leader="none" w:pos="90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010101"/>
        </w:rPr>
        <w:t>Preservation of Corporate Existence, Etc</w:t>
      </w:r>
      <w:r>
        <w:rPr>
          <w:rFonts w:ascii="Arial" w:cs="Arial" w:eastAsia="Arial" w:hAnsi="Arial"/>
          <w:sz w:val="16"/>
          <w:szCs w:val="16"/>
          <w:color w:val="010101"/>
        </w:rPr>
        <w:t xml:space="preserve">. Preserve and maintain its corporate or other legal existence, rights (charter and statutory) and franchises if the loss or failure to maintain the same would, individually or in the aggregate, be reasonably likely to have a Material Adverse Effect;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however</w:t>
      </w:r>
      <w:r>
        <w:rPr>
          <w:rFonts w:ascii="Arial" w:cs="Arial" w:eastAsia="Arial" w:hAnsi="Arial"/>
          <w:sz w:val="16"/>
          <w:szCs w:val="16"/>
          <w:color w:val="010101"/>
        </w:rPr>
        <w:t>, that the Company or any of its Subsidiaries may consummate any merger, consolidation or other transaction permitted under Section 5.02(b).</w:t>
      </w:r>
    </w:p>
    <w:p>
      <w:pPr>
        <w:spacing w:after="0" w:line="148" w:lineRule="exact"/>
        <w:rPr>
          <w:rFonts w:ascii="Arial" w:cs="Arial" w:eastAsia="Arial" w:hAnsi="Arial"/>
          <w:sz w:val="16"/>
          <w:szCs w:val="16"/>
          <w:color w:val="auto"/>
        </w:rPr>
      </w:pPr>
    </w:p>
    <w:p>
      <w:pPr>
        <w:jc w:val="both"/>
        <w:ind w:left="20" w:firstLine="487"/>
        <w:spacing w:after="0" w:line="257" w:lineRule="auto"/>
        <w:tabs>
          <w:tab w:leader="none" w:pos="910" w:val="left"/>
        </w:tabs>
        <w:numPr>
          <w:ilvl w:val="0"/>
          <w:numId w:val="136"/>
        </w:numPr>
        <w:rPr>
          <w:rFonts w:ascii="Arial" w:cs="Arial" w:eastAsia="Arial" w:hAnsi="Arial"/>
          <w:sz w:val="14"/>
          <w:szCs w:val="14"/>
          <w:color w:val="auto"/>
        </w:rPr>
      </w:pPr>
      <w:r>
        <w:rPr>
          <w:rFonts w:ascii="Arial" w:cs="Arial" w:eastAsia="Arial" w:hAnsi="Arial"/>
          <w:sz w:val="14"/>
          <w:szCs w:val="14"/>
          <w:u w:val="single" w:color="auto"/>
          <w:color w:val="010101"/>
        </w:rPr>
        <w:t>Visitation Rights</w:t>
      </w:r>
      <w:r>
        <w:rPr>
          <w:rFonts w:ascii="Arial" w:cs="Arial" w:eastAsia="Arial" w:hAnsi="Arial"/>
          <w:sz w:val="14"/>
          <w:szCs w:val="14"/>
          <w:color w:val="010101"/>
        </w:rPr>
        <w:t>. At any reasonable time and from time to time on reasonable notice and at reasonable intervals, permit the Administrative Agent or any of the Lenders, or any agents or representatives thereof, to visit the properties of the Company and any of its Subsidiaries and to discuss the affairs, finances and accounts of the Company and any of its Subsidiaries with any of their officers or directors and, during the continuance of any Default, to examine and make copies of and abstracts from the records and books of account of the Company and any of its Subsidiaries and (provided that an officer or officers of the Company are afforded a reasonable opportunity to be present) to discuss the affairs, finances and accounts of the Company and any of its Subsidiaries with their independent certified public accountants.</w:t>
      </w:r>
    </w:p>
    <w:p>
      <w:pPr>
        <w:spacing w:after="0" w:line="138" w:lineRule="exact"/>
        <w:rPr>
          <w:rFonts w:ascii="Arial" w:cs="Arial" w:eastAsia="Arial" w:hAnsi="Arial"/>
          <w:sz w:val="14"/>
          <w:szCs w:val="14"/>
          <w:color w:val="auto"/>
        </w:rPr>
      </w:pPr>
    </w:p>
    <w:p>
      <w:pPr>
        <w:jc w:val="both"/>
        <w:ind w:left="20" w:firstLine="487"/>
        <w:spacing w:after="0" w:line="230" w:lineRule="auto"/>
        <w:tabs>
          <w:tab w:leader="none" w:pos="90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010101"/>
        </w:rPr>
        <w:t>Keeping of Books</w:t>
      </w:r>
      <w:r>
        <w:rPr>
          <w:rFonts w:ascii="Arial" w:cs="Arial" w:eastAsia="Arial" w:hAnsi="Arial"/>
          <w:sz w:val="16"/>
          <w:szCs w:val="16"/>
          <w:color w:val="010101"/>
        </w:rPr>
        <w:t>. Keep, and cause each of its Subsidiaries to keep, proper books of record and account, in which entries shall be made of all financial transactions and the assets and business of the Company and each such Subsidiary in accordance with generally accepted accounting principles in effect from time to time.</w:t>
      </w:r>
    </w:p>
    <w:p>
      <w:pPr>
        <w:spacing w:after="0" w:line="137" w:lineRule="exact"/>
        <w:rPr>
          <w:rFonts w:ascii="Arial" w:cs="Arial" w:eastAsia="Arial" w:hAnsi="Arial"/>
          <w:sz w:val="16"/>
          <w:szCs w:val="16"/>
          <w:color w:val="auto"/>
        </w:rPr>
      </w:pPr>
    </w:p>
    <w:p>
      <w:pPr>
        <w:jc w:val="both"/>
        <w:ind w:left="20" w:right="20" w:firstLine="487"/>
        <w:spacing w:after="0" w:line="230" w:lineRule="auto"/>
        <w:tabs>
          <w:tab w:leader="none" w:pos="90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010101"/>
        </w:rPr>
        <w:t>Maintenance of Properties, Etc.</w:t>
      </w:r>
      <w:r>
        <w:rPr>
          <w:rFonts w:ascii="Arial" w:cs="Arial" w:eastAsia="Arial" w:hAnsi="Arial"/>
          <w:sz w:val="16"/>
          <w:szCs w:val="16"/>
          <w:color w:val="010101"/>
        </w:rPr>
        <w:t xml:space="preserve">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48" w:lineRule="exact"/>
        <w:rPr>
          <w:rFonts w:ascii="Arial" w:cs="Arial" w:eastAsia="Arial" w:hAnsi="Arial"/>
          <w:sz w:val="16"/>
          <w:szCs w:val="16"/>
          <w:color w:val="auto"/>
        </w:rPr>
      </w:pPr>
    </w:p>
    <w:p>
      <w:pPr>
        <w:ind w:left="20" w:right="20" w:firstLine="487"/>
        <w:spacing w:after="0" w:line="239" w:lineRule="auto"/>
        <w:tabs>
          <w:tab w:leader="none" w:pos="90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010101"/>
        </w:rPr>
        <w:t>Primary Business</w:t>
      </w:r>
      <w:r>
        <w:rPr>
          <w:rFonts w:ascii="Arial" w:cs="Arial" w:eastAsia="Arial" w:hAnsi="Arial"/>
          <w:sz w:val="16"/>
          <w:szCs w:val="16"/>
          <w:color w:val="010101"/>
        </w:rPr>
        <w:t>. Continue to be engaged primarily in lines of business as carried on at the date hereof or lines of business related, complementary or ancillary thereto.</w:t>
      </w:r>
    </w:p>
    <w:p>
      <w:pPr>
        <w:spacing w:after="0" w:line="148" w:lineRule="exact"/>
        <w:rPr>
          <w:rFonts w:ascii="Arial" w:cs="Arial" w:eastAsia="Arial" w:hAnsi="Arial"/>
          <w:sz w:val="16"/>
          <w:szCs w:val="16"/>
          <w:color w:val="auto"/>
        </w:rPr>
      </w:pPr>
    </w:p>
    <w:p>
      <w:pPr>
        <w:ind w:left="920" w:hanging="413"/>
        <w:spacing w:after="0"/>
        <w:tabs>
          <w:tab w:leader="none" w:pos="92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010101"/>
        </w:rPr>
        <w:t>Reporting Requirements</w:t>
      </w:r>
      <w:r>
        <w:rPr>
          <w:rFonts w:ascii="Arial" w:cs="Arial" w:eastAsia="Arial" w:hAnsi="Arial"/>
          <w:sz w:val="16"/>
          <w:szCs w:val="16"/>
          <w:color w:val="010101"/>
        </w:rPr>
        <w:t>. Furnish to the Administrative Agent (who shall furnish to the Lenders):</w:t>
      </w:r>
    </w:p>
    <w:p>
      <w:pPr>
        <w:spacing w:after="0" w:line="159" w:lineRule="exact"/>
        <w:rPr>
          <w:rFonts w:ascii="Arial" w:cs="Arial" w:eastAsia="Arial" w:hAnsi="Arial"/>
          <w:sz w:val="16"/>
          <w:szCs w:val="16"/>
          <w:color w:val="auto"/>
        </w:rPr>
      </w:pPr>
    </w:p>
    <w:p>
      <w:pPr>
        <w:jc w:val="both"/>
        <w:ind w:left="500" w:right="20" w:firstLine="492"/>
        <w:spacing w:after="0" w:line="219" w:lineRule="auto"/>
        <w:tabs>
          <w:tab w:leader="none" w:pos="1389" w:val="left"/>
        </w:tabs>
        <w:numPr>
          <w:ilvl w:val="1"/>
          <w:numId w:val="136"/>
        </w:numPr>
        <w:rPr>
          <w:rFonts w:ascii="Arial" w:cs="Arial" w:eastAsia="Arial" w:hAnsi="Arial"/>
          <w:sz w:val="16"/>
          <w:szCs w:val="16"/>
          <w:color w:val="auto"/>
        </w:rPr>
      </w:pPr>
      <w:r>
        <w:rPr>
          <w:rFonts w:ascii="Arial" w:cs="Arial" w:eastAsia="Arial" w:hAnsi="Arial"/>
          <w:sz w:val="16"/>
          <w:szCs w:val="16"/>
          <w:color w:val="010101"/>
        </w:rPr>
        <w:t>as soon as available and in any event within 45 days after the end of each of the first three quarters of each fiscal year of the Company, the consolidated balance sheet of the Company and its Subsidiaries as of the end of such quarter and consolidated statements of income and cash flows of the Company and its Subsidiaries for the period commencing at the end of the previous fiscal year and ending with the end of such quarter, duly certified (subject to year-end audit adjustments) by the chief financial officer of the Company as having been prepared in accordance with generally accepted accounting principles and a certificate of the chief financial officer of the Company as to compliance with the terms of this Agreement, provided that in the event of any change in GAAP used in the preparation of such financial statements, the Company shall also provide, if necessary for the determination of compliance with Section 5.03, a statement of reconciliation conforming such financial statements to GAAP;</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43" w:name="page144"/>
    <w:bookmarkEnd w:id="143"/>
    <w:p>
      <w:pPr>
        <w:jc w:val="both"/>
        <w:ind w:left="500" w:firstLine="492"/>
        <w:spacing w:after="0" w:line="219" w:lineRule="auto"/>
        <w:tabs>
          <w:tab w:leader="none" w:pos="1389" w:val="left"/>
        </w:tabs>
        <w:numPr>
          <w:ilvl w:val="1"/>
          <w:numId w:val="137"/>
        </w:numPr>
        <w:rPr>
          <w:rFonts w:ascii="Arial" w:cs="Arial" w:eastAsia="Arial" w:hAnsi="Arial"/>
          <w:sz w:val="16"/>
          <w:szCs w:val="16"/>
          <w:color w:val="auto"/>
        </w:rPr>
      </w:pPr>
      <w:r>
        <w:rPr>
          <w:rFonts w:ascii="Arial" w:cs="Arial" w:eastAsia="Arial" w:hAnsi="Arial"/>
          <w:sz w:val="16"/>
          <w:szCs w:val="16"/>
          <w:color w:val="010101"/>
        </w:rPr>
        <w:t xml:space="preserve">as soon as available and in any event within 90 days after the end of each fiscal year of the Company, a copy of the audited financial statements for such year for the Company and its Subsidiaries, containing the consolidated balance sheet of the Company and its Subsidiaries as of the end of such fiscal year and consolidated statements of income and cash flows of the Company and its Subsidiaries for such fiscal year, in each case accompanied by an opinion by PricewaterhouseCoopers LLP or other independent public accountants of recognized national standing and a certificate of the chief financial officer of the Company as to compliance with the terms of this Agreement,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in the event of any change in GAAP used in the preparation of such financial statements, the Company shall also provide, if necessary for the determination of compliance with Section 5.03, a statement of reconciliation conforming such financial statements to GAAP;</w:t>
      </w:r>
    </w:p>
    <w:p>
      <w:pPr>
        <w:spacing w:after="0" w:line="148" w:lineRule="exact"/>
        <w:rPr>
          <w:rFonts w:ascii="Arial" w:cs="Arial" w:eastAsia="Arial" w:hAnsi="Arial"/>
          <w:sz w:val="16"/>
          <w:szCs w:val="16"/>
          <w:color w:val="auto"/>
        </w:rPr>
      </w:pPr>
    </w:p>
    <w:p>
      <w:pPr>
        <w:jc w:val="both"/>
        <w:ind w:left="500" w:firstLine="492"/>
        <w:spacing w:after="0" w:line="230" w:lineRule="auto"/>
        <w:tabs>
          <w:tab w:leader="none" w:pos="1390" w:val="left"/>
        </w:tabs>
        <w:numPr>
          <w:ilvl w:val="1"/>
          <w:numId w:val="137"/>
        </w:numPr>
        <w:rPr>
          <w:rFonts w:ascii="Arial" w:cs="Arial" w:eastAsia="Arial" w:hAnsi="Arial"/>
          <w:sz w:val="16"/>
          <w:szCs w:val="16"/>
          <w:color w:val="auto"/>
        </w:rPr>
      </w:pPr>
      <w:r>
        <w:rPr>
          <w:rFonts w:ascii="Arial" w:cs="Arial" w:eastAsia="Arial" w:hAnsi="Arial"/>
          <w:sz w:val="16"/>
          <w:szCs w:val="16"/>
          <w:color w:val="010101"/>
        </w:rPr>
        <w:t>as soon as possible and in any event within seven days after obtaining knowledge of the occurrence of each Default continuing on the date of such statement, a statement of the chief financial officer of the Company setting forth details of such Default and the action that the Company has taken and proposes to take with respect thereto;</w:t>
      </w:r>
    </w:p>
    <w:p>
      <w:pPr>
        <w:spacing w:after="0" w:line="148" w:lineRule="exact"/>
        <w:rPr>
          <w:rFonts w:ascii="Arial" w:cs="Arial" w:eastAsia="Arial" w:hAnsi="Arial"/>
          <w:sz w:val="16"/>
          <w:szCs w:val="16"/>
          <w:color w:val="auto"/>
        </w:rPr>
      </w:pPr>
    </w:p>
    <w:p>
      <w:pPr>
        <w:ind w:left="1480" w:hanging="488"/>
        <w:spacing w:after="0"/>
        <w:tabs>
          <w:tab w:leader="none" w:pos="1480" w:val="left"/>
        </w:tabs>
        <w:numPr>
          <w:ilvl w:val="1"/>
          <w:numId w:val="137"/>
        </w:numPr>
        <w:rPr>
          <w:rFonts w:ascii="Arial" w:cs="Arial" w:eastAsia="Arial" w:hAnsi="Arial"/>
          <w:sz w:val="16"/>
          <w:szCs w:val="16"/>
          <w:color w:val="auto"/>
        </w:rPr>
      </w:pPr>
      <w:r>
        <w:rPr>
          <w:rFonts w:ascii="Arial" w:cs="Arial" w:eastAsia="Arial" w:hAnsi="Arial"/>
          <w:sz w:val="16"/>
          <w:szCs w:val="16"/>
          <w:color w:val="010101"/>
        </w:rPr>
        <w:t>[reserved];</w:t>
      </w:r>
    </w:p>
    <w:p>
      <w:pPr>
        <w:spacing w:after="0" w:line="159" w:lineRule="exact"/>
        <w:rPr>
          <w:rFonts w:ascii="Arial" w:cs="Arial" w:eastAsia="Arial" w:hAnsi="Arial"/>
          <w:sz w:val="16"/>
          <w:szCs w:val="16"/>
          <w:color w:val="auto"/>
        </w:rPr>
      </w:pPr>
    </w:p>
    <w:p>
      <w:pPr>
        <w:ind w:left="500" w:firstLine="492"/>
        <w:spacing w:after="0" w:line="239" w:lineRule="auto"/>
        <w:tabs>
          <w:tab w:leader="none" w:pos="1389" w:val="left"/>
        </w:tabs>
        <w:numPr>
          <w:ilvl w:val="1"/>
          <w:numId w:val="137"/>
        </w:numPr>
        <w:rPr>
          <w:rFonts w:ascii="Arial" w:cs="Arial" w:eastAsia="Arial" w:hAnsi="Arial"/>
          <w:sz w:val="16"/>
          <w:szCs w:val="16"/>
          <w:color w:val="auto"/>
        </w:rPr>
      </w:pPr>
      <w:r>
        <w:rPr>
          <w:rFonts w:ascii="Arial" w:cs="Arial" w:eastAsia="Arial" w:hAnsi="Arial"/>
          <w:sz w:val="16"/>
          <w:szCs w:val="16"/>
          <w:color w:val="010101"/>
        </w:rPr>
        <w:t>promptly after the commencement thereof, notice of all actions and proceedings before any court, governmental agency or arbitrator affecting the Company or any of its Subsidiaries of the type described in Section 4.01(f);</w:t>
      </w:r>
    </w:p>
    <w:p>
      <w:pPr>
        <w:spacing w:after="0" w:line="148" w:lineRule="exact"/>
        <w:rPr>
          <w:rFonts w:ascii="Arial" w:cs="Arial" w:eastAsia="Arial" w:hAnsi="Arial"/>
          <w:sz w:val="16"/>
          <w:szCs w:val="16"/>
          <w:color w:val="auto"/>
        </w:rPr>
      </w:pPr>
    </w:p>
    <w:p>
      <w:pPr>
        <w:ind w:left="500" w:firstLine="492"/>
        <w:spacing w:after="0" w:line="239" w:lineRule="auto"/>
        <w:tabs>
          <w:tab w:leader="none" w:pos="1389" w:val="left"/>
        </w:tabs>
        <w:numPr>
          <w:ilvl w:val="1"/>
          <w:numId w:val="137"/>
        </w:numPr>
        <w:rPr>
          <w:rFonts w:ascii="Arial" w:cs="Arial" w:eastAsia="Arial" w:hAnsi="Arial"/>
          <w:sz w:val="16"/>
          <w:szCs w:val="16"/>
          <w:color w:val="auto"/>
        </w:rPr>
      </w:pPr>
      <w:r>
        <w:rPr>
          <w:rFonts w:ascii="Arial" w:cs="Arial" w:eastAsia="Arial" w:hAnsi="Arial"/>
          <w:sz w:val="16"/>
          <w:szCs w:val="16"/>
          <w:color w:val="010101"/>
        </w:rPr>
        <w:t>such other information respecting the Company or any of its Subsidiaries as any Lender through the Administrative Agent may from time to time reasonably request; and</w:t>
      </w:r>
    </w:p>
    <w:p>
      <w:pPr>
        <w:spacing w:after="0" w:line="148" w:lineRule="exact"/>
        <w:rPr>
          <w:rFonts w:ascii="Arial" w:cs="Arial" w:eastAsia="Arial" w:hAnsi="Arial"/>
          <w:sz w:val="16"/>
          <w:szCs w:val="16"/>
          <w:color w:val="auto"/>
        </w:rPr>
      </w:pPr>
    </w:p>
    <w:p>
      <w:pPr>
        <w:jc w:val="both"/>
        <w:ind w:left="500" w:firstLine="492"/>
        <w:spacing w:after="0" w:line="230" w:lineRule="auto"/>
        <w:tabs>
          <w:tab w:leader="none" w:pos="1389" w:val="left"/>
        </w:tabs>
        <w:numPr>
          <w:ilvl w:val="1"/>
          <w:numId w:val="137"/>
        </w:numPr>
        <w:rPr>
          <w:rFonts w:ascii="Arial" w:cs="Arial" w:eastAsia="Arial" w:hAnsi="Arial"/>
          <w:sz w:val="16"/>
          <w:szCs w:val="16"/>
          <w:color w:val="auto"/>
        </w:rPr>
      </w:pPr>
      <w:r>
        <w:rPr>
          <w:rFonts w:ascii="Arial" w:cs="Arial" w:eastAsia="Arial" w:hAnsi="Arial"/>
          <w:sz w:val="16"/>
          <w:szCs w:val="16"/>
          <w:color w:val="010101"/>
        </w:rPr>
        <w:t>promptly following any request therefor, information and documentation reasonably requested by the Administrative Agent or any Lender for purposes of compliance with applicable “know your customer” requirements under the PATRIOT Act, the Beneficial Ownership Regulation (including a Beneficial Ownership Certification) or other applicable anti-money laundering laws.</w:t>
      </w:r>
    </w:p>
    <w:p>
      <w:pPr>
        <w:spacing w:after="0" w:line="137" w:lineRule="exact"/>
        <w:rPr>
          <w:rFonts w:ascii="Arial" w:cs="Arial" w:eastAsia="Arial" w:hAnsi="Arial"/>
          <w:sz w:val="16"/>
          <w:szCs w:val="16"/>
          <w:color w:val="auto"/>
        </w:rPr>
      </w:pPr>
    </w:p>
    <w:p>
      <w:pPr>
        <w:ind w:left="1000" w:hanging="493"/>
        <w:spacing w:after="0"/>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010101"/>
        </w:rPr>
        <w:t>Additional Subsidiaries; Additional Foreign Borrowers and Guarantors</w:t>
      </w:r>
      <w:r>
        <w:rPr>
          <w:rFonts w:ascii="Arial" w:cs="Arial" w:eastAsia="Arial" w:hAnsi="Arial"/>
          <w:sz w:val="16"/>
          <w:szCs w:val="16"/>
          <w:color w:val="010101"/>
        </w:rPr>
        <w:t>.</w:t>
      </w:r>
    </w:p>
    <w:p>
      <w:pPr>
        <w:spacing w:after="0" w:line="169" w:lineRule="exact"/>
        <w:rPr>
          <w:rFonts w:ascii="Arial" w:cs="Arial" w:eastAsia="Arial" w:hAnsi="Arial"/>
          <w:sz w:val="16"/>
          <w:szCs w:val="16"/>
          <w:color w:val="auto"/>
        </w:rPr>
      </w:pPr>
    </w:p>
    <w:p>
      <w:pPr>
        <w:jc w:val="both"/>
        <w:ind w:left="500" w:firstLine="492"/>
        <w:spacing w:after="0" w:line="220" w:lineRule="auto"/>
        <w:tabs>
          <w:tab w:leader="none" w:pos="1389" w:val="left"/>
        </w:tabs>
        <w:numPr>
          <w:ilvl w:val="1"/>
          <w:numId w:val="138"/>
        </w:numPr>
        <w:rPr>
          <w:rFonts w:ascii="Arial" w:cs="Arial" w:eastAsia="Arial" w:hAnsi="Arial"/>
          <w:sz w:val="16"/>
          <w:szCs w:val="16"/>
          <w:color w:val="auto"/>
        </w:rPr>
      </w:pPr>
      <w:r>
        <w:rPr>
          <w:rFonts w:ascii="Arial" w:cs="Arial" w:eastAsia="Arial" w:hAnsi="Arial"/>
          <w:sz w:val="16"/>
          <w:szCs w:val="16"/>
          <w:color w:val="010101"/>
        </w:rPr>
        <w:t>If, after the Effective Date, any Person becomes a Material Domestic Subsidiary (whether as a result of an acquisition of a Material Domestic Subsidiary or otherwise) (with respect to any such Material Domestic Subsidiary, the date on which it becomes a Material Domestic Subsidiary, a “</w:t>
      </w:r>
      <w:r>
        <w:rPr>
          <w:rFonts w:ascii="Arial" w:cs="Arial" w:eastAsia="Arial" w:hAnsi="Arial"/>
          <w:sz w:val="16"/>
          <w:szCs w:val="16"/>
          <w:u w:val="single" w:color="auto"/>
          <w:color w:val="010101"/>
        </w:rPr>
        <w:t>Guarantor</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Reference Date</w:t>
      </w:r>
      <w:r>
        <w:rPr>
          <w:rFonts w:ascii="Arial" w:cs="Arial" w:eastAsia="Arial" w:hAnsi="Arial"/>
          <w:sz w:val="16"/>
          <w:szCs w:val="16"/>
          <w:color w:val="010101"/>
        </w:rPr>
        <w:t>”), the Company shall, on or prior to the latest of (i) the date that is forty-five days after the Guarantor Reference Date, (ii) the first date after the Guarantor Reference Date on which an Advance is made or is outstanding and (iii) such later date as may be agreed by the Administrative Agent in its reasonable discretion, cause such Person to: (A) become a Guarantor of Borrower Obligations by delivering to the Administrative Agent a duly executed supplement to this Agreement or such other document as the Administrative</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44" w:name="page145"/>
    <w:bookmarkEnd w:id="144"/>
    <w:p>
      <w:pPr>
        <w:jc w:val="both"/>
        <w:ind w:left="500" w:right="20"/>
        <w:spacing w:after="0"/>
        <w:rPr>
          <w:sz w:val="20"/>
          <w:szCs w:val="20"/>
          <w:color w:val="auto"/>
        </w:rPr>
      </w:pPr>
      <w:r>
        <w:rPr>
          <w:rFonts w:ascii="Arial" w:cs="Arial" w:eastAsia="Arial" w:hAnsi="Arial"/>
          <w:sz w:val="15"/>
          <w:szCs w:val="15"/>
          <w:color w:val="010101"/>
        </w:rPr>
        <w:t>Agent shall reasonably deem appropriate for such purpose, (B) deliver to the Administrative Agent such opinions, documents and certificates referred to in Section 3.01(c) as may be reasonably requested by the Administrative Agent, (C) deliver to the Administrative Agent such updated Schedules to this Agreement as reasonably requested by the Administrative Agent with respect to such Person and (D) deliver to the Administrative Agent such other documents as may be reasonably requested by the Administrative Agent, all in form, content and scope reasonably satisfactory to the Administrative Agent.</w:t>
      </w:r>
    </w:p>
    <w:p>
      <w:pPr>
        <w:spacing w:after="0" w:line="149" w:lineRule="exact"/>
        <w:rPr>
          <w:sz w:val="20"/>
          <w:szCs w:val="20"/>
          <w:color w:val="auto"/>
        </w:rPr>
      </w:pPr>
    </w:p>
    <w:p>
      <w:pPr>
        <w:jc w:val="both"/>
        <w:ind w:left="500" w:firstLine="492"/>
        <w:spacing w:after="0" w:line="229" w:lineRule="auto"/>
        <w:tabs>
          <w:tab w:leader="none" w:pos="1389" w:val="left"/>
        </w:tabs>
        <w:numPr>
          <w:ilvl w:val="0"/>
          <w:numId w:val="139"/>
        </w:numPr>
        <w:rPr>
          <w:rFonts w:ascii="Arial" w:cs="Arial" w:eastAsia="Arial" w:hAnsi="Arial"/>
          <w:sz w:val="15"/>
          <w:szCs w:val="15"/>
          <w:color w:val="auto"/>
        </w:rPr>
      </w:pPr>
      <w:r>
        <w:rPr>
          <w:rFonts w:ascii="Arial" w:cs="Arial" w:eastAsia="Arial" w:hAnsi="Arial"/>
          <w:sz w:val="15"/>
          <w:szCs w:val="15"/>
          <w:color w:val="010101"/>
        </w:rPr>
        <w:t>The Company may, on 15 days’ notice to the Administrative Agent, elect to add as a Foreign Borrower under this Agreement any Subsidiary of the Company (A) that is organized under the laws of England, Wales, Scotland, Northern Ireland, Canada, Australia or Singapore or (B) that is organized under the laws of any other foreign jurisdiction with the consent of the Administrative Agent and each of the Lenders (in each case, in such Person’s sole discretion) on terms and conditions satisfactory to the Administrative Agent and each such Lender, so long as, in each case for any election described above in clause (ii)(A) or (ii)(B), (x) the Administrative Agent (on behalf of the Lenders pursuant to Section 7.01), the Company and the new Foreign Borrower have entered into a joinder agreement, in form and substance reasonably satisfactory to the Administrative Agent, which joinder agreement may include any amendment or other modification to this Agreement as is reasonably necessary to incorporate any terms required by the laws of the country in which such Foreign Borrower is organized, including, without limitation, terms necessary to make this Agreement enforceable against such Foreign Borrower under the laws of such country and to ensure the Advances, actions and obligations of the Lenders hereunder with respect to such Foreign Borrower will be permitted under the laws of such country, and (y) the Administrative Agent and the Lenders (1) have received all documentation and other information required by regulatory authorities under applicable “know your customer” and anti-money-laundering rules and regulations, including, without limitation, the Patriot Act and the Beneficial Ownership Regulation (including a Beneficial Ownership Certification), (2) are reasonably satisfied with the results of such documentation and other information and (3) have received items comparable to the deliverables provided to the Lenders with respect to the Company as of the Effective Date.</w:t>
      </w:r>
    </w:p>
    <w:p>
      <w:pPr>
        <w:spacing w:after="0" w:line="154" w:lineRule="exact"/>
        <w:rPr>
          <w:rFonts w:ascii="Arial" w:cs="Arial" w:eastAsia="Arial" w:hAnsi="Arial"/>
          <w:sz w:val="15"/>
          <w:szCs w:val="15"/>
          <w:color w:val="auto"/>
        </w:rPr>
      </w:pPr>
    </w:p>
    <w:p>
      <w:pPr>
        <w:jc w:val="both"/>
        <w:ind w:left="500" w:firstLine="492"/>
        <w:spacing w:after="0" w:line="252" w:lineRule="auto"/>
        <w:tabs>
          <w:tab w:leader="none" w:pos="1390" w:val="left"/>
        </w:tabs>
        <w:numPr>
          <w:ilvl w:val="0"/>
          <w:numId w:val="139"/>
        </w:numPr>
        <w:rPr>
          <w:rFonts w:ascii="Arial" w:cs="Arial" w:eastAsia="Arial" w:hAnsi="Arial"/>
          <w:sz w:val="14"/>
          <w:szCs w:val="14"/>
          <w:color w:val="auto"/>
        </w:rPr>
      </w:pPr>
      <w:r>
        <w:rPr>
          <w:rFonts w:ascii="Arial" w:cs="Arial" w:eastAsia="Arial" w:hAnsi="Arial"/>
          <w:sz w:val="14"/>
          <w:szCs w:val="14"/>
          <w:color w:val="010101"/>
        </w:rPr>
        <w:t xml:space="preserve">The Company may, on five Business Days’ notice to the Administrative Agent (or such shorter period as may be agreed by the Administrative Agent in its reasonable discretion), terminate a Foreign Borrower’s status as such upon the execution by the Company and delivery to the Administrative Agent of a termination agreement, in form and substance reasonably satisfactory to the Administrative Agent, with respect to such Foreign Borrower;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no such termination agreement shall become effective as to any Foreign Borrower (other than to terminate its right to make further Borrowings under this Agreement) until all Advances made to the terminated Foreign Borrower have been repaid and all amounts payable by such terminated Foreign Borrower in respect of interest and/or fees (and, to the extent notified by the Administrative Agent or any Lender, any other amounts payable by the terminated Foreign Borrower under any Loan Document) have been paid in full. The Administrative Agent will promptly notify the Lenders of any such termination of a Foreign Borrower’s status.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145" w:name="page146"/>
    <w:bookmarkEnd w:id="145"/>
    <w:p>
      <w:pPr>
        <w:ind w:left="500"/>
        <w:spacing w:after="0"/>
        <w:tabs>
          <w:tab w:leader="none" w:pos="1700" w:val="left"/>
        </w:tabs>
        <w:rPr>
          <w:sz w:val="20"/>
          <w:szCs w:val="20"/>
          <w:color w:val="auto"/>
        </w:rPr>
      </w:pPr>
      <w:r>
        <w:rPr>
          <w:rFonts w:ascii="Arial" w:cs="Arial" w:eastAsia="Arial" w:hAnsi="Arial"/>
          <w:sz w:val="16"/>
          <w:szCs w:val="16"/>
          <w:color w:val="auto"/>
        </w:rPr>
        <w:t>SECTION 5.02.</w:t>
      </w:r>
      <w:r>
        <w:rPr>
          <w:sz w:val="20"/>
          <w:szCs w:val="20"/>
          <w:color w:val="auto"/>
        </w:rPr>
        <w:tab/>
      </w:r>
      <w:r>
        <w:rPr>
          <w:rFonts w:ascii="Arial" w:cs="Arial" w:eastAsia="Arial" w:hAnsi="Arial"/>
          <w:sz w:val="14"/>
          <w:szCs w:val="14"/>
          <w:u w:val="single" w:color="auto"/>
          <w:color w:val="010101"/>
        </w:rPr>
        <w:t>Negative Covenants</w:t>
      </w:r>
    </w:p>
    <w:p>
      <w:pPr>
        <w:spacing w:after="0" w:line="170" w:lineRule="exact"/>
        <w:rPr>
          <w:sz w:val="20"/>
          <w:szCs w:val="20"/>
          <w:color w:val="auto"/>
        </w:rPr>
      </w:pPr>
    </w:p>
    <w:p>
      <w:pPr>
        <w:ind w:left="20" w:right="40" w:firstLine="487"/>
        <w:spacing w:after="0" w:line="271" w:lineRule="auto"/>
        <w:tabs>
          <w:tab w:leader="none" w:pos="590" w:val="left"/>
        </w:tabs>
        <w:numPr>
          <w:ilvl w:val="0"/>
          <w:numId w:val="140"/>
        </w:numPr>
        <w:rPr>
          <w:rFonts w:ascii="Arial" w:cs="Arial" w:eastAsia="Arial" w:hAnsi="Arial"/>
          <w:sz w:val="15"/>
          <w:szCs w:val="15"/>
          <w:color w:val="010101"/>
        </w:rPr>
      </w:pPr>
      <w:r>
        <w:rPr>
          <w:rFonts w:ascii="Arial" w:cs="Arial" w:eastAsia="Arial" w:hAnsi="Arial"/>
          <w:sz w:val="15"/>
          <w:szCs w:val="15"/>
          <w:color w:val="010101"/>
        </w:rPr>
        <w:t>So long as any Advance shall remain unpaid, all Letters of Credit have not yet been terminated or expired (unless Cash Collateralized or otherwise provided for in a manner reasonably satisfactory to the applicable Issuing Lender), or any Lender shall have any Commitment hereunder, no Credit Party will:</w:t>
      </w:r>
    </w:p>
    <w:p>
      <w:pPr>
        <w:spacing w:after="0" w:line="126" w:lineRule="exact"/>
        <w:rPr>
          <w:sz w:val="20"/>
          <w:szCs w:val="20"/>
          <w:color w:val="auto"/>
        </w:rPr>
      </w:pPr>
    </w:p>
    <w:p>
      <w:pPr>
        <w:jc w:val="both"/>
        <w:ind w:left="20" w:right="40" w:firstLine="487"/>
        <w:spacing w:after="0" w:line="230" w:lineRule="auto"/>
        <w:tabs>
          <w:tab w:leader="none" w:pos="91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010101"/>
        </w:rPr>
        <w:t>Liens, Etc.</w:t>
      </w:r>
      <w:r>
        <w:rPr>
          <w:rFonts w:ascii="Arial" w:cs="Arial" w:eastAsia="Arial" w:hAnsi="Arial"/>
          <w:sz w:val="16"/>
          <w:szCs w:val="16"/>
          <w:color w:val="010101"/>
        </w:rPr>
        <w:t xml:space="preserve"> Create or suffer to exist, or permit any of its Subsidiaries to create or suffer to exist, any Lien on or with respect to any of its properties (which for purposes of this subsection (a) shall be deemed not to include shares of the Company’s capital stock), whether now owned or hereafter acquired, or assign, or permit any of its Subsidiaries to assign, any right to receive income, other than:</w:t>
      </w:r>
    </w:p>
    <w:p>
      <w:pPr>
        <w:spacing w:after="0" w:line="137" w:lineRule="exact"/>
        <w:rPr>
          <w:rFonts w:ascii="Arial" w:cs="Arial" w:eastAsia="Arial" w:hAnsi="Arial"/>
          <w:sz w:val="16"/>
          <w:szCs w:val="16"/>
          <w:color w:val="auto"/>
        </w:rPr>
      </w:pPr>
    </w:p>
    <w:p>
      <w:pPr>
        <w:ind w:left="1480" w:hanging="488"/>
        <w:spacing w:after="0"/>
        <w:tabs>
          <w:tab w:leader="none" w:pos="1480" w:val="left"/>
        </w:tabs>
        <w:numPr>
          <w:ilvl w:val="1"/>
          <w:numId w:val="141"/>
        </w:numPr>
        <w:rPr>
          <w:rFonts w:ascii="Arial" w:cs="Arial" w:eastAsia="Arial" w:hAnsi="Arial"/>
          <w:sz w:val="16"/>
          <w:szCs w:val="16"/>
          <w:color w:val="auto"/>
        </w:rPr>
      </w:pPr>
      <w:r>
        <w:rPr>
          <w:rFonts w:ascii="Arial" w:cs="Arial" w:eastAsia="Arial" w:hAnsi="Arial"/>
          <w:sz w:val="16"/>
          <w:szCs w:val="16"/>
          <w:color w:val="010101"/>
        </w:rPr>
        <w:t>Permitted Liens;</w:t>
      </w:r>
    </w:p>
    <w:p>
      <w:pPr>
        <w:spacing w:after="0" w:line="169" w:lineRule="exact"/>
        <w:rPr>
          <w:rFonts w:ascii="Arial" w:cs="Arial" w:eastAsia="Arial" w:hAnsi="Arial"/>
          <w:sz w:val="16"/>
          <w:szCs w:val="16"/>
          <w:color w:val="auto"/>
        </w:rPr>
      </w:pPr>
    </w:p>
    <w:p>
      <w:pPr>
        <w:jc w:val="both"/>
        <w:ind w:left="500" w:firstLine="492"/>
        <w:spacing w:after="0" w:line="225" w:lineRule="auto"/>
        <w:tabs>
          <w:tab w:leader="none" w:pos="1389" w:val="left"/>
        </w:tabs>
        <w:numPr>
          <w:ilvl w:val="1"/>
          <w:numId w:val="141"/>
        </w:numPr>
        <w:rPr>
          <w:rFonts w:ascii="Arial" w:cs="Arial" w:eastAsia="Arial" w:hAnsi="Arial"/>
          <w:sz w:val="16"/>
          <w:szCs w:val="16"/>
          <w:color w:val="auto"/>
        </w:rPr>
      </w:pPr>
      <w:r>
        <w:rPr>
          <w:rFonts w:ascii="Arial" w:cs="Arial" w:eastAsia="Arial" w:hAnsi="Arial"/>
          <w:sz w:val="16"/>
          <w:szCs w:val="16"/>
          <w:color w:val="010101"/>
        </w:rPr>
        <w:t xml:space="preserve">Liens securing purchase money Debt, Liens on fixed or capital assets acquired, constructed or improved and capital lease obligations (and refinancings of any thereof) to the extent permitted under Section 5.02(d)(iii); </w:t>
      </w:r>
      <w:r>
        <w:rPr>
          <w:rFonts w:ascii="Arial" w:cs="Arial" w:eastAsia="Arial" w:hAnsi="Arial"/>
          <w:sz w:val="16"/>
          <w:szCs w:val="16"/>
          <w:u w:val="single" w:color="auto"/>
          <w:color w:val="010101"/>
        </w:rPr>
        <w:t>provided</w:t>
      </w:r>
      <w:r>
        <w:rPr>
          <w:rFonts w:ascii="Arial" w:cs="Arial" w:eastAsia="Arial" w:hAnsi="Arial"/>
          <w:sz w:val="16"/>
          <w:szCs w:val="16"/>
          <w:color w:val="010101"/>
        </w:rPr>
        <w:t>, that (i) any such Lien attaches to such property prior to, concurrently with or within 90 days after the acquisition, construction, improvement or lease thereof and (ii) such Lien attaches solely to the property so acquired, constructed, improved or leased in such transaction;</w:t>
      </w:r>
    </w:p>
    <w:p>
      <w:pPr>
        <w:spacing w:after="0" w:line="140" w:lineRule="exact"/>
        <w:rPr>
          <w:rFonts w:ascii="Arial" w:cs="Arial" w:eastAsia="Arial" w:hAnsi="Arial"/>
          <w:sz w:val="16"/>
          <w:szCs w:val="16"/>
          <w:color w:val="auto"/>
        </w:rPr>
      </w:pPr>
    </w:p>
    <w:p>
      <w:pPr>
        <w:ind w:left="1480" w:hanging="488"/>
        <w:spacing w:after="0"/>
        <w:tabs>
          <w:tab w:leader="none" w:pos="1480" w:val="left"/>
        </w:tabs>
        <w:numPr>
          <w:ilvl w:val="1"/>
          <w:numId w:val="141"/>
        </w:numPr>
        <w:rPr>
          <w:rFonts w:ascii="Arial" w:cs="Arial" w:eastAsia="Arial" w:hAnsi="Arial"/>
          <w:sz w:val="16"/>
          <w:szCs w:val="16"/>
          <w:color w:val="auto"/>
        </w:rPr>
      </w:pPr>
      <w:r>
        <w:rPr>
          <w:rFonts w:ascii="Arial" w:cs="Arial" w:eastAsia="Arial" w:hAnsi="Arial"/>
          <w:sz w:val="16"/>
          <w:szCs w:val="16"/>
          <w:color w:val="010101"/>
        </w:rPr>
        <w:t>the Liens existing on the Effective Date and described on Schedule 5.02(a)</w:t>
      </w:r>
    </w:p>
    <w:p>
      <w:pPr>
        <w:ind w:left="500"/>
        <w:spacing w:after="0"/>
        <w:rPr>
          <w:sz w:val="20"/>
          <w:szCs w:val="20"/>
          <w:color w:val="auto"/>
        </w:rPr>
      </w:pPr>
      <w:r>
        <w:rPr>
          <w:rFonts w:ascii="Arial" w:cs="Arial" w:eastAsia="Arial" w:hAnsi="Arial"/>
          <w:sz w:val="16"/>
          <w:szCs w:val="16"/>
          <w:color w:val="010101"/>
        </w:rPr>
        <w:t>hereto;</w:t>
      </w:r>
    </w:p>
    <w:p>
      <w:pPr>
        <w:spacing w:after="0" w:line="137" w:lineRule="exact"/>
        <w:rPr>
          <w:sz w:val="20"/>
          <w:szCs w:val="20"/>
          <w:color w:val="auto"/>
        </w:rPr>
      </w:pPr>
    </w:p>
    <w:p>
      <w:pPr>
        <w:ind w:left="1480" w:hanging="488"/>
        <w:spacing w:after="0"/>
        <w:tabs>
          <w:tab w:leader="none" w:pos="1480" w:val="left"/>
        </w:tabs>
        <w:numPr>
          <w:ilvl w:val="0"/>
          <w:numId w:val="142"/>
        </w:numPr>
        <w:rPr>
          <w:rFonts w:ascii="Arial" w:cs="Arial" w:eastAsia="Arial" w:hAnsi="Arial"/>
          <w:sz w:val="16"/>
          <w:szCs w:val="16"/>
          <w:color w:val="auto"/>
        </w:rPr>
      </w:pPr>
      <w:r>
        <w:rPr>
          <w:rFonts w:ascii="Arial" w:cs="Arial" w:eastAsia="Arial" w:hAnsi="Arial"/>
          <w:sz w:val="16"/>
          <w:szCs w:val="16"/>
          <w:color w:val="010101"/>
        </w:rPr>
        <w:t>any Lien existing on any asset prior to the acquisition thereof by the</w:t>
      </w:r>
    </w:p>
    <w:p>
      <w:pPr>
        <w:jc w:val="both"/>
        <w:ind w:left="500" w:right="20"/>
        <w:spacing w:after="0" w:line="218" w:lineRule="auto"/>
        <w:rPr>
          <w:sz w:val="20"/>
          <w:szCs w:val="20"/>
          <w:color w:val="auto"/>
        </w:rPr>
      </w:pPr>
      <w:r>
        <w:rPr>
          <w:rFonts w:ascii="Arial" w:cs="Arial" w:eastAsia="Arial" w:hAnsi="Arial"/>
          <w:sz w:val="16"/>
          <w:szCs w:val="16"/>
          <w:color w:val="010101"/>
        </w:rPr>
        <w:t xml:space="preserve">Company or any Subsidiary or existing on any asset of any Person that becomes a Subsidiary after the Effective Date prior to the time such Person becomes a Subsidiary;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 such Lien is not created in contemplation of or in connection with such acquisition or such Person becoming a Subsidiary, as the case may be, (ii) such Lien shall not apply to any other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51" w:lineRule="exact"/>
        <w:rPr>
          <w:sz w:val="20"/>
          <w:szCs w:val="20"/>
          <w:color w:val="auto"/>
        </w:rPr>
      </w:pPr>
    </w:p>
    <w:p>
      <w:pPr>
        <w:ind w:left="1480" w:hanging="488"/>
        <w:spacing w:after="0"/>
        <w:tabs>
          <w:tab w:leader="none" w:pos="1480" w:val="left"/>
        </w:tabs>
        <w:numPr>
          <w:ilvl w:val="0"/>
          <w:numId w:val="143"/>
        </w:numPr>
        <w:rPr>
          <w:rFonts w:ascii="Arial" w:cs="Arial" w:eastAsia="Arial" w:hAnsi="Arial"/>
          <w:sz w:val="16"/>
          <w:szCs w:val="16"/>
          <w:color w:val="auto"/>
        </w:rPr>
      </w:pPr>
      <w:r>
        <w:rPr>
          <w:rFonts w:ascii="Arial" w:cs="Arial" w:eastAsia="Arial" w:hAnsi="Arial"/>
          <w:sz w:val="16"/>
          <w:szCs w:val="16"/>
          <w:color w:val="010101"/>
        </w:rPr>
        <w:t>Liens securing Debt payable by a Subsidiary to a Credit Party;</w:t>
      </w:r>
    </w:p>
    <w:p>
      <w:pPr>
        <w:spacing w:after="0" w:line="169" w:lineRule="exact"/>
        <w:rPr>
          <w:rFonts w:ascii="Arial" w:cs="Arial" w:eastAsia="Arial" w:hAnsi="Arial"/>
          <w:sz w:val="16"/>
          <w:szCs w:val="16"/>
          <w:color w:val="auto"/>
        </w:rPr>
      </w:pPr>
    </w:p>
    <w:p>
      <w:pPr>
        <w:ind w:left="500" w:right="40" w:firstLine="492"/>
        <w:spacing w:after="0" w:line="239" w:lineRule="auto"/>
        <w:tabs>
          <w:tab w:leader="none" w:pos="1389" w:val="left"/>
        </w:tabs>
        <w:numPr>
          <w:ilvl w:val="0"/>
          <w:numId w:val="143"/>
        </w:numPr>
        <w:rPr>
          <w:rFonts w:ascii="Arial" w:cs="Arial" w:eastAsia="Arial" w:hAnsi="Arial"/>
          <w:sz w:val="16"/>
          <w:szCs w:val="16"/>
          <w:color w:val="auto"/>
        </w:rPr>
      </w:pPr>
      <w:r>
        <w:rPr>
          <w:rFonts w:ascii="Arial" w:cs="Arial" w:eastAsia="Arial" w:hAnsi="Arial"/>
          <w:sz w:val="16"/>
          <w:szCs w:val="16"/>
          <w:color w:val="010101"/>
        </w:rPr>
        <w:t>other Liens securing Debt in an aggregate principal amount not to exceed at any time outstanding an amount equal to the greater of (i) $150,000,000 and (ii) 3.5% of the book value of the Consolidated Assets calculated as of the date of Lien incurrence;</w:t>
      </w:r>
    </w:p>
    <w:p>
      <w:pPr>
        <w:spacing w:after="0" w:line="138" w:lineRule="exact"/>
        <w:rPr>
          <w:rFonts w:ascii="Arial" w:cs="Arial" w:eastAsia="Arial" w:hAnsi="Arial"/>
          <w:sz w:val="16"/>
          <w:szCs w:val="16"/>
          <w:color w:val="auto"/>
        </w:rPr>
      </w:pPr>
    </w:p>
    <w:p>
      <w:pPr>
        <w:ind w:left="500" w:right="40" w:firstLine="492"/>
        <w:spacing w:after="0" w:line="271" w:lineRule="auto"/>
        <w:tabs>
          <w:tab w:leader="none" w:pos="1389" w:val="left"/>
        </w:tabs>
        <w:numPr>
          <w:ilvl w:val="0"/>
          <w:numId w:val="143"/>
        </w:numPr>
        <w:rPr>
          <w:rFonts w:ascii="Arial" w:cs="Arial" w:eastAsia="Arial" w:hAnsi="Arial"/>
          <w:sz w:val="15"/>
          <w:szCs w:val="15"/>
          <w:color w:val="auto"/>
        </w:rPr>
      </w:pPr>
      <w:r>
        <w:rPr>
          <w:rFonts w:ascii="Arial" w:cs="Arial" w:eastAsia="Arial" w:hAnsi="Arial"/>
          <w:sz w:val="15"/>
          <w:szCs w:val="15"/>
          <w:color w:val="010101"/>
        </w:rPr>
        <w:t xml:space="preserve">Liens on vehicles (and assets related thereto and proceeds thereof) of the Credit Parties and their Subsidiaries securing Floorplan Financings </w:t>
      </w:r>
      <w:r>
        <w:rPr>
          <w:rFonts w:ascii="Arial" w:cs="Arial" w:eastAsia="Arial" w:hAnsi="Arial"/>
          <w:sz w:val="15"/>
          <w:szCs w:val="15"/>
          <w:u w:val="single" w:color="auto"/>
          <w:color w:val="010101"/>
        </w:rPr>
        <w:t>provided</w:t>
      </w:r>
      <w:r>
        <w:rPr>
          <w:rFonts w:ascii="Arial" w:cs="Arial" w:eastAsia="Arial" w:hAnsi="Arial"/>
          <w:sz w:val="15"/>
          <w:szCs w:val="15"/>
          <w:color w:val="010101"/>
        </w:rPr>
        <w:t>, that any such Lien attaches to such property prior to, concurrently with or within 30 days after the acquisition or lease thereof; and</w:t>
      </w:r>
    </w:p>
    <w:p>
      <w:pPr>
        <w:spacing w:after="0" w:line="125" w:lineRule="exact"/>
        <w:rPr>
          <w:rFonts w:ascii="Arial" w:cs="Arial" w:eastAsia="Arial" w:hAnsi="Arial"/>
          <w:sz w:val="15"/>
          <w:szCs w:val="15"/>
          <w:color w:val="auto"/>
        </w:rPr>
      </w:pPr>
    </w:p>
    <w:p>
      <w:pPr>
        <w:ind w:left="1400" w:hanging="408"/>
        <w:spacing w:after="0"/>
        <w:tabs>
          <w:tab w:leader="none" w:pos="1400" w:val="left"/>
        </w:tabs>
        <w:numPr>
          <w:ilvl w:val="0"/>
          <w:numId w:val="143"/>
        </w:numPr>
        <w:rPr>
          <w:rFonts w:ascii="Arial" w:cs="Arial" w:eastAsia="Arial" w:hAnsi="Arial"/>
          <w:sz w:val="15"/>
          <w:szCs w:val="15"/>
          <w:color w:val="auto"/>
        </w:rPr>
      </w:pPr>
      <w:r>
        <w:rPr>
          <w:rFonts w:ascii="Arial" w:cs="Arial" w:eastAsia="Arial" w:hAnsi="Arial"/>
          <w:sz w:val="15"/>
          <w:szCs w:val="15"/>
          <w:color w:val="010101"/>
        </w:rPr>
        <w:t>the replacement, extension or renewal of any Lien permitted by clauses (ii) (iii), (iv) or (vii) above upon or in the same property theretofore subject</w:t>
      </w:r>
    </w:p>
    <w:p>
      <w:pPr>
        <w:spacing w:after="0" w:line="3"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010101"/>
        </w:rPr>
        <w:t>thereto or the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083" w:right="479" w:bottom="1440" w:gutter="0" w:footer="0" w:header="0"/>
        </w:sectPr>
      </w:pPr>
    </w:p>
    <w:bookmarkStart w:id="146" w:name="page147"/>
    <w:bookmarkEnd w:id="146"/>
    <w:p>
      <w:pPr>
        <w:ind w:left="500" w:right="40"/>
        <w:spacing w:after="0" w:line="239" w:lineRule="auto"/>
        <w:rPr>
          <w:sz w:val="20"/>
          <w:szCs w:val="20"/>
          <w:color w:val="auto"/>
        </w:rPr>
      </w:pPr>
      <w:r>
        <w:rPr>
          <w:rFonts w:ascii="Arial" w:cs="Arial" w:eastAsia="Arial" w:hAnsi="Arial"/>
          <w:sz w:val="16"/>
          <w:szCs w:val="16"/>
          <w:color w:val="010101"/>
        </w:rPr>
        <w:t>replacement, extension or renewal (without increase in the amount other than to the extent of any reasonable fees and expenses in connection with any such replacement, extension or renewal) of the Debt secured thereby.</w:t>
      </w:r>
    </w:p>
    <w:p>
      <w:pPr>
        <w:spacing w:after="0" w:line="149" w:lineRule="exact"/>
        <w:rPr>
          <w:sz w:val="20"/>
          <w:szCs w:val="20"/>
          <w:color w:val="auto"/>
        </w:rPr>
      </w:pPr>
    </w:p>
    <w:p>
      <w:pPr>
        <w:ind w:left="20" w:right="40" w:firstLine="487"/>
        <w:spacing w:after="0" w:line="239" w:lineRule="auto"/>
        <w:tabs>
          <w:tab w:leader="none" w:pos="909"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010101"/>
        </w:rPr>
        <w:t>Mergers, Etc.</w:t>
      </w:r>
      <w:r>
        <w:rPr>
          <w:rFonts w:ascii="Arial" w:cs="Arial" w:eastAsia="Arial" w:hAnsi="Arial"/>
          <w:sz w:val="16"/>
          <w:szCs w:val="16"/>
          <w:color w:val="010101"/>
        </w:rPr>
        <w:t xml:space="preserve"> Merge or consolidate with or into, or convey, transfer, lease or otherwise dispose of (whether in one transaction or in a series of transactions) all or substantially all of its assets (whether now owned or hereafter acquired) to, any Person, except:</w:t>
      </w:r>
    </w:p>
    <w:p>
      <w:pPr>
        <w:spacing w:after="0" w:line="148" w:lineRule="exact"/>
        <w:rPr>
          <w:rFonts w:ascii="Arial" w:cs="Arial" w:eastAsia="Arial" w:hAnsi="Arial"/>
          <w:sz w:val="16"/>
          <w:szCs w:val="16"/>
          <w:color w:val="auto"/>
        </w:rPr>
      </w:pPr>
    </w:p>
    <w:p>
      <w:pPr>
        <w:jc w:val="both"/>
        <w:ind w:left="500" w:right="20" w:firstLine="492"/>
        <w:spacing w:after="0" w:line="225" w:lineRule="auto"/>
        <w:tabs>
          <w:tab w:leader="none" w:pos="1389" w:val="left"/>
        </w:tabs>
        <w:numPr>
          <w:ilvl w:val="1"/>
          <w:numId w:val="144"/>
        </w:numPr>
        <w:rPr>
          <w:rFonts w:ascii="Arial" w:cs="Arial" w:eastAsia="Arial" w:hAnsi="Arial"/>
          <w:sz w:val="16"/>
          <w:szCs w:val="16"/>
          <w:color w:val="auto"/>
        </w:rPr>
      </w:pPr>
      <w:r>
        <w:rPr>
          <w:rFonts w:ascii="Arial" w:cs="Arial" w:eastAsia="Arial" w:hAnsi="Arial"/>
          <w:sz w:val="16"/>
          <w:szCs w:val="16"/>
          <w:color w:val="010101"/>
        </w:rPr>
        <w:t>(A) any Wholly-Owned Subsidiary of the Company may be merged, amalgamated or consolidated with or into the Company (provided that the Company shall be the continuing or surviving entity) or (B) any Wholly-Owned Subsidiary of the Company may be merged, amalgamated or consolidated with or into any Guarantor (provided that the Guarantor shall be the continuing or surviving entity or simultaneously with such transaction, the continuing or surviving entity shall become a Guarantor and the Company shall comply with Section 5.01(j) in connection therewith);</w:t>
      </w:r>
    </w:p>
    <w:p>
      <w:pPr>
        <w:spacing w:after="0" w:line="138" w:lineRule="exact"/>
        <w:rPr>
          <w:rFonts w:ascii="Arial" w:cs="Arial" w:eastAsia="Arial" w:hAnsi="Arial"/>
          <w:sz w:val="16"/>
          <w:szCs w:val="16"/>
          <w:color w:val="auto"/>
        </w:rPr>
      </w:pPr>
    </w:p>
    <w:p>
      <w:pPr>
        <w:jc w:val="both"/>
        <w:ind w:left="500" w:right="40" w:firstLine="492"/>
        <w:spacing w:after="0" w:line="230" w:lineRule="auto"/>
        <w:tabs>
          <w:tab w:leader="none" w:pos="1389" w:val="left"/>
        </w:tabs>
        <w:numPr>
          <w:ilvl w:val="1"/>
          <w:numId w:val="144"/>
        </w:numPr>
        <w:rPr>
          <w:rFonts w:ascii="Arial" w:cs="Arial" w:eastAsia="Arial" w:hAnsi="Arial"/>
          <w:sz w:val="16"/>
          <w:szCs w:val="16"/>
          <w:color w:val="auto"/>
        </w:rPr>
      </w:pPr>
      <w:r>
        <w:rPr>
          <w:rFonts w:ascii="Arial" w:cs="Arial" w:eastAsia="Arial" w:hAnsi="Arial"/>
          <w:sz w:val="16"/>
          <w:szCs w:val="16"/>
          <w:color w:val="010101"/>
        </w:rPr>
        <w:t>(A) any Non-Guarantor Subsidiary that is a Foreign Subsidiary may be merged, amalgamated or consolidated with or into, or be liquidated into, any other Subsidiary and (B) any Non-Guarantor Subsidiary that is a Domestic Subsidiary may be merged, amalgamated or consolidated with or into, or be liquidated into, any other Domestic Subsidiary;</w:t>
      </w:r>
    </w:p>
    <w:p>
      <w:pPr>
        <w:spacing w:after="0" w:line="148" w:lineRule="exact"/>
        <w:rPr>
          <w:rFonts w:ascii="Arial" w:cs="Arial" w:eastAsia="Arial" w:hAnsi="Arial"/>
          <w:sz w:val="16"/>
          <w:szCs w:val="16"/>
          <w:color w:val="auto"/>
        </w:rPr>
      </w:pPr>
    </w:p>
    <w:p>
      <w:pPr>
        <w:jc w:val="both"/>
        <w:ind w:left="500" w:right="20" w:firstLine="492"/>
        <w:spacing w:after="0" w:line="230" w:lineRule="auto"/>
        <w:tabs>
          <w:tab w:leader="none" w:pos="1390" w:val="left"/>
        </w:tabs>
        <w:numPr>
          <w:ilvl w:val="1"/>
          <w:numId w:val="144"/>
        </w:numPr>
        <w:rPr>
          <w:rFonts w:ascii="Arial" w:cs="Arial" w:eastAsia="Arial" w:hAnsi="Arial"/>
          <w:sz w:val="16"/>
          <w:szCs w:val="16"/>
          <w:color w:val="auto"/>
        </w:rPr>
      </w:pPr>
      <w:r>
        <w:rPr>
          <w:rFonts w:ascii="Arial" w:cs="Arial" w:eastAsia="Arial" w:hAnsi="Arial"/>
          <w:sz w:val="16"/>
          <w:szCs w:val="16"/>
          <w:color w:val="010101"/>
        </w:rPr>
        <w:t xml:space="preserve">any Subsidiary of the Company may dispose of all or substantially all of its assets (upon voluntary liquidation, dissolution, winding up or otherwise) to the Company or any Guarantor;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with respect to any such disposition by any Non-Guarantor Subsidiary, the consideration for such disposition shall not exceed the fair value of such assets;</w:t>
      </w:r>
    </w:p>
    <w:p>
      <w:pPr>
        <w:spacing w:after="0" w:line="148" w:lineRule="exact"/>
        <w:rPr>
          <w:rFonts w:ascii="Arial" w:cs="Arial" w:eastAsia="Arial" w:hAnsi="Arial"/>
          <w:sz w:val="16"/>
          <w:szCs w:val="16"/>
          <w:color w:val="auto"/>
        </w:rPr>
      </w:pPr>
    </w:p>
    <w:p>
      <w:pPr>
        <w:jc w:val="both"/>
        <w:ind w:left="500" w:right="40" w:firstLine="492"/>
        <w:spacing w:after="0" w:line="230" w:lineRule="auto"/>
        <w:tabs>
          <w:tab w:leader="none" w:pos="1389" w:val="left"/>
        </w:tabs>
        <w:numPr>
          <w:ilvl w:val="1"/>
          <w:numId w:val="144"/>
        </w:numPr>
        <w:rPr>
          <w:rFonts w:ascii="Arial" w:cs="Arial" w:eastAsia="Arial" w:hAnsi="Arial"/>
          <w:sz w:val="16"/>
          <w:szCs w:val="16"/>
          <w:color w:val="auto"/>
        </w:rPr>
      </w:pPr>
      <w:r>
        <w:rPr>
          <w:rFonts w:ascii="Arial" w:cs="Arial" w:eastAsia="Arial" w:hAnsi="Arial"/>
          <w:sz w:val="16"/>
          <w:szCs w:val="16"/>
          <w:color w:val="010101"/>
        </w:rPr>
        <w:t>(A) any Non-Guarantor Subsidiary that is a Foreign Subsidiary may dispose of all or substantially all of its assets (upon voluntary liquidation, dissolution, winding up or otherwise) to any other Subsidiary and (B) any Non-Guarantor Subsidiary that is a Domestic Subsidiary may dispose of all or substantially all of its assets (upon voluntary liquidation, dissolution, winding up or otherwise) to any other Domestic Subsidiary;</w:t>
      </w:r>
    </w:p>
    <w:p>
      <w:pPr>
        <w:spacing w:after="0" w:line="137" w:lineRule="exact"/>
        <w:rPr>
          <w:rFonts w:ascii="Arial" w:cs="Arial" w:eastAsia="Arial" w:hAnsi="Arial"/>
          <w:sz w:val="16"/>
          <w:szCs w:val="16"/>
          <w:color w:val="auto"/>
        </w:rPr>
      </w:pPr>
    </w:p>
    <w:p>
      <w:pPr>
        <w:jc w:val="both"/>
        <w:ind w:left="500" w:firstLine="492"/>
        <w:spacing w:after="0" w:line="225" w:lineRule="auto"/>
        <w:tabs>
          <w:tab w:leader="none" w:pos="1389" w:val="left"/>
        </w:tabs>
        <w:numPr>
          <w:ilvl w:val="1"/>
          <w:numId w:val="144"/>
        </w:numPr>
        <w:rPr>
          <w:rFonts w:ascii="Arial" w:cs="Arial" w:eastAsia="Arial" w:hAnsi="Arial"/>
          <w:sz w:val="16"/>
          <w:szCs w:val="16"/>
          <w:color w:val="auto"/>
        </w:rPr>
      </w:pPr>
      <w:r>
        <w:rPr>
          <w:rFonts w:ascii="Arial" w:cs="Arial" w:eastAsia="Arial" w:hAnsi="Arial"/>
          <w:sz w:val="16"/>
          <w:szCs w:val="16"/>
          <w:color w:val="010101"/>
        </w:rPr>
        <w:t xml:space="preserve">any Subsidiary of the Company may merge with or into any Person;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in the case of any merger involving a Wholly-Owned Subsidiary that is a Guarantor, (x) a Guarantor shall be the continuing or surviving entity; (y) simultaneously with such transaction, the continuing or surviving entity shall become a Guarantor and the Company shall comply with Section 5.01(j) in connection therewith or (z) after giving effect to such merger, the surviving entity is not a Subsidiary of the Company and no longer a Guarantor; and</w:t>
      </w:r>
    </w:p>
    <w:p>
      <w:pPr>
        <w:spacing w:after="0" w:line="148" w:lineRule="exact"/>
        <w:rPr>
          <w:rFonts w:ascii="Arial" w:cs="Arial" w:eastAsia="Arial" w:hAnsi="Arial"/>
          <w:sz w:val="16"/>
          <w:szCs w:val="16"/>
          <w:color w:val="auto"/>
        </w:rPr>
      </w:pPr>
    </w:p>
    <w:p>
      <w:pPr>
        <w:jc w:val="both"/>
        <w:ind w:left="500" w:right="40" w:firstLine="492"/>
        <w:spacing w:after="0" w:line="230" w:lineRule="auto"/>
        <w:tabs>
          <w:tab w:leader="none" w:pos="1389" w:val="left"/>
        </w:tabs>
        <w:numPr>
          <w:ilvl w:val="1"/>
          <w:numId w:val="144"/>
        </w:numPr>
        <w:rPr>
          <w:rFonts w:ascii="Arial" w:cs="Arial" w:eastAsia="Arial" w:hAnsi="Arial"/>
          <w:sz w:val="16"/>
          <w:szCs w:val="16"/>
          <w:color w:val="auto"/>
        </w:rPr>
      </w:pPr>
      <w:r>
        <w:rPr>
          <w:rFonts w:ascii="Arial" w:cs="Arial" w:eastAsia="Arial" w:hAnsi="Arial"/>
          <w:sz w:val="16"/>
          <w:szCs w:val="16"/>
          <w:color w:val="010101"/>
        </w:rPr>
        <w:t xml:space="preserve">any Guarantor may dispose of all or substantially all of its assets to any other Person that is not the Company or any other Guarantor;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at the time of such disposition, the Company is in pro forma compliance with each of the financial covenants set forth in Section 5.03 after giving effect to such disposition.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47" w:name="page148"/>
    <w:bookmarkEnd w:id="147"/>
    <w:p>
      <w:pPr>
        <w:ind w:left="20" w:right="20"/>
        <w:spacing w:after="0" w:line="239" w:lineRule="auto"/>
        <w:rPr>
          <w:sz w:val="20"/>
          <w:szCs w:val="20"/>
          <w:color w:val="auto"/>
        </w:rPr>
      </w:pP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the Company may merge or consolidate with any other Person so long as the Company is the surviving entity and </w:t>
      </w:r>
      <w:r>
        <w:rPr>
          <w:rFonts w:ascii="Arial" w:cs="Arial" w:eastAsia="Arial" w:hAnsi="Arial"/>
          <w:sz w:val="16"/>
          <w:szCs w:val="16"/>
          <w:u w:val="single" w:color="auto"/>
          <w:color w:val="010101"/>
        </w:rPr>
        <w:t>provided further</w:t>
      </w:r>
      <w:r>
        <w:rPr>
          <w:rFonts w:ascii="Arial" w:cs="Arial" w:eastAsia="Arial" w:hAnsi="Arial"/>
          <w:sz w:val="16"/>
          <w:szCs w:val="16"/>
          <w:color w:val="010101"/>
        </w:rPr>
        <w:t xml:space="preserve"> that no Default shall have occurred and be continuing at the time of such proposed transaction or would result therefrom.</w:t>
      </w:r>
    </w:p>
    <w:p>
      <w:pPr>
        <w:spacing w:after="0" w:line="149" w:lineRule="exact"/>
        <w:rPr>
          <w:sz w:val="20"/>
          <w:szCs w:val="20"/>
          <w:color w:val="auto"/>
        </w:rPr>
      </w:pPr>
    </w:p>
    <w:p>
      <w:pPr>
        <w:jc w:val="both"/>
        <w:ind w:left="20" w:right="20" w:firstLine="487"/>
        <w:spacing w:after="0"/>
        <w:tabs>
          <w:tab w:leader="none" w:pos="910" w:val="left"/>
        </w:tabs>
        <w:numPr>
          <w:ilvl w:val="0"/>
          <w:numId w:val="145"/>
        </w:numPr>
        <w:rPr>
          <w:rFonts w:ascii="Arial" w:cs="Arial" w:eastAsia="Arial" w:hAnsi="Arial"/>
          <w:sz w:val="15"/>
          <w:szCs w:val="15"/>
          <w:color w:val="auto"/>
        </w:rPr>
      </w:pPr>
      <w:r>
        <w:rPr>
          <w:rFonts w:ascii="Arial" w:cs="Arial" w:eastAsia="Arial" w:hAnsi="Arial"/>
          <w:sz w:val="15"/>
          <w:szCs w:val="15"/>
          <w:u w:val="single" w:color="auto"/>
          <w:color w:val="010101"/>
        </w:rPr>
        <w:t>Accounting Changes; Material Contracts</w:t>
      </w:r>
      <w:r>
        <w:rPr>
          <w:rFonts w:ascii="Arial" w:cs="Arial" w:eastAsia="Arial" w:hAnsi="Arial"/>
          <w:sz w:val="15"/>
          <w:szCs w:val="15"/>
          <w:color w:val="010101"/>
        </w:rPr>
        <w:t>. Make or permit, or permit any of its Subsidiaries to make or permit, any change in accounting policies or reporting practices, except as permitted by generally accepted accounting principles and, in the case of any material change, concurred with by the Company’s independent public accountants. The Company will not, nor will it permit any Subsidiary to, amend, modify or waive, in any manner that would reasonably be expected to materially adversely affect the Lenders, any of its rights under any Material Contract without the prior written consent of the Required Lenders.</w:t>
      </w:r>
    </w:p>
    <w:p>
      <w:pPr>
        <w:spacing w:after="0" w:line="148" w:lineRule="exact"/>
        <w:rPr>
          <w:rFonts w:ascii="Arial" w:cs="Arial" w:eastAsia="Arial" w:hAnsi="Arial"/>
          <w:sz w:val="15"/>
          <w:szCs w:val="15"/>
          <w:color w:val="auto"/>
        </w:rPr>
      </w:pPr>
    </w:p>
    <w:p>
      <w:pPr>
        <w:ind w:left="20" w:right="20" w:firstLine="487"/>
        <w:spacing w:after="0" w:line="239" w:lineRule="auto"/>
        <w:tabs>
          <w:tab w:leader="none" w:pos="909"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010101"/>
        </w:rPr>
        <w:t>Debt, Investments and Restricted Payments</w:t>
      </w:r>
      <w:r>
        <w:rPr>
          <w:rFonts w:ascii="Arial" w:cs="Arial" w:eastAsia="Arial" w:hAnsi="Arial"/>
          <w:sz w:val="16"/>
          <w:szCs w:val="16"/>
          <w:color w:val="010101"/>
        </w:rPr>
        <w:t>. Create, incur, assume or permit to exist any Debt or make any Investments or Restricted Payments, or permit any of its Subsidiaries to do the same, except:</w:t>
      </w:r>
    </w:p>
    <w:p>
      <w:pPr>
        <w:spacing w:after="0" w:line="138" w:lineRule="exact"/>
        <w:rPr>
          <w:rFonts w:ascii="Arial" w:cs="Arial" w:eastAsia="Arial" w:hAnsi="Arial"/>
          <w:sz w:val="16"/>
          <w:szCs w:val="16"/>
          <w:color w:val="auto"/>
        </w:rPr>
      </w:pPr>
    </w:p>
    <w:p>
      <w:pPr>
        <w:ind w:left="1400" w:hanging="408"/>
        <w:spacing w:after="0"/>
        <w:tabs>
          <w:tab w:leader="none" w:pos="1400" w:val="left"/>
        </w:tabs>
        <w:numPr>
          <w:ilvl w:val="1"/>
          <w:numId w:val="145"/>
        </w:numPr>
        <w:rPr>
          <w:rFonts w:ascii="Arial" w:cs="Arial" w:eastAsia="Arial" w:hAnsi="Arial"/>
          <w:sz w:val="16"/>
          <w:szCs w:val="16"/>
          <w:color w:val="auto"/>
        </w:rPr>
      </w:pPr>
      <w:r>
        <w:rPr>
          <w:rFonts w:ascii="Arial" w:cs="Arial" w:eastAsia="Arial" w:hAnsi="Arial"/>
          <w:sz w:val="16"/>
          <w:szCs w:val="16"/>
          <w:color w:val="010101"/>
        </w:rPr>
        <w:t>Debt arising or existing under this Agreement and the other Loan Documents;</w:t>
      </w:r>
    </w:p>
    <w:p>
      <w:pPr>
        <w:spacing w:after="0" w:line="169" w:lineRule="exact"/>
        <w:rPr>
          <w:rFonts w:ascii="Arial" w:cs="Arial" w:eastAsia="Arial" w:hAnsi="Arial"/>
          <w:sz w:val="16"/>
          <w:szCs w:val="16"/>
          <w:color w:val="auto"/>
        </w:rPr>
      </w:pPr>
    </w:p>
    <w:p>
      <w:pPr>
        <w:ind w:left="1400" w:hanging="408"/>
        <w:spacing w:after="0"/>
        <w:tabs>
          <w:tab w:leader="none" w:pos="1400" w:val="left"/>
        </w:tabs>
        <w:numPr>
          <w:ilvl w:val="1"/>
          <w:numId w:val="145"/>
        </w:numPr>
        <w:rPr>
          <w:rFonts w:ascii="Arial" w:cs="Arial" w:eastAsia="Arial" w:hAnsi="Arial"/>
          <w:sz w:val="16"/>
          <w:szCs w:val="16"/>
          <w:color w:val="auto"/>
        </w:rPr>
      </w:pPr>
      <w:r>
        <w:rPr>
          <w:rFonts w:ascii="Arial" w:cs="Arial" w:eastAsia="Arial" w:hAnsi="Arial"/>
          <w:sz w:val="16"/>
          <w:szCs w:val="16"/>
          <w:color w:val="010101"/>
        </w:rPr>
        <w:t>Debt or Investments existing on the Effective Date and described on Schedule 5.02(d) hereto;</w:t>
      </w:r>
    </w:p>
    <w:p>
      <w:pPr>
        <w:spacing w:after="0" w:line="169" w:lineRule="exact"/>
        <w:rPr>
          <w:rFonts w:ascii="Arial" w:cs="Arial" w:eastAsia="Arial" w:hAnsi="Arial"/>
          <w:sz w:val="16"/>
          <w:szCs w:val="16"/>
          <w:color w:val="auto"/>
        </w:rPr>
      </w:pPr>
    </w:p>
    <w:p>
      <w:pPr>
        <w:jc w:val="both"/>
        <w:ind w:left="500" w:firstLine="492"/>
        <w:spacing w:after="0" w:line="215" w:lineRule="auto"/>
        <w:tabs>
          <w:tab w:leader="none" w:pos="1390" w:val="left"/>
        </w:tabs>
        <w:numPr>
          <w:ilvl w:val="1"/>
          <w:numId w:val="145"/>
        </w:numPr>
        <w:rPr>
          <w:rFonts w:ascii="Arial" w:cs="Arial" w:eastAsia="Arial" w:hAnsi="Arial"/>
          <w:sz w:val="16"/>
          <w:szCs w:val="16"/>
          <w:color w:val="auto"/>
        </w:rPr>
      </w:pPr>
      <w:r>
        <w:rPr>
          <w:rFonts w:ascii="Arial" w:cs="Arial" w:eastAsia="Arial" w:hAnsi="Arial"/>
          <w:sz w:val="16"/>
          <w:szCs w:val="16"/>
          <w:color w:val="010101"/>
        </w:rPr>
        <w:t xml:space="preserve">Debt of the Company and/or its Subsidiaries incurred after the Effective Date consisting of capital leases or Debt incurred to provide all or a portion of the purchase price or cost of acquisition of any real property and/or construction and improvements thereon or equipment or other fixed assets acquired or held by the Company and its Subsidiaries;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 such Debt when incurred shall not exceed the purchase price or cost of acquisition, construction or improvement of such asset(s);</w:t>
      </w:r>
    </w:p>
    <w:p>
      <w:pPr>
        <w:spacing w:after="0" w:line="1" w:lineRule="exact"/>
        <w:rPr>
          <w:sz w:val="20"/>
          <w:szCs w:val="20"/>
          <w:color w:val="auto"/>
        </w:rPr>
      </w:pPr>
    </w:p>
    <w:p>
      <w:pPr>
        <w:jc w:val="both"/>
        <w:ind w:left="500" w:right="20" w:firstLine="7"/>
        <w:spacing w:after="0" w:line="241" w:lineRule="auto"/>
        <w:tabs>
          <w:tab w:leader="none" w:pos="904" w:val="left"/>
        </w:tabs>
        <w:numPr>
          <w:ilvl w:val="0"/>
          <w:numId w:val="146"/>
        </w:numPr>
        <w:rPr>
          <w:rFonts w:ascii="Arial" w:cs="Arial" w:eastAsia="Arial" w:hAnsi="Arial"/>
          <w:sz w:val="14"/>
          <w:szCs w:val="14"/>
          <w:color w:val="010101"/>
        </w:rPr>
      </w:pPr>
      <w:r>
        <w:rPr>
          <w:rFonts w:ascii="Arial" w:cs="Arial" w:eastAsia="Arial" w:hAnsi="Arial"/>
          <w:sz w:val="14"/>
          <w:szCs w:val="14"/>
          <w:color w:val="010101"/>
        </w:rPr>
        <w:t>no such Debt shall be renewed, refinanced or extended for a principal amount in excess of the principal balance outstanding thereon at the time of such renewal, refinancing or extension (other than with respect to reasonable fees and expenses in connection with any such renewal, refinancing or extension); and</w:t>
      </w:r>
    </w:p>
    <w:p>
      <w:pPr>
        <w:ind w:left="780" w:hanging="273"/>
        <w:spacing w:after="0"/>
        <w:tabs>
          <w:tab w:leader="none" w:pos="780" w:val="left"/>
        </w:tabs>
        <w:numPr>
          <w:ilvl w:val="0"/>
          <w:numId w:val="146"/>
        </w:numPr>
        <w:rPr>
          <w:rFonts w:ascii="Arial" w:cs="Arial" w:eastAsia="Arial" w:hAnsi="Arial"/>
          <w:sz w:val="16"/>
          <w:szCs w:val="16"/>
          <w:color w:val="010101"/>
        </w:rPr>
      </w:pPr>
      <w:r>
        <w:rPr>
          <w:rFonts w:ascii="Arial" w:cs="Arial" w:eastAsia="Arial" w:hAnsi="Arial"/>
          <w:sz w:val="16"/>
          <w:szCs w:val="16"/>
          <w:color w:val="010101"/>
        </w:rPr>
        <w:t>the total amount of all such Debt shall not exceed $30,000,000 at any time outstanding;</w:t>
      </w:r>
    </w:p>
    <w:p>
      <w:pPr>
        <w:spacing w:after="0" w:line="145" w:lineRule="exact"/>
        <w:rPr>
          <w:rFonts w:ascii="Arial" w:cs="Arial" w:eastAsia="Arial" w:hAnsi="Arial"/>
          <w:sz w:val="16"/>
          <w:szCs w:val="16"/>
          <w:color w:val="010101"/>
        </w:rPr>
      </w:pPr>
    </w:p>
    <w:p>
      <w:pPr>
        <w:ind w:left="1480" w:hanging="488"/>
        <w:spacing w:after="0"/>
        <w:tabs>
          <w:tab w:leader="none" w:pos="1480" w:val="left"/>
        </w:tabs>
        <w:numPr>
          <w:ilvl w:val="1"/>
          <w:numId w:val="146"/>
        </w:numPr>
        <w:rPr>
          <w:rFonts w:ascii="Arial" w:cs="Arial" w:eastAsia="Arial" w:hAnsi="Arial"/>
          <w:sz w:val="16"/>
          <w:szCs w:val="16"/>
          <w:color w:val="auto"/>
        </w:rPr>
      </w:pPr>
      <w:r>
        <w:rPr>
          <w:rFonts w:ascii="Arial" w:cs="Arial" w:eastAsia="Arial" w:hAnsi="Arial"/>
          <w:sz w:val="16"/>
          <w:szCs w:val="16"/>
          <w:color w:val="010101"/>
        </w:rPr>
        <w:t>Guarantees of any Debt otherwise permitted to be incurred hereunder;</w:t>
      </w:r>
    </w:p>
    <w:p>
      <w:pPr>
        <w:spacing w:after="0" w:line="169" w:lineRule="exact"/>
        <w:rPr>
          <w:rFonts w:ascii="Arial" w:cs="Arial" w:eastAsia="Arial" w:hAnsi="Arial"/>
          <w:sz w:val="16"/>
          <w:szCs w:val="16"/>
          <w:color w:val="auto"/>
        </w:rPr>
      </w:pPr>
    </w:p>
    <w:p>
      <w:pPr>
        <w:ind w:left="1400" w:hanging="408"/>
        <w:spacing w:after="0"/>
        <w:tabs>
          <w:tab w:leader="none" w:pos="1400" w:val="left"/>
        </w:tabs>
        <w:numPr>
          <w:ilvl w:val="1"/>
          <w:numId w:val="146"/>
        </w:numPr>
        <w:rPr>
          <w:rFonts w:ascii="Arial" w:cs="Arial" w:eastAsia="Arial" w:hAnsi="Arial"/>
          <w:sz w:val="16"/>
          <w:szCs w:val="16"/>
          <w:color w:val="auto"/>
        </w:rPr>
      </w:pPr>
      <w:r>
        <w:rPr>
          <w:rFonts w:ascii="Arial" w:cs="Arial" w:eastAsia="Arial" w:hAnsi="Arial"/>
          <w:sz w:val="16"/>
          <w:szCs w:val="16"/>
          <w:color w:val="010101"/>
        </w:rPr>
        <w:t>Unsecured intercompany Debt among the Credit Parties or between Non-Guarantor Subsidiaries;</w:t>
      </w:r>
    </w:p>
    <w:p>
      <w:pPr>
        <w:spacing w:after="0" w:line="169" w:lineRule="exact"/>
        <w:rPr>
          <w:rFonts w:ascii="Arial" w:cs="Arial" w:eastAsia="Arial" w:hAnsi="Arial"/>
          <w:sz w:val="16"/>
          <w:szCs w:val="16"/>
          <w:color w:val="auto"/>
        </w:rPr>
      </w:pPr>
    </w:p>
    <w:p>
      <w:pPr>
        <w:ind w:left="1480" w:hanging="488"/>
        <w:spacing w:after="0"/>
        <w:tabs>
          <w:tab w:leader="none" w:pos="1480" w:val="left"/>
        </w:tabs>
        <w:numPr>
          <w:ilvl w:val="1"/>
          <w:numId w:val="146"/>
        </w:numPr>
        <w:rPr>
          <w:rFonts w:ascii="Arial" w:cs="Arial" w:eastAsia="Arial" w:hAnsi="Arial"/>
          <w:sz w:val="16"/>
          <w:szCs w:val="16"/>
          <w:color w:val="auto"/>
        </w:rPr>
      </w:pPr>
      <w:r>
        <w:rPr>
          <w:rFonts w:ascii="Arial" w:cs="Arial" w:eastAsia="Arial" w:hAnsi="Arial"/>
          <w:sz w:val="16"/>
          <w:szCs w:val="16"/>
          <w:color w:val="010101"/>
        </w:rPr>
        <w:t>Investments in, and loans to, any Credit Party;</w:t>
      </w:r>
    </w:p>
    <w:p>
      <w:pPr>
        <w:spacing w:after="0" w:line="159" w:lineRule="exact"/>
        <w:rPr>
          <w:rFonts w:ascii="Arial" w:cs="Arial" w:eastAsia="Arial" w:hAnsi="Arial"/>
          <w:sz w:val="16"/>
          <w:szCs w:val="16"/>
          <w:color w:val="auto"/>
        </w:rPr>
      </w:pPr>
    </w:p>
    <w:p>
      <w:pPr>
        <w:ind w:left="1400" w:hanging="408"/>
        <w:spacing w:after="0"/>
        <w:tabs>
          <w:tab w:leader="none" w:pos="1400" w:val="left"/>
        </w:tabs>
        <w:numPr>
          <w:ilvl w:val="1"/>
          <w:numId w:val="146"/>
        </w:numPr>
        <w:rPr>
          <w:rFonts w:ascii="Arial" w:cs="Arial" w:eastAsia="Arial" w:hAnsi="Arial"/>
          <w:sz w:val="15"/>
          <w:szCs w:val="15"/>
          <w:color w:val="auto"/>
        </w:rPr>
      </w:pPr>
      <w:r>
        <w:rPr>
          <w:rFonts w:ascii="Arial" w:cs="Arial" w:eastAsia="Arial" w:hAnsi="Arial"/>
          <w:sz w:val="15"/>
          <w:szCs w:val="15"/>
          <w:color w:val="010101"/>
        </w:rPr>
        <w:t>Investments in, and loans to, any Non-Guarantor Subsidiary in an aggregate amount not to exceed $25,000,000 at any time outstanding;</w:t>
      </w:r>
    </w:p>
    <w:p>
      <w:pPr>
        <w:spacing w:after="0" w:line="181" w:lineRule="exact"/>
        <w:rPr>
          <w:rFonts w:ascii="Arial" w:cs="Arial" w:eastAsia="Arial" w:hAnsi="Arial"/>
          <w:sz w:val="15"/>
          <w:szCs w:val="15"/>
          <w:color w:val="auto"/>
        </w:rPr>
      </w:pPr>
    </w:p>
    <w:p>
      <w:pPr>
        <w:ind w:left="1400" w:hanging="408"/>
        <w:spacing w:after="0"/>
        <w:tabs>
          <w:tab w:leader="none" w:pos="1400" w:val="left"/>
        </w:tabs>
        <w:numPr>
          <w:ilvl w:val="1"/>
          <w:numId w:val="146"/>
        </w:numPr>
        <w:rPr>
          <w:rFonts w:ascii="Arial" w:cs="Arial" w:eastAsia="Arial" w:hAnsi="Arial"/>
          <w:sz w:val="16"/>
          <w:szCs w:val="16"/>
          <w:color w:val="auto"/>
        </w:rPr>
      </w:pPr>
      <w:r>
        <w:rPr>
          <w:rFonts w:ascii="Arial" w:cs="Arial" w:eastAsia="Arial" w:hAnsi="Arial"/>
          <w:sz w:val="16"/>
          <w:szCs w:val="16"/>
          <w:color w:val="010101"/>
        </w:rPr>
        <w:t>Investments by any Non-Guarantor Subsidiary in another Non-Guarantor Subsidiary;</w:t>
      </w:r>
    </w:p>
    <w:p>
      <w:pPr>
        <w:spacing w:after="0" w:line="169" w:lineRule="exact"/>
        <w:rPr>
          <w:rFonts w:ascii="Arial" w:cs="Arial" w:eastAsia="Arial" w:hAnsi="Arial"/>
          <w:sz w:val="16"/>
          <w:szCs w:val="16"/>
          <w:color w:val="auto"/>
        </w:rPr>
      </w:pPr>
    </w:p>
    <w:p>
      <w:pPr>
        <w:ind w:left="1480" w:hanging="488"/>
        <w:spacing w:after="0"/>
        <w:tabs>
          <w:tab w:leader="none" w:pos="1480" w:val="left"/>
        </w:tabs>
        <w:numPr>
          <w:ilvl w:val="1"/>
          <w:numId w:val="146"/>
        </w:numPr>
        <w:rPr>
          <w:rFonts w:ascii="Arial" w:cs="Arial" w:eastAsia="Arial" w:hAnsi="Arial"/>
          <w:sz w:val="16"/>
          <w:szCs w:val="16"/>
          <w:color w:val="auto"/>
        </w:rPr>
      </w:pPr>
      <w:r>
        <w:rPr>
          <w:rFonts w:ascii="Arial" w:cs="Arial" w:eastAsia="Arial" w:hAnsi="Arial"/>
          <w:sz w:val="16"/>
          <w:szCs w:val="16"/>
          <w:color w:val="010101"/>
        </w:rPr>
        <w:t>Permitted Investments;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48" w:name="page149"/>
    <w:bookmarkEnd w:id="148"/>
    <w:p>
      <w:pPr>
        <w:ind w:left="1480" w:hanging="488"/>
        <w:spacing w:after="0"/>
        <w:tabs>
          <w:tab w:leader="none" w:pos="1480" w:val="left"/>
        </w:tabs>
        <w:numPr>
          <w:ilvl w:val="2"/>
          <w:numId w:val="147"/>
        </w:numPr>
        <w:rPr>
          <w:rFonts w:ascii="Arial" w:cs="Arial" w:eastAsia="Arial" w:hAnsi="Arial"/>
          <w:sz w:val="16"/>
          <w:szCs w:val="16"/>
          <w:color w:val="auto"/>
        </w:rPr>
      </w:pPr>
      <w:r>
        <w:rPr>
          <w:rFonts w:ascii="Arial" w:cs="Arial" w:eastAsia="Arial" w:hAnsi="Arial"/>
          <w:sz w:val="16"/>
          <w:szCs w:val="16"/>
          <w:color w:val="010101"/>
        </w:rPr>
        <w:t>Debt consisting of Floorplan Financings; and</w:t>
      </w:r>
    </w:p>
    <w:p>
      <w:pPr>
        <w:spacing w:after="0" w:line="169" w:lineRule="exact"/>
        <w:rPr>
          <w:rFonts w:ascii="Arial" w:cs="Arial" w:eastAsia="Arial" w:hAnsi="Arial"/>
          <w:sz w:val="16"/>
          <w:szCs w:val="16"/>
          <w:color w:val="auto"/>
        </w:rPr>
      </w:pPr>
    </w:p>
    <w:p>
      <w:pPr>
        <w:jc w:val="both"/>
        <w:ind w:left="500" w:right="20" w:firstLine="492"/>
        <w:spacing w:after="0" w:line="230" w:lineRule="auto"/>
        <w:tabs>
          <w:tab w:leader="none" w:pos="1389" w:val="left"/>
        </w:tabs>
        <w:numPr>
          <w:ilvl w:val="2"/>
          <w:numId w:val="147"/>
        </w:numPr>
        <w:rPr>
          <w:rFonts w:ascii="Arial" w:cs="Arial" w:eastAsia="Arial" w:hAnsi="Arial"/>
          <w:sz w:val="16"/>
          <w:szCs w:val="16"/>
          <w:color w:val="auto"/>
        </w:rPr>
      </w:pPr>
      <w:r>
        <w:rPr>
          <w:rFonts w:ascii="Arial" w:cs="Arial" w:eastAsia="Arial" w:hAnsi="Arial"/>
          <w:sz w:val="16"/>
          <w:szCs w:val="16"/>
          <w:color w:val="010101"/>
        </w:rPr>
        <w:t xml:space="preserve">other Debt, Investments and Restricted Payments of the Company and its Subsidiaries;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at the time of the initial creation, incurrence or assumption thereof, the Company is in pro forma compliance with each of the financial covenants set forth in Section 5.03 after giving effect to such Debt, Investments and Restricted Payment, as applicable;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further that any acquisition shall not be a “hostile” acquisition.</w:t>
      </w:r>
    </w:p>
    <w:p>
      <w:pPr>
        <w:spacing w:after="0" w:line="148" w:lineRule="exact"/>
        <w:rPr>
          <w:rFonts w:ascii="Arial" w:cs="Arial" w:eastAsia="Arial" w:hAnsi="Arial"/>
          <w:sz w:val="16"/>
          <w:szCs w:val="16"/>
          <w:color w:val="auto"/>
        </w:rPr>
      </w:pPr>
    </w:p>
    <w:p>
      <w:pPr>
        <w:jc w:val="both"/>
        <w:ind w:left="20" w:right="20" w:firstLine="487"/>
        <w:spacing w:after="0" w:line="220" w:lineRule="auto"/>
        <w:tabs>
          <w:tab w:leader="none" w:pos="910"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010101"/>
        </w:rPr>
        <w:t>Transactions with Affiliates</w:t>
      </w:r>
      <w:r>
        <w:rPr>
          <w:rFonts w:ascii="Arial" w:cs="Arial" w:eastAsia="Arial" w:hAnsi="Arial"/>
          <w:sz w:val="16"/>
          <w:szCs w:val="16"/>
          <w:color w:val="010101"/>
        </w:rPr>
        <w:t>. Enter into, or permit any of their Subsidiaries to enter into, any transaction or series of transactions, whether or not in the ordinary course of business, with any officer, director, shareholder or Affiliate involving aggregate payments or consideration in excess of $5,000,000, except (i) transactions on terms and conditions not materially less favorable then would be obtainable in a comparable arm’s-length transaction with a Person other than an officer, director, shareholder or Affiliate, (ii) transactions solely between or among the Company and/or any of its Subsidiaries, (iii) any Debt, Investment or Restricted Payment permitted by Section 5.02(d), and (iv) reasonable and customary compensation and reimbursements of expenses and indemnities provided to any director, officer or employee.</w:t>
      </w:r>
    </w:p>
    <w:p>
      <w:pPr>
        <w:spacing w:after="0" w:line="139" w:lineRule="exact"/>
        <w:rPr>
          <w:rFonts w:ascii="Arial" w:cs="Arial" w:eastAsia="Arial" w:hAnsi="Arial"/>
          <w:sz w:val="16"/>
          <w:szCs w:val="16"/>
          <w:color w:val="auto"/>
        </w:rPr>
      </w:pPr>
    </w:p>
    <w:p>
      <w:pPr>
        <w:jc w:val="both"/>
        <w:ind w:left="20" w:firstLine="487"/>
        <w:spacing w:after="0" w:line="230" w:lineRule="auto"/>
        <w:tabs>
          <w:tab w:leader="none" w:pos="909"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010101"/>
        </w:rPr>
        <w:t>Sale Leasebacks</w:t>
      </w:r>
      <w:r>
        <w:rPr>
          <w:rFonts w:ascii="Arial" w:cs="Arial" w:eastAsia="Arial" w:hAnsi="Arial"/>
          <w:sz w:val="16"/>
          <w:szCs w:val="16"/>
          <w:color w:val="010101"/>
        </w:rPr>
        <w:t xml:space="preserve">. Will not, and will not permit any Subsidiary to, enter into any Sale/Leaseback Transaction with respect to any property unless the Company and its Subsidiaries are in pro forma compliance with each of the financial covenants set forth in </w:t>
      </w:r>
      <w:r>
        <w:rPr>
          <w:rFonts w:ascii="Arial" w:cs="Arial" w:eastAsia="Arial" w:hAnsi="Arial"/>
          <w:sz w:val="16"/>
          <w:szCs w:val="16"/>
          <w:u w:val="single" w:color="auto"/>
          <w:color w:val="010101"/>
        </w:rPr>
        <w:t>Section 5.03</w:t>
      </w:r>
      <w:r>
        <w:rPr>
          <w:rFonts w:ascii="Arial" w:cs="Arial" w:eastAsia="Arial" w:hAnsi="Arial"/>
          <w:sz w:val="16"/>
          <w:szCs w:val="16"/>
          <w:color w:val="010101"/>
        </w:rPr>
        <w:t xml:space="preserve"> and such Sale/Leaseback Transaction is permitted by the terms of any Material Debt of the Company or any of its Subsidiaries then outstanding.</w:t>
      </w:r>
    </w:p>
    <w:p>
      <w:pPr>
        <w:spacing w:after="0" w:line="148" w:lineRule="exact"/>
        <w:rPr>
          <w:rFonts w:ascii="Arial" w:cs="Arial" w:eastAsia="Arial" w:hAnsi="Arial"/>
          <w:sz w:val="16"/>
          <w:szCs w:val="16"/>
          <w:color w:val="auto"/>
        </w:rPr>
      </w:pPr>
    </w:p>
    <w:p>
      <w:pPr>
        <w:jc w:val="both"/>
        <w:ind w:left="20" w:right="20" w:firstLine="487"/>
        <w:spacing w:after="0" w:line="243" w:lineRule="auto"/>
        <w:tabs>
          <w:tab w:leader="none" w:pos="909" w:val="left"/>
        </w:tabs>
        <w:numPr>
          <w:ilvl w:val="1"/>
          <w:numId w:val="148"/>
        </w:numPr>
        <w:rPr>
          <w:rFonts w:ascii="Arial" w:cs="Arial" w:eastAsia="Arial" w:hAnsi="Arial"/>
          <w:sz w:val="14"/>
          <w:szCs w:val="14"/>
          <w:color w:val="auto"/>
        </w:rPr>
      </w:pPr>
      <w:r>
        <w:rPr>
          <w:rFonts w:ascii="Arial" w:cs="Arial" w:eastAsia="Arial" w:hAnsi="Arial"/>
          <w:sz w:val="14"/>
          <w:szCs w:val="14"/>
          <w:u w:val="single" w:color="auto"/>
          <w:color w:val="010101"/>
        </w:rPr>
        <w:t>No Further Negative Pledges</w:t>
      </w:r>
      <w:r>
        <w:rPr>
          <w:rFonts w:ascii="Arial" w:cs="Arial" w:eastAsia="Arial" w:hAnsi="Arial"/>
          <w:sz w:val="14"/>
          <w:szCs w:val="14"/>
          <w:color w:val="010101"/>
        </w:rPr>
        <w:t xml:space="preserve">. Assume or become, or permit any of its Subsidiaries to assume or become, subject to any agreement prohibiting or otherwise restricting the creation or assumption of any Lien upon any of their properties or assets, whether now owned or hereafter acquired, to secure any Borrower Obligations, except (i) pursuant to this Agreement and the other Loan Documents, (ii) restrictions and conditions imposed by Applicable Law or existing on the Effective Date, (iii) pursuant to any document or instrument governing Debt incurred pursuant to Section 5.02(d)(iii);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any such restrictions apply only to the assets securing such Debt, (iv) in connection with any Permitted Lien or Lien permitted under Section 5.02(a) or any document or instrument governing any Permitted Lien or such other Lien;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any such restriction contained therein relates only to the asset or assets subject to such Permitted Lien, (v) customary restrictions contained in agreements relating to the sale of assets that are applicable solely pending such sale,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such restrictions and conditions apply only to the assets to be sold, (vi) restrictions imposed by agreements relating to Debt of any Subsidiary in existence at the time such Subsidiary became a Subsidiary,</w:t>
      </w:r>
    </w:p>
    <w:p>
      <w:pPr>
        <w:spacing w:after="0" w:line="3" w:lineRule="exact"/>
        <w:rPr>
          <w:rFonts w:ascii="Arial" w:cs="Arial" w:eastAsia="Arial" w:hAnsi="Arial"/>
          <w:sz w:val="14"/>
          <w:szCs w:val="14"/>
          <w:color w:val="auto"/>
        </w:rPr>
      </w:pPr>
    </w:p>
    <w:p>
      <w:pPr>
        <w:ind w:left="360" w:hanging="339"/>
        <w:spacing w:after="0" w:line="210" w:lineRule="auto"/>
        <w:tabs>
          <w:tab w:leader="none" w:pos="360" w:val="left"/>
        </w:tabs>
        <w:numPr>
          <w:ilvl w:val="0"/>
          <w:numId w:val="149"/>
        </w:numPr>
        <w:rPr>
          <w:rFonts w:ascii="Arial" w:cs="Arial" w:eastAsia="Arial" w:hAnsi="Arial"/>
          <w:sz w:val="16"/>
          <w:szCs w:val="16"/>
          <w:color w:val="010101"/>
        </w:rPr>
      </w:pPr>
      <w:r>
        <w:rPr>
          <w:rFonts w:ascii="Arial" w:cs="Arial" w:eastAsia="Arial" w:hAnsi="Arial"/>
          <w:sz w:val="16"/>
          <w:szCs w:val="16"/>
          <w:color w:val="010101"/>
        </w:rPr>
        <w:t>customary provisions in leases and other agreements restricting the assignment thereof,</w:t>
      </w:r>
    </w:p>
    <w:p>
      <w:pPr>
        <w:jc w:val="both"/>
        <w:ind w:left="20" w:right="20" w:firstLine="2"/>
        <w:spacing w:after="0" w:line="220" w:lineRule="auto"/>
        <w:tabs>
          <w:tab w:leader="none" w:pos="425" w:val="left"/>
        </w:tabs>
        <w:numPr>
          <w:ilvl w:val="0"/>
          <w:numId w:val="149"/>
        </w:numPr>
        <w:rPr>
          <w:rFonts w:ascii="Arial" w:cs="Arial" w:eastAsia="Arial" w:hAnsi="Arial"/>
          <w:sz w:val="16"/>
          <w:szCs w:val="16"/>
          <w:color w:val="010101"/>
        </w:rPr>
      </w:pPr>
      <w:r>
        <w:rPr>
          <w:rFonts w:ascii="Arial" w:cs="Arial" w:eastAsia="Arial" w:hAnsi="Arial"/>
          <w:sz w:val="16"/>
          <w:szCs w:val="16"/>
          <w:color w:val="010101"/>
        </w:rPr>
        <w:t xml:space="preserve">in the case of any Subsidiary that is not a Wholly-Owned Subsidiary, restrictions imposed by its organizational documents or any related joint venture or similar agreement;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such restrictions and conditions apply only to such Subsidiary and to any Equity Interests in such Subsidiary and (ix) restrictions imposed by the definitive documentation related to the Company’s 5.75% unsecured notes due 2026 and any refinancing thereof on terms substantially similar to such unsecured notes.</w:t>
      </w:r>
    </w:p>
    <w:p>
      <w:pPr>
        <w:spacing w:after="0" w:line="15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5.03.</w:t>
      </w:r>
      <w:r>
        <w:rPr>
          <w:sz w:val="20"/>
          <w:szCs w:val="20"/>
          <w:color w:val="auto"/>
        </w:rPr>
        <w:tab/>
      </w:r>
      <w:r>
        <w:rPr>
          <w:rFonts w:ascii="Arial" w:cs="Arial" w:eastAsia="Arial" w:hAnsi="Arial"/>
          <w:sz w:val="14"/>
          <w:szCs w:val="14"/>
          <w:u w:val="single" w:color="auto"/>
          <w:color w:val="010101"/>
        </w:rPr>
        <w:t>Financial Covenants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49" w:name="page150"/>
    <w:bookmarkEnd w:id="149"/>
    <w:p>
      <w:pPr>
        <w:ind w:left="20" w:firstLine="487"/>
        <w:spacing w:after="0" w:line="239" w:lineRule="auto"/>
        <w:tabs>
          <w:tab w:leader="none" w:pos="587" w:val="left"/>
        </w:tabs>
        <w:numPr>
          <w:ilvl w:val="0"/>
          <w:numId w:val="150"/>
        </w:numPr>
        <w:rPr>
          <w:rFonts w:ascii="Arial" w:cs="Arial" w:eastAsia="Arial" w:hAnsi="Arial"/>
          <w:sz w:val="16"/>
          <w:szCs w:val="16"/>
          <w:color w:val="010101"/>
        </w:rPr>
      </w:pPr>
      <w:r>
        <w:rPr>
          <w:rFonts w:ascii="Arial" w:cs="Arial" w:eastAsia="Arial" w:hAnsi="Arial"/>
          <w:sz w:val="16"/>
          <w:szCs w:val="16"/>
          <w:color w:val="010101"/>
        </w:rPr>
        <w:t>So long as any Advance shall remain unpaid or any Lender shall have any Commitment hereunder, the Company and its Subsidiaries will maintain, as of the end of each fiscal quarter beginning with the fiscal quarter ending June 30, 2022:</w:t>
      </w:r>
    </w:p>
    <w:p>
      <w:pPr>
        <w:spacing w:after="0" w:line="149" w:lineRule="exact"/>
        <w:rPr>
          <w:sz w:val="20"/>
          <w:szCs w:val="20"/>
          <w:color w:val="auto"/>
        </w:rPr>
      </w:pPr>
    </w:p>
    <w:p>
      <w:pPr>
        <w:jc w:val="both"/>
        <w:ind w:left="20" w:firstLine="487"/>
        <w:spacing w:after="0"/>
        <w:tabs>
          <w:tab w:leader="none" w:pos="910" w:val="left"/>
        </w:tabs>
        <w:numPr>
          <w:ilvl w:val="0"/>
          <w:numId w:val="151"/>
        </w:numPr>
        <w:rPr>
          <w:rFonts w:ascii="Arial" w:cs="Arial" w:eastAsia="Arial" w:hAnsi="Arial"/>
          <w:sz w:val="15"/>
          <w:szCs w:val="15"/>
          <w:color w:val="auto"/>
        </w:rPr>
      </w:pPr>
      <w:r>
        <w:rPr>
          <w:rFonts w:ascii="Arial" w:cs="Arial" w:eastAsia="Arial" w:hAnsi="Arial"/>
          <w:sz w:val="15"/>
          <w:szCs w:val="15"/>
          <w:color w:val="010101"/>
        </w:rPr>
        <w:t xml:space="preserve">a Total Net Leverage Ratio of not greater than 3.50 to 1.00;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with respect to any purchase or acquisition of Equity Interests in or evidences of indebtedness of or other securities of, or all or substantially all of the assets of, any Person (whether for cash, property, services, assumption of Debt, securities or otherwise) that is permitted by Section 5.02(d) and where the aggregate consideration exceeds $100,000,000 (a “</w:t>
      </w:r>
      <w:r>
        <w:rPr>
          <w:rFonts w:ascii="Arial" w:cs="Arial" w:eastAsia="Arial" w:hAnsi="Arial"/>
          <w:sz w:val="15"/>
          <w:szCs w:val="15"/>
          <w:u w:val="single" w:color="auto"/>
          <w:color w:val="010101"/>
        </w:rPr>
        <w:t>Specified Acquisition</w:t>
      </w:r>
      <w:r>
        <w:rPr>
          <w:rFonts w:ascii="Arial" w:cs="Arial" w:eastAsia="Arial" w:hAnsi="Arial"/>
          <w:sz w:val="15"/>
          <w:szCs w:val="15"/>
          <w:color w:val="010101"/>
        </w:rPr>
        <w:t>”), the Total Net Leverage Ratio required by this Section 5.03(a) shall be 3.75 to 1.00 for the four quarters ending on or after the date such Specified Acquisition is consummated; and</w:t>
      </w:r>
    </w:p>
    <w:p>
      <w:pPr>
        <w:spacing w:after="0" w:line="148" w:lineRule="exact"/>
        <w:rPr>
          <w:rFonts w:ascii="Arial" w:cs="Arial" w:eastAsia="Arial" w:hAnsi="Arial"/>
          <w:sz w:val="15"/>
          <w:szCs w:val="15"/>
          <w:color w:val="auto"/>
        </w:rPr>
      </w:pPr>
    </w:p>
    <w:p>
      <w:pPr>
        <w:ind w:left="1000" w:hanging="493"/>
        <w:spacing w:after="0"/>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010101"/>
        </w:rPr>
        <w:t>a Consolidated Interest Coverage Ratio of not less than 3.50 to 1.00.</w:t>
      </w:r>
    </w:p>
    <w:p>
      <w:pPr>
        <w:spacing w:after="0" w:line="27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 xml:space="preserve">ARTICLE VI </w:t>
      </w:r>
      <w:r>
        <w:rPr>
          <w:rFonts w:ascii="Arial" w:cs="Arial" w:eastAsia="Arial" w:hAnsi="Arial"/>
          <w:sz w:val="16"/>
          <w:szCs w:val="16"/>
          <w:color w:val="010101"/>
        </w:rPr>
        <w:t>EVENTS OF DEFAULT</w:t>
      </w:r>
    </w:p>
    <w:p>
      <w:pPr>
        <w:spacing w:after="0" w:line="7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6.01.</w:t>
      </w:r>
      <w:r>
        <w:rPr>
          <w:sz w:val="20"/>
          <w:szCs w:val="20"/>
          <w:color w:val="auto"/>
        </w:rPr>
        <w:tab/>
      </w:r>
      <w:r>
        <w:rPr>
          <w:rFonts w:ascii="Arial" w:cs="Arial" w:eastAsia="Arial" w:hAnsi="Arial"/>
          <w:sz w:val="14"/>
          <w:szCs w:val="14"/>
          <w:u w:val="single" w:color="auto"/>
          <w:color w:val="010101"/>
        </w:rPr>
        <w:t>Events of Default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 If any of the following events (“Events of Default”) shall occur and be continuing:</w:t>
      </w:r>
    </w:p>
    <w:p>
      <w:pPr>
        <w:spacing w:after="0" w:line="170" w:lineRule="exact"/>
        <w:rPr>
          <w:sz w:val="20"/>
          <w:szCs w:val="20"/>
          <w:color w:val="auto"/>
        </w:rPr>
      </w:pPr>
    </w:p>
    <w:p>
      <w:pPr>
        <w:jc w:val="both"/>
        <w:ind w:left="20" w:firstLine="487"/>
        <w:spacing w:after="0" w:line="237" w:lineRule="auto"/>
        <w:tabs>
          <w:tab w:leader="none" w:pos="910" w:val="left"/>
        </w:tabs>
        <w:numPr>
          <w:ilvl w:val="0"/>
          <w:numId w:val="152"/>
        </w:numPr>
        <w:rPr>
          <w:rFonts w:ascii="Arial" w:cs="Arial" w:eastAsia="Arial" w:hAnsi="Arial"/>
          <w:sz w:val="15"/>
          <w:szCs w:val="15"/>
          <w:color w:val="auto"/>
        </w:rPr>
      </w:pPr>
      <w:r>
        <w:rPr>
          <w:rFonts w:ascii="Arial" w:cs="Arial" w:eastAsia="Arial" w:hAnsi="Arial"/>
          <w:sz w:val="15"/>
          <w:szCs w:val="15"/>
          <w:color w:val="010101"/>
        </w:rPr>
        <w:t>Any principal of any Advance or Reimbursement Obligation shall not be paid when the same becomes due and payable and in the Currency required hereunder or fail to provide Cash Collateral with respect to any Letter of Credit when required hereunder (or, if any such failure is due solely to technical or administrative difficulties of the Administrative Agent relating to the transfer of such payment, within two Business Days after the same becomes due and payable); or any interest on any Advance or Reimbursement Obligation or any other fees or other amounts payable under this Agreement or any other Loan Document shall not be paid in the Currency required hereunder within three Business Days after the same becomes due and payable; or</w:t>
      </w:r>
    </w:p>
    <w:p>
      <w:pPr>
        <w:spacing w:after="0" w:line="138" w:lineRule="exact"/>
        <w:rPr>
          <w:rFonts w:ascii="Arial" w:cs="Arial" w:eastAsia="Arial" w:hAnsi="Arial"/>
          <w:sz w:val="15"/>
          <w:szCs w:val="15"/>
          <w:color w:val="auto"/>
        </w:rPr>
      </w:pPr>
    </w:p>
    <w:p>
      <w:pPr>
        <w:ind w:left="20" w:firstLine="487"/>
        <w:spacing w:after="0" w:line="239" w:lineRule="auto"/>
        <w:tabs>
          <w:tab w:leader="none" w:pos="909" w:val="left"/>
        </w:tabs>
        <w:numPr>
          <w:ilvl w:val="0"/>
          <w:numId w:val="152"/>
        </w:numPr>
        <w:rPr>
          <w:rFonts w:ascii="Arial" w:cs="Arial" w:eastAsia="Arial" w:hAnsi="Arial"/>
          <w:sz w:val="16"/>
          <w:szCs w:val="16"/>
          <w:color w:val="auto"/>
        </w:rPr>
      </w:pPr>
      <w:r>
        <w:rPr>
          <w:rFonts w:ascii="Arial" w:cs="Arial" w:eastAsia="Arial" w:hAnsi="Arial"/>
          <w:sz w:val="16"/>
          <w:szCs w:val="16"/>
          <w:color w:val="010101"/>
        </w:rPr>
        <w:t>Any representation or warranty made by any Credit Party in any Loan Document or by any Credit Party (or any of its officers) in connection with any Loan Document shall prove to have been incorrect in any material respect when made; or</w:t>
      </w:r>
    </w:p>
    <w:p>
      <w:pPr>
        <w:spacing w:after="0" w:line="148" w:lineRule="exact"/>
        <w:rPr>
          <w:rFonts w:ascii="Arial" w:cs="Arial" w:eastAsia="Arial" w:hAnsi="Arial"/>
          <w:sz w:val="16"/>
          <w:szCs w:val="16"/>
          <w:color w:val="auto"/>
        </w:rPr>
      </w:pPr>
    </w:p>
    <w:p>
      <w:pPr>
        <w:jc w:val="both"/>
        <w:ind w:left="20" w:firstLine="487"/>
        <w:spacing w:after="0" w:line="248" w:lineRule="auto"/>
        <w:tabs>
          <w:tab w:leader="none" w:pos="910" w:val="left"/>
        </w:tabs>
        <w:numPr>
          <w:ilvl w:val="0"/>
          <w:numId w:val="152"/>
        </w:numPr>
        <w:rPr>
          <w:rFonts w:ascii="Arial" w:cs="Arial" w:eastAsia="Arial" w:hAnsi="Arial"/>
          <w:sz w:val="15"/>
          <w:szCs w:val="15"/>
          <w:color w:val="auto"/>
        </w:rPr>
      </w:pPr>
      <w:r>
        <w:rPr>
          <w:rFonts w:ascii="Arial" w:cs="Arial" w:eastAsia="Arial" w:hAnsi="Arial"/>
          <w:sz w:val="15"/>
          <w:szCs w:val="15"/>
          <w:color w:val="010101"/>
        </w:rPr>
        <w:t>(i) Any Credit Party shall fail to perform or observe any term, covenant or agreement contained in Section 2.16, 5.01(d) or (i)(iii), 5.02 or 5.03, or (ii) any Credit Party shall fail to perform or observe any other term, covenant or agreement contained in this Agreement on its part to be performed or observed if such failure shall remain unremedied for 30 days after written notice thereof shall have been given to the Company by the Administrative Agent or any Lender; or</w:t>
      </w:r>
    </w:p>
    <w:p>
      <w:pPr>
        <w:spacing w:after="0" w:line="142" w:lineRule="exact"/>
        <w:rPr>
          <w:rFonts w:ascii="Arial" w:cs="Arial" w:eastAsia="Arial" w:hAnsi="Arial"/>
          <w:sz w:val="15"/>
          <w:szCs w:val="15"/>
          <w:color w:val="auto"/>
        </w:rPr>
      </w:pPr>
    </w:p>
    <w:p>
      <w:pPr>
        <w:jc w:val="both"/>
        <w:ind w:left="20" w:firstLine="487"/>
        <w:spacing w:after="0" w:line="248" w:lineRule="auto"/>
        <w:tabs>
          <w:tab w:leader="none" w:pos="909" w:val="left"/>
        </w:tabs>
        <w:numPr>
          <w:ilvl w:val="0"/>
          <w:numId w:val="152"/>
        </w:numPr>
        <w:rPr>
          <w:rFonts w:ascii="Arial" w:cs="Arial" w:eastAsia="Arial" w:hAnsi="Arial"/>
          <w:sz w:val="15"/>
          <w:szCs w:val="15"/>
          <w:color w:val="auto"/>
        </w:rPr>
      </w:pPr>
      <w:r>
        <w:rPr>
          <w:rFonts w:ascii="Arial" w:cs="Arial" w:eastAsia="Arial" w:hAnsi="Arial"/>
          <w:sz w:val="15"/>
          <w:szCs w:val="15"/>
          <w:color w:val="010101"/>
        </w:rPr>
        <w:t>(i) The Company and/or any of its Subsidiaries shall fail to pay any principal of or premium or interest on any Debt (other than Non-Recourse Debt), individually or collectively, that is outstanding in a principal amount of at least $35,000,000 in the aggregate (“</w:t>
      </w:r>
      <w:r>
        <w:rPr>
          <w:rFonts w:ascii="Arial" w:cs="Arial" w:eastAsia="Arial" w:hAnsi="Arial"/>
          <w:sz w:val="15"/>
          <w:szCs w:val="15"/>
          <w:u w:val="single" w:color="auto"/>
          <w:color w:val="010101"/>
        </w:rPr>
        <w:t>Material Debt</w:t>
      </w:r>
      <w:r>
        <w:rPr>
          <w:rFonts w:ascii="Arial" w:cs="Arial" w:eastAsia="Arial" w:hAnsi="Arial"/>
          <w:sz w:val="15"/>
          <w:szCs w:val="15"/>
          <w:color w:val="010101"/>
        </w:rPr>
        <w:t>”) (but excluding Debt outstanding hereunder), when the same becomes due and payable (whether by scheduled maturity, required prepayment, acceleration, demand or otherwise), and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50" w:name="page151"/>
    <w:bookmarkEnd w:id="150"/>
    <w:p>
      <w:pPr>
        <w:jc w:val="both"/>
        <w:ind w:left="20" w:right="20"/>
        <w:spacing w:after="0" w:line="222" w:lineRule="auto"/>
        <w:rPr>
          <w:sz w:val="20"/>
          <w:szCs w:val="20"/>
          <w:color w:val="auto"/>
        </w:rPr>
      </w:pPr>
      <w:r>
        <w:rPr>
          <w:rFonts w:ascii="Arial" w:cs="Arial" w:eastAsia="Arial" w:hAnsi="Arial"/>
          <w:sz w:val="16"/>
          <w:szCs w:val="16"/>
          <w:color w:val="010101"/>
        </w:rPr>
        <w:t xml:space="preserve">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this clause (d)(ii) shall not apply to secured Debt that becomes due as a result of the voluntary sale or transfer of the property or assets securing such Debt if the amount that becomes due is promptly paid; or</w:t>
      </w:r>
    </w:p>
    <w:p>
      <w:pPr>
        <w:spacing w:after="0" w:line="149" w:lineRule="exact"/>
        <w:rPr>
          <w:sz w:val="20"/>
          <w:szCs w:val="20"/>
          <w:color w:val="auto"/>
        </w:rPr>
      </w:pPr>
    </w:p>
    <w:p>
      <w:pPr>
        <w:jc w:val="both"/>
        <w:ind w:left="20" w:firstLine="487"/>
        <w:spacing w:after="0" w:line="229" w:lineRule="auto"/>
        <w:tabs>
          <w:tab w:leader="none" w:pos="910" w:val="left"/>
        </w:tabs>
        <w:numPr>
          <w:ilvl w:val="0"/>
          <w:numId w:val="153"/>
        </w:numPr>
        <w:rPr>
          <w:rFonts w:ascii="Arial" w:cs="Arial" w:eastAsia="Arial" w:hAnsi="Arial"/>
          <w:sz w:val="15"/>
          <w:szCs w:val="15"/>
          <w:color w:val="auto"/>
        </w:rPr>
      </w:pPr>
      <w:r>
        <w:rPr>
          <w:rFonts w:ascii="Arial" w:cs="Arial" w:eastAsia="Arial" w:hAnsi="Arial"/>
          <w:sz w:val="15"/>
          <w:szCs w:val="15"/>
          <w:color w:val="010101"/>
        </w:rPr>
        <w:t>Any Credit Party or any of the Company’s Significant Subsidiaries shall generally not pay its debts as such debts become due, or shall admit in writing its inability to pay its debts generally, or shall make a general assignment for the benefit of creditors; a moratorium is declared in respect of any indebtedness of any Credit Party or any of the Company’s Significant Subsidiaries or any proceeding shall be instituted by or against any Credit Party or any of the Company’s Significant Subsidiaries seeking to adjudicate it bankrupt or insolvent, or seeking liquidation, winding up, reorganization (by way of voluntary arrangement, scheme or otherwise), dissolution, administration, judicial management, provisional supervision, arrangement, adjustment, protection, relief, or composition of it or its debts or any analogous procedure or step taken under any Debtor Relief Laws, or seeking the entry of an order for relief or the appointment of a receiver, trustee, custodian, judicial manager, administrator, administrative receiver, compulsory manager, provisional supervisor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judicial manager, administrator, administrative receiver, compulsory manager, provisional supervisor, liquidator or other similar official for, it or for any substantial part of its property shall occur or, in the case of any Foreign Borrower formed under the laws of Australia, any corporate action or legal proceedings are taken in relation to the appointment of a liquidator, receiver, administrator, administrative receiver, compulsory manager or other similar officer in respect of it or any of its assets; or any Credit Party or any of the Company’s Significant Subsidiaries shall take any corporate action to authorize any of the actions set forth above in this subsection (e); or</w:t>
      </w:r>
    </w:p>
    <w:p>
      <w:pPr>
        <w:spacing w:after="0" w:line="154" w:lineRule="exact"/>
        <w:rPr>
          <w:rFonts w:ascii="Arial" w:cs="Arial" w:eastAsia="Arial" w:hAnsi="Arial"/>
          <w:sz w:val="15"/>
          <w:szCs w:val="15"/>
          <w:color w:val="auto"/>
        </w:rPr>
      </w:pPr>
    </w:p>
    <w:p>
      <w:pPr>
        <w:jc w:val="both"/>
        <w:ind w:left="20" w:right="20" w:firstLine="487"/>
        <w:spacing w:after="0" w:line="233" w:lineRule="auto"/>
        <w:tabs>
          <w:tab w:leader="none" w:pos="909" w:val="left"/>
        </w:tabs>
        <w:numPr>
          <w:ilvl w:val="0"/>
          <w:numId w:val="153"/>
        </w:numPr>
        <w:rPr>
          <w:rFonts w:ascii="Arial" w:cs="Arial" w:eastAsia="Arial" w:hAnsi="Arial"/>
          <w:sz w:val="15"/>
          <w:szCs w:val="15"/>
          <w:color w:val="auto"/>
        </w:rPr>
      </w:pPr>
      <w:r>
        <w:rPr>
          <w:rFonts w:ascii="Arial" w:cs="Arial" w:eastAsia="Arial" w:hAnsi="Arial"/>
          <w:sz w:val="15"/>
          <w:szCs w:val="15"/>
          <w:color w:val="010101"/>
        </w:rPr>
        <w:t xml:space="preserve">Any judgment or order of a court of competent jurisdiction for the payment of money in excess of $35,000,000 shall be rendered against any Credit Party or any of the Company’s Significant Subsidiaries, such judgment shall not be satisfied or otherwise discharged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however</w:t>
      </w:r>
      <w:r>
        <w:rPr>
          <w:rFonts w:ascii="Arial" w:cs="Arial" w:eastAsia="Arial" w:hAnsi="Arial"/>
          <w:sz w:val="15"/>
          <w:szCs w:val="15"/>
          <w:color w:val="010101"/>
        </w:rPr>
        <w:t>,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89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51" w:name="page152"/>
    <w:bookmarkEnd w:id="151"/>
    <w:p>
      <w:pPr>
        <w:jc w:val="both"/>
        <w:ind w:left="20" w:right="20" w:firstLine="487"/>
        <w:spacing w:after="0" w:line="222" w:lineRule="auto"/>
        <w:tabs>
          <w:tab w:leader="none" w:pos="909" w:val="left"/>
        </w:tabs>
        <w:numPr>
          <w:ilvl w:val="0"/>
          <w:numId w:val="154"/>
        </w:numPr>
        <w:rPr>
          <w:rFonts w:ascii="Arial" w:cs="Arial" w:eastAsia="Arial" w:hAnsi="Arial"/>
          <w:sz w:val="16"/>
          <w:szCs w:val="16"/>
          <w:color w:val="auto"/>
        </w:rPr>
      </w:pPr>
      <w:r>
        <w:rPr>
          <w:rFonts w:ascii="Arial" w:cs="Arial" w:eastAsia="Arial" w:hAnsi="Arial"/>
          <w:sz w:val="16"/>
          <w:szCs w:val="16"/>
          <w:color w:val="010101"/>
        </w:rPr>
        <w:t>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Company (or other securities convertible into such Voting Stock) representing 30% or more of the combined voting power of all Voting Stock of the Company and such combined voting power exceeds the then current voting power of the Voting Stock of the Company (or other securities convertible into such Voting Stock) controlled by the Graham Interests; or</w:t>
      </w:r>
    </w:p>
    <w:p>
      <w:pPr>
        <w:spacing w:after="0" w:line="149" w:lineRule="exact"/>
        <w:rPr>
          <w:rFonts w:ascii="Arial" w:cs="Arial" w:eastAsia="Arial" w:hAnsi="Arial"/>
          <w:sz w:val="16"/>
          <w:szCs w:val="16"/>
          <w:color w:val="auto"/>
        </w:rPr>
      </w:pPr>
    </w:p>
    <w:p>
      <w:pPr>
        <w:jc w:val="both"/>
        <w:ind w:left="20" w:right="20" w:firstLine="487"/>
        <w:spacing w:after="0" w:line="220" w:lineRule="auto"/>
        <w:tabs>
          <w:tab w:leader="none" w:pos="909" w:val="left"/>
        </w:tabs>
        <w:numPr>
          <w:ilvl w:val="0"/>
          <w:numId w:val="154"/>
        </w:numPr>
        <w:rPr>
          <w:rFonts w:ascii="Arial" w:cs="Arial" w:eastAsia="Arial" w:hAnsi="Arial"/>
          <w:sz w:val="16"/>
          <w:szCs w:val="16"/>
          <w:color w:val="auto"/>
        </w:rPr>
      </w:pPr>
      <w:r>
        <w:rPr>
          <w:rFonts w:ascii="Arial" w:cs="Arial" w:eastAsia="Arial" w:hAnsi="Arial"/>
          <w:sz w:val="16"/>
          <w:szCs w:val="16"/>
          <w:color w:val="010101"/>
        </w:rPr>
        <w:t xml:space="preserve">Any Credit Party or any of its ERISA Affiliates shall incur liability as a result of one or more of the following: (i) the occurrence of any ERISA Event; (ii) the partial or complete withdrawal of any Credit Party or any of its ERISA Affiliates from a Multiemployer Plan or a determination that a Multiemployer Plan is in “endangered” or “critical” status within the meaning of Section 432 of the Internal Revenue Code or Section 305 of ERISA; or (iii) the reorganization, insolvency or termination of a Multiemployer Plan;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in the event of any of the above and, in the reasonable opinion of the Required Lenders, such liability would reasonably be likely to result in a Material Adverse Effect, </w:t>
      </w:r>
      <w:r>
        <w:rPr>
          <w:rFonts w:ascii="Arial" w:cs="Arial" w:eastAsia="Arial" w:hAnsi="Arial"/>
          <w:sz w:val="16"/>
          <w:szCs w:val="16"/>
          <w:u w:val="single" w:color="auto"/>
          <w:color w:val="010101"/>
        </w:rPr>
        <w:t>provided</w:t>
      </w:r>
      <w:r>
        <w:rPr>
          <w:rFonts w:ascii="Arial" w:cs="Arial" w:eastAsia="Arial" w:hAnsi="Arial"/>
          <w:sz w:val="16"/>
          <w:szCs w:val="16"/>
          <w:color w:val="010101"/>
        </w:rPr>
        <w:t>, further, that any such liability in an amount not to exceed $35,000,000 shall be deemed not to be reasonably likely to result in a Material Adverse Effect;</w:t>
      </w:r>
    </w:p>
    <w:p>
      <w:pPr>
        <w:spacing w:after="0" w:line="150" w:lineRule="exact"/>
        <w:rPr>
          <w:rFonts w:ascii="Arial" w:cs="Arial" w:eastAsia="Arial" w:hAnsi="Arial"/>
          <w:sz w:val="16"/>
          <w:szCs w:val="16"/>
          <w:color w:val="auto"/>
        </w:rPr>
      </w:pPr>
    </w:p>
    <w:p>
      <w:pPr>
        <w:jc w:val="both"/>
        <w:ind w:left="20" w:firstLine="487"/>
        <w:spacing w:after="0" w:line="225" w:lineRule="auto"/>
        <w:tabs>
          <w:tab w:leader="none" w:pos="909" w:val="left"/>
        </w:tabs>
        <w:numPr>
          <w:ilvl w:val="0"/>
          <w:numId w:val="154"/>
        </w:numPr>
        <w:rPr>
          <w:rFonts w:ascii="Arial" w:cs="Arial" w:eastAsia="Arial" w:hAnsi="Arial"/>
          <w:sz w:val="16"/>
          <w:szCs w:val="16"/>
          <w:color w:val="auto"/>
        </w:rPr>
      </w:pPr>
      <w:r>
        <w:rPr>
          <w:rFonts w:ascii="Arial" w:cs="Arial" w:eastAsia="Arial" w:hAnsi="Arial"/>
          <w:sz w:val="16"/>
          <w:szCs w:val="16"/>
          <w:color w:val="010101"/>
        </w:rPr>
        <w:t>At any time after the execution and delivery thereof, any Loan Document, for any reason other than the satisfaction in full of all Borrower Obligations, shall cease to be in full force and effect (other than in accordance with its terms) or shall be declared to be null and void, or any Credit Party shall contest the validity or enforceability of any Loan Document in writing or deny in writing that it has any further liability, including with respect to future advances by the Lenders, under any Loan Document to which it is a party; or</w:t>
      </w:r>
    </w:p>
    <w:p>
      <w:pPr>
        <w:spacing w:after="0" w:line="138" w:lineRule="exact"/>
        <w:rPr>
          <w:rFonts w:ascii="Arial" w:cs="Arial" w:eastAsia="Arial" w:hAnsi="Arial"/>
          <w:sz w:val="16"/>
          <w:szCs w:val="16"/>
          <w:color w:val="auto"/>
        </w:rPr>
      </w:pPr>
    </w:p>
    <w:p>
      <w:pPr>
        <w:jc w:val="both"/>
        <w:ind w:left="20" w:right="20" w:firstLine="487"/>
        <w:spacing w:after="0" w:line="230" w:lineRule="auto"/>
        <w:tabs>
          <w:tab w:leader="none" w:pos="909" w:val="left"/>
        </w:tabs>
        <w:numPr>
          <w:ilvl w:val="0"/>
          <w:numId w:val="154"/>
        </w:numPr>
        <w:rPr>
          <w:rFonts w:ascii="Arial" w:cs="Arial" w:eastAsia="Arial" w:hAnsi="Arial"/>
          <w:sz w:val="16"/>
          <w:szCs w:val="16"/>
          <w:color w:val="auto"/>
        </w:rPr>
      </w:pPr>
      <w:r>
        <w:rPr>
          <w:rFonts w:ascii="Arial" w:cs="Arial" w:eastAsia="Arial" w:hAnsi="Arial"/>
          <w:sz w:val="16"/>
          <w:szCs w:val="16"/>
          <w:color w:val="010101"/>
        </w:rPr>
        <w:t>At any time after the Effective Date, the Guaranty, for any reason other than the satisfaction in full of all Borrower Obligations, shall cease to be in full force and effect (other than in accordance with its terms or the terms hereof) or shall be declared to be null and void, or any Credit Party shall contest the validity or enforceability of the Guaranty in writing;</w:t>
      </w:r>
    </w:p>
    <w:p>
      <w:pPr>
        <w:spacing w:after="0" w:line="148" w:lineRule="exact"/>
        <w:rPr>
          <w:sz w:val="20"/>
          <w:szCs w:val="20"/>
          <w:color w:val="auto"/>
        </w:rPr>
      </w:pPr>
    </w:p>
    <w:p>
      <w:pPr>
        <w:jc w:val="both"/>
        <w:ind w:left="20"/>
        <w:spacing w:after="0" w:line="231" w:lineRule="auto"/>
        <w:rPr>
          <w:sz w:val="20"/>
          <w:szCs w:val="20"/>
          <w:color w:val="auto"/>
        </w:rPr>
      </w:pPr>
      <w:r>
        <w:rPr>
          <w:rFonts w:ascii="Arial" w:cs="Arial" w:eastAsia="Arial" w:hAnsi="Arial"/>
          <w:sz w:val="15"/>
          <w:szCs w:val="15"/>
          <w:color w:val="010101"/>
        </w:rPr>
        <w:t xml:space="preserve">then, and in any such event, the Administrative Agent (i) shall at the request, or may with the consent, of the Required Lenders, by notice to the Company, declare the obligation of each Lender to make Advances and of each Issuing Lender to issue Letters of Credit to be terminated, whereupon the same shall forthwith terminate, (ii) shall at the request, or may with the consent, of the Required Lenders, by notice to the Company, declare the Advances and Reimbursement Obligations, all interest thereon and all other amounts payable under this Agreement and the other Loan Documents to be forthwith due and payable, whereupon the Advances and Reimbursement Obligations, all such interest and all such amounts shall become and be forthwith due and payable, without presentment, demand, protest or further notice of any kind, all of which are hereby expressly waived by each Credit Party, and (iii) shall at the request, or may with the consent, of the Required Lenders, exercise such other rights and remedies as provided under the Loan Documents and under Applicable Laws;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however</w:t>
      </w:r>
      <w:r>
        <w:rPr>
          <w:rFonts w:ascii="Arial" w:cs="Arial" w:eastAsia="Arial" w:hAnsi="Arial"/>
          <w:sz w:val="15"/>
          <w:szCs w:val="15"/>
          <w:color w:val="010101"/>
        </w:rPr>
        <w:t>, that in the event of an actual or deemed entry of an order for relief with respect to any Credit Party under any Debtor Relief Laws, (A) the obligation of each Lender to make Advances shall automatically be terminated and (B) the Advances, the L/C Obligations, the Borrower Obligations, all such</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52" w:name="page153"/>
    <w:bookmarkEnd w:id="152"/>
    <w:p>
      <w:pPr>
        <w:ind w:left="20" w:right="40"/>
        <w:spacing w:after="0" w:line="239" w:lineRule="auto"/>
        <w:rPr>
          <w:sz w:val="20"/>
          <w:szCs w:val="20"/>
          <w:color w:val="auto"/>
        </w:rPr>
      </w:pPr>
      <w:r>
        <w:rPr>
          <w:rFonts w:ascii="Arial" w:cs="Arial" w:eastAsia="Arial" w:hAnsi="Arial"/>
          <w:sz w:val="16"/>
          <w:szCs w:val="16"/>
          <w:color w:val="010101"/>
        </w:rPr>
        <w:t>interest and all such amounts shall automatically become and be due and payable, without presentment, demand, protest or any notice of any kind, all of which are hereby expressly waived by each Credit Party.</w:t>
      </w:r>
    </w:p>
    <w:p>
      <w:pPr>
        <w:spacing w:after="0" w:line="149" w:lineRule="exact"/>
        <w:rPr>
          <w:sz w:val="20"/>
          <w:szCs w:val="20"/>
          <w:color w:val="auto"/>
        </w:rPr>
      </w:pPr>
    </w:p>
    <w:p>
      <w:pPr>
        <w:jc w:val="both"/>
        <w:ind w:left="20" w:firstLine="485"/>
        <w:spacing w:after="0" w:line="230" w:lineRule="auto"/>
        <w:rPr>
          <w:sz w:val="20"/>
          <w:szCs w:val="20"/>
          <w:color w:val="auto"/>
        </w:rPr>
      </w:pPr>
      <w:r>
        <w:rPr>
          <w:rFonts w:ascii="Arial" w:cs="Arial" w:eastAsia="Arial" w:hAnsi="Arial"/>
          <w:sz w:val="15"/>
          <w:szCs w:val="15"/>
          <w:color w:val="010101"/>
        </w:rPr>
        <w:t xml:space="preserve">Upon the occurrence and during the continuance of an Event of Default, with consent of the Required Lenders, the Administrative Agent may, or upon the request of the Required Lenders, the Administrative Agent shall, with respect to all Letters of Credit with respect to which presentment for honor shall not have occurred at the time of an acceleration pursuant to the preceding paragraph, demand that the Company shall at such time deposit in a Cash Collateral account opened by the Administrative Agent an amount equal to the Minimum Collateral Amount of the aggregate then undrawn and unexpired amount of such Letter of Credit;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however</w:t>
      </w:r>
      <w:r>
        <w:rPr>
          <w:rFonts w:ascii="Arial" w:cs="Arial" w:eastAsia="Arial" w:hAnsi="Arial"/>
          <w:sz w:val="15"/>
          <w:szCs w:val="15"/>
          <w:color w:val="010101"/>
        </w:rPr>
        <w:t>, that in the event of an actual or deemed entry of an order for relief with respect to any Credit Party under any Debtor Relief Laws, such requirement to deposit in a Cash Collateral account opened by the Administrative Agent an amount equal to the Minimum Collateral Amount of the aggregate then undrawn and unexpired amount of such Letter of Credit shall be automatic.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Borrower Obligations and Guaranteed Obligations in accordance with Section 9.21. After all such Letters of Credit shall have expired or been fully drawn upon, the Reimbursement Obligation shall have been satisfied and all other Borrower Obligations and Guaranteed Obligations shall have been paid in full, the balance, if any, in such Cash Collateral account shall be returned to the Company.</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VII</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010101"/>
        </w:rPr>
        <w:t>THE ADMINISTRATIVE AGENT</w:t>
      </w:r>
    </w:p>
    <w:p>
      <w:pPr>
        <w:spacing w:after="0" w:line="16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7.01.</w:t>
      </w:r>
      <w:r>
        <w:rPr>
          <w:sz w:val="20"/>
          <w:szCs w:val="20"/>
          <w:color w:val="auto"/>
        </w:rPr>
        <w:tab/>
      </w:r>
      <w:r>
        <w:rPr>
          <w:rFonts w:ascii="Arial" w:cs="Arial" w:eastAsia="Arial" w:hAnsi="Arial"/>
          <w:sz w:val="15"/>
          <w:szCs w:val="15"/>
          <w:u w:val="single" w:color="auto"/>
          <w:color w:val="010101"/>
        </w:rPr>
        <w:t>Appointment and Authority</w:t>
      </w:r>
    </w:p>
    <w:p>
      <w:pPr>
        <w:spacing w:after="0" w:line="170" w:lineRule="exact"/>
        <w:rPr>
          <w:sz w:val="20"/>
          <w:szCs w:val="20"/>
          <w:color w:val="auto"/>
        </w:rPr>
      </w:pPr>
    </w:p>
    <w:p>
      <w:pPr>
        <w:jc w:val="both"/>
        <w:ind w:left="20" w:right="40" w:firstLine="487"/>
        <w:spacing w:after="0" w:line="252" w:lineRule="auto"/>
        <w:tabs>
          <w:tab w:leader="none" w:pos="612" w:val="left"/>
        </w:tabs>
        <w:numPr>
          <w:ilvl w:val="0"/>
          <w:numId w:val="155"/>
        </w:numPr>
        <w:rPr>
          <w:rFonts w:ascii="Arial" w:cs="Arial" w:eastAsia="Arial" w:hAnsi="Arial"/>
          <w:sz w:val="14"/>
          <w:szCs w:val="14"/>
          <w:color w:val="010101"/>
        </w:rPr>
      </w:pPr>
      <w:r>
        <w:rPr>
          <w:rFonts w:ascii="Arial" w:cs="Arial" w:eastAsia="Arial" w:hAnsi="Arial"/>
          <w:sz w:val="14"/>
          <w:szCs w:val="14"/>
          <w:color w:val="010101"/>
        </w:rPr>
        <w:t>Each of the Lenders hereby irrevocably appoints Wells Fargo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except as provided in Section 7.07, neither the Company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7.02.</w:t>
      </w:r>
      <w:r>
        <w:rPr>
          <w:sz w:val="20"/>
          <w:szCs w:val="20"/>
          <w:color w:val="auto"/>
        </w:rPr>
        <w:tab/>
      </w:r>
      <w:r>
        <w:rPr>
          <w:rFonts w:ascii="Arial" w:cs="Arial" w:eastAsia="Arial" w:hAnsi="Arial"/>
          <w:sz w:val="14"/>
          <w:szCs w:val="14"/>
          <w:u w:val="single" w:color="auto"/>
          <w:color w:val="010101"/>
        </w:rPr>
        <w:t>Rights as a Lender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53" w:name="page154"/>
    <w:bookmarkEnd w:id="153"/>
    <w:p>
      <w:pPr>
        <w:jc w:val="both"/>
        <w:ind w:left="20" w:right="20" w:firstLine="487"/>
        <w:spacing w:after="0" w:line="257" w:lineRule="auto"/>
        <w:tabs>
          <w:tab w:leader="none" w:pos="603" w:val="left"/>
        </w:tabs>
        <w:numPr>
          <w:ilvl w:val="0"/>
          <w:numId w:val="156"/>
        </w:numPr>
        <w:rPr>
          <w:rFonts w:ascii="Arial" w:cs="Arial" w:eastAsia="Arial" w:hAnsi="Arial"/>
          <w:sz w:val="14"/>
          <w:szCs w:val="14"/>
          <w:color w:val="010101"/>
        </w:rPr>
      </w:pPr>
      <w:r>
        <w:rPr>
          <w:rFonts w:ascii="Arial" w:cs="Arial" w:eastAsia="Arial" w:hAnsi="Arial"/>
          <w:sz w:val="14"/>
          <w:szCs w:val="14"/>
          <w:color w:val="010101"/>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w:t>
      </w:r>
    </w:p>
    <w:p>
      <w:pPr>
        <w:spacing w:after="0" w:line="13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7.03.</w:t>
      </w:r>
      <w:r>
        <w:rPr>
          <w:sz w:val="20"/>
          <w:szCs w:val="20"/>
          <w:color w:val="auto"/>
        </w:rPr>
        <w:tab/>
      </w:r>
      <w:r>
        <w:rPr>
          <w:rFonts w:ascii="Arial" w:cs="Arial" w:eastAsia="Arial" w:hAnsi="Arial"/>
          <w:sz w:val="14"/>
          <w:szCs w:val="14"/>
          <w:u w:val="single" w:color="auto"/>
          <w:color w:val="010101"/>
        </w:rPr>
        <w:t>Exculpatory Provisions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60" w:lineRule="exact"/>
        <w:rPr>
          <w:sz w:val="20"/>
          <w:szCs w:val="20"/>
          <w:color w:val="auto"/>
        </w:rPr>
      </w:pPr>
    </w:p>
    <w:p>
      <w:pPr>
        <w:ind w:left="20" w:firstLine="487"/>
        <w:spacing w:after="0" w:line="239" w:lineRule="auto"/>
        <w:tabs>
          <w:tab w:leader="none" w:pos="910" w:val="left"/>
        </w:tabs>
        <w:numPr>
          <w:ilvl w:val="1"/>
          <w:numId w:val="157"/>
        </w:numPr>
        <w:rPr>
          <w:rFonts w:ascii="Arial" w:cs="Arial" w:eastAsia="Arial" w:hAnsi="Arial"/>
          <w:sz w:val="16"/>
          <w:szCs w:val="16"/>
          <w:color w:val="auto"/>
        </w:rPr>
      </w:pPr>
      <w:r>
        <w:rPr>
          <w:rFonts w:ascii="Arial" w:cs="Arial" w:eastAsia="Arial" w:hAnsi="Arial"/>
          <w:sz w:val="16"/>
          <w:szCs w:val="16"/>
          <w:color w:val="010101"/>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48" w:lineRule="exact"/>
        <w:rPr>
          <w:rFonts w:ascii="Arial" w:cs="Arial" w:eastAsia="Arial" w:hAnsi="Arial"/>
          <w:sz w:val="16"/>
          <w:szCs w:val="16"/>
          <w:color w:val="auto"/>
        </w:rPr>
      </w:pPr>
    </w:p>
    <w:p>
      <w:pPr>
        <w:ind w:left="1400" w:hanging="408"/>
        <w:spacing w:after="0"/>
        <w:tabs>
          <w:tab w:leader="none" w:pos="1400" w:val="left"/>
        </w:tabs>
        <w:numPr>
          <w:ilvl w:val="2"/>
          <w:numId w:val="157"/>
        </w:numPr>
        <w:rPr>
          <w:rFonts w:ascii="Arial" w:cs="Arial" w:eastAsia="Arial" w:hAnsi="Arial"/>
          <w:sz w:val="15"/>
          <w:szCs w:val="15"/>
          <w:color w:val="auto"/>
        </w:rPr>
      </w:pPr>
      <w:r>
        <w:rPr>
          <w:rFonts w:ascii="Arial" w:cs="Arial" w:eastAsia="Arial" w:hAnsi="Arial"/>
          <w:sz w:val="15"/>
          <w:szCs w:val="15"/>
          <w:color w:val="010101"/>
        </w:rPr>
        <w:t>shall not be subject to any fiduciary or other implied duties, regardless of whether a Default or Event of Default has occurred and is continuing;</w:t>
      </w:r>
    </w:p>
    <w:p>
      <w:pPr>
        <w:spacing w:after="0" w:line="181" w:lineRule="exact"/>
        <w:rPr>
          <w:rFonts w:ascii="Arial" w:cs="Arial" w:eastAsia="Arial" w:hAnsi="Arial"/>
          <w:sz w:val="15"/>
          <w:szCs w:val="15"/>
          <w:color w:val="auto"/>
        </w:rPr>
      </w:pPr>
    </w:p>
    <w:p>
      <w:pPr>
        <w:jc w:val="both"/>
        <w:ind w:left="500" w:right="20" w:firstLine="492"/>
        <w:spacing w:after="0" w:line="235" w:lineRule="auto"/>
        <w:tabs>
          <w:tab w:leader="none" w:pos="1389" w:val="left"/>
        </w:tabs>
        <w:numPr>
          <w:ilvl w:val="2"/>
          <w:numId w:val="157"/>
        </w:numPr>
        <w:rPr>
          <w:rFonts w:ascii="Arial" w:cs="Arial" w:eastAsia="Arial" w:hAnsi="Arial"/>
          <w:sz w:val="15"/>
          <w:szCs w:val="15"/>
          <w:color w:val="auto"/>
        </w:rPr>
      </w:pPr>
      <w:r>
        <w:rPr>
          <w:rFonts w:ascii="Arial" w:cs="Arial" w:eastAsia="Arial" w:hAnsi="Arial"/>
          <w:sz w:val="15"/>
          <w:szCs w:val="15"/>
          <w:color w:val="010101"/>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38" w:lineRule="exact"/>
        <w:rPr>
          <w:rFonts w:ascii="Arial" w:cs="Arial" w:eastAsia="Arial" w:hAnsi="Arial"/>
          <w:sz w:val="15"/>
          <w:szCs w:val="15"/>
          <w:color w:val="auto"/>
        </w:rPr>
      </w:pPr>
    </w:p>
    <w:p>
      <w:pPr>
        <w:jc w:val="both"/>
        <w:ind w:left="500" w:firstLine="492"/>
        <w:spacing w:after="0" w:line="230" w:lineRule="auto"/>
        <w:tabs>
          <w:tab w:leader="none" w:pos="1390" w:val="left"/>
        </w:tabs>
        <w:numPr>
          <w:ilvl w:val="2"/>
          <w:numId w:val="157"/>
        </w:numPr>
        <w:rPr>
          <w:rFonts w:ascii="Arial" w:cs="Arial" w:eastAsia="Arial" w:hAnsi="Arial"/>
          <w:sz w:val="16"/>
          <w:szCs w:val="16"/>
          <w:color w:val="auto"/>
        </w:rPr>
      </w:pPr>
      <w:r>
        <w:rPr>
          <w:rFonts w:ascii="Arial" w:cs="Arial" w:eastAsia="Arial" w:hAnsi="Arial"/>
          <w:sz w:val="16"/>
          <w:szCs w:val="16"/>
          <w:color w:val="010101"/>
        </w:rPr>
        <w:t>shall not, except as expressly set forth herein and in the other Loan Documents, have any duty to disclose, and shall not be liable for the failure to disclose, any information relating to the Company or any of its Subsidiaries or Affiliates that is communicated to or obtained by the Person serving as the Administrative Agent or any of its Affiliates in any capacity.</w:t>
      </w:r>
    </w:p>
    <w:p>
      <w:pPr>
        <w:spacing w:after="0" w:line="148" w:lineRule="exact"/>
        <w:rPr>
          <w:rFonts w:ascii="Arial" w:cs="Arial" w:eastAsia="Arial" w:hAnsi="Arial"/>
          <w:sz w:val="16"/>
          <w:szCs w:val="16"/>
          <w:color w:val="auto"/>
        </w:rPr>
      </w:pPr>
    </w:p>
    <w:p>
      <w:pPr>
        <w:jc w:val="both"/>
        <w:ind w:left="20" w:right="20" w:firstLine="487"/>
        <w:spacing w:after="0" w:line="216" w:lineRule="auto"/>
        <w:tabs>
          <w:tab w:leader="none" w:pos="909" w:val="left"/>
        </w:tabs>
        <w:numPr>
          <w:ilvl w:val="1"/>
          <w:numId w:val="157"/>
        </w:numPr>
        <w:rPr>
          <w:rFonts w:ascii="Arial" w:cs="Arial" w:eastAsia="Arial" w:hAnsi="Arial"/>
          <w:sz w:val="16"/>
          <w:szCs w:val="16"/>
          <w:color w:val="auto"/>
        </w:rPr>
      </w:pPr>
      <w:r>
        <w:rPr>
          <w:rFonts w:ascii="Arial" w:cs="Arial" w:eastAsia="Arial" w:hAnsi="Arial"/>
          <w:sz w:val="16"/>
          <w:szCs w:val="16"/>
          <w:color w:val="010101"/>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9.01 and 6.01) or</w:t>
      </w:r>
    </w:p>
    <w:p>
      <w:pPr>
        <w:spacing w:after="0" w:line="2" w:lineRule="exact"/>
        <w:rPr>
          <w:rFonts w:ascii="Arial" w:cs="Arial" w:eastAsia="Arial" w:hAnsi="Arial"/>
          <w:sz w:val="16"/>
          <w:szCs w:val="16"/>
          <w:color w:val="auto"/>
        </w:rPr>
      </w:pPr>
    </w:p>
    <w:p>
      <w:pPr>
        <w:ind w:left="20" w:right="20" w:firstLine="2"/>
        <w:spacing w:after="0" w:line="230" w:lineRule="auto"/>
        <w:tabs>
          <w:tab w:leader="none" w:pos="292" w:val="left"/>
        </w:tabs>
        <w:numPr>
          <w:ilvl w:val="0"/>
          <w:numId w:val="158"/>
        </w:numPr>
        <w:rPr>
          <w:rFonts w:ascii="Arial" w:cs="Arial" w:eastAsia="Arial" w:hAnsi="Arial"/>
          <w:sz w:val="16"/>
          <w:szCs w:val="16"/>
          <w:color w:val="010101"/>
        </w:rPr>
      </w:pPr>
      <w:r>
        <w:rPr>
          <w:rFonts w:ascii="Arial" w:cs="Arial" w:eastAsia="Arial" w:hAnsi="Arial"/>
          <w:sz w:val="16"/>
          <w:szCs w:val="16"/>
          <w:color w:val="010101"/>
        </w:rPr>
        <w:t>in the absence of its own gross negligence or willful misconduct as determined by a court of competent jurisdiction by final nonappealable judgment. The Administrative Agent shall be deemed not to have knowledge of any Default or Event of Default unless and until notice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54" w:name="page155"/>
    <w:bookmarkEnd w:id="154"/>
    <w:p>
      <w:pPr>
        <w:ind w:left="20"/>
        <w:spacing w:after="0"/>
        <w:rPr>
          <w:sz w:val="20"/>
          <w:szCs w:val="20"/>
          <w:color w:val="auto"/>
        </w:rPr>
      </w:pPr>
      <w:r>
        <w:rPr>
          <w:rFonts w:ascii="Arial" w:cs="Arial" w:eastAsia="Arial" w:hAnsi="Arial"/>
          <w:sz w:val="16"/>
          <w:szCs w:val="16"/>
          <w:color w:val="010101"/>
        </w:rPr>
        <w:t>describing such Default or Event of Default is given to the Administrative Agent in writing by any Borrower or a Lender.</w:t>
      </w:r>
    </w:p>
    <w:p>
      <w:pPr>
        <w:spacing w:after="0" w:line="170" w:lineRule="exact"/>
        <w:rPr>
          <w:sz w:val="20"/>
          <w:szCs w:val="20"/>
          <w:color w:val="auto"/>
        </w:rPr>
      </w:pPr>
    </w:p>
    <w:p>
      <w:pPr>
        <w:jc w:val="both"/>
        <w:ind w:left="20" w:right="20" w:firstLine="487"/>
        <w:spacing w:after="0" w:line="220" w:lineRule="auto"/>
        <w:tabs>
          <w:tab w:leader="none" w:pos="910" w:val="left"/>
        </w:tabs>
        <w:numPr>
          <w:ilvl w:val="0"/>
          <w:numId w:val="159"/>
        </w:numPr>
        <w:rPr>
          <w:rFonts w:ascii="Arial" w:cs="Arial" w:eastAsia="Arial" w:hAnsi="Arial"/>
          <w:sz w:val="16"/>
          <w:szCs w:val="16"/>
          <w:color w:val="auto"/>
        </w:rPr>
      </w:pPr>
      <w:r>
        <w:rPr>
          <w:rFonts w:ascii="Arial" w:cs="Arial" w:eastAsia="Arial" w:hAnsi="Arial"/>
          <w:sz w:val="16"/>
          <w:szCs w:val="16"/>
          <w:color w:val="010101"/>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Administrative Agent.</w:t>
      </w:r>
    </w:p>
    <w:p>
      <w:pPr>
        <w:spacing w:after="0" w:line="15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7.04.</w:t>
      </w:r>
      <w:r>
        <w:rPr>
          <w:sz w:val="20"/>
          <w:szCs w:val="20"/>
          <w:color w:val="auto"/>
        </w:rPr>
        <w:tab/>
      </w:r>
      <w:r>
        <w:rPr>
          <w:rFonts w:ascii="Arial" w:cs="Arial" w:eastAsia="Arial" w:hAnsi="Arial"/>
          <w:sz w:val="14"/>
          <w:szCs w:val="14"/>
          <w:u w:val="single" w:color="auto"/>
          <w:color w:val="010101"/>
        </w:rPr>
        <w:t>Reliance by the Administrative Agent</w:t>
      </w:r>
    </w:p>
    <w:p>
      <w:pPr>
        <w:spacing w:after="0" w:line="160" w:lineRule="exact"/>
        <w:rPr>
          <w:sz w:val="20"/>
          <w:szCs w:val="20"/>
          <w:color w:val="auto"/>
        </w:rPr>
      </w:pPr>
    </w:p>
    <w:p>
      <w:pPr>
        <w:jc w:val="both"/>
        <w:ind w:left="20" w:firstLine="487"/>
        <w:spacing w:after="0" w:line="231" w:lineRule="auto"/>
        <w:tabs>
          <w:tab w:leader="none" w:pos="598" w:val="left"/>
        </w:tabs>
        <w:numPr>
          <w:ilvl w:val="0"/>
          <w:numId w:val="160"/>
        </w:numPr>
        <w:rPr>
          <w:rFonts w:ascii="Arial" w:cs="Arial" w:eastAsia="Arial" w:hAnsi="Arial"/>
          <w:sz w:val="15"/>
          <w:szCs w:val="15"/>
          <w:color w:val="010101"/>
        </w:rPr>
      </w:pPr>
      <w:r>
        <w:rPr>
          <w:rFonts w:ascii="Arial" w:cs="Arial" w:eastAsia="Arial" w:hAnsi="Arial"/>
          <w:sz w:val="15"/>
          <w:szCs w:val="15"/>
          <w:color w:val="010101"/>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Advance. The Administrative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153"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7.05.</w:t>
      </w:r>
      <w:r>
        <w:rPr>
          <w:sz w:val="20"/>
          <w:szCs w:val="20"/>
          <w:color w:val="auto"/>
        </w:rPr>
        <w:tab/>
      </w:r>
      <w:r>
        <w:rPr>
          <w:rFonts w:ascii="Arial" w:cs="Arial" w:eastAsia="Arial" w:hAnsi="Arial"/>
          <w:sz w:val="15"/>
          <w:szCs w:val="15"/>
          <w:u w:val="single" w:color="auto"/>
          <w:color w:val="010101"/>
        </w:rPr>
        <w:t>Indemnification</w:t>
      </w:r>
    </w:p>
    <w:p>
      <w:pPr>
        <w:spacing w:after="0" w:line="170" w:lineRule="exact"/>
        <w:rPr>
          <w:sz w:val="20"/>
          <w:szCs w:val="20"/>
          <w:color w:val="auto"/>
        </w:rPr>
      </w:pPr>
    </w:p>
    <w:p>
      <w:pPr>
        <w:jc w:val="both"/>
        <w:ind w:left="20" w:right="20" w:firstLine="487"/>
        <w:spacing w:after="0" w:line="233" w:lineRule="auto"/>
        <w:tabs>
          <w:tab w:leader="none" w:pos="586" w:val="left"/>
        </w:tabs>
        <w:numPr>
          <w:ilvl w:val="0"/>
          <w:numId w:val="161"/>
        </w:numPr>
        <w:rPr>
          <w:rFonts w:ascii="Arial" w:cs="Arial" w:eastAsia="Arial" w:hAnsi="Arial"/>
          <w:sz w:val="15"/>
          <w:szCs w:val="15"/>
          <w:color w:val="010101"/>
        </w:rPr>
      </w:pPr>
      <w:r>
        <w:rPr>
          <w:rFonts w:ascii="Arial" w:cs="Arial" w:eastAsia="Arial" w:hAnsi="Arial"/>
          <w:sz w:val="15"/>
          <w:szCs w:val="15"/>
          <w:color w:val="010101"/>
        </w:rPr>
        <w:t xml:space="preserve">The Lenders agree to indemnify the Administrative Agent and the Issuing Lenders (to the extent not reimbursed by the Credit Parties), ratably according to their Commitments, from and against any and all liabilities, obligations, losses, damages, penalties, actions, judgments, suits, costs, expenses or disbursements of any kind or nature whatsoever that may be imposed on, incurred by, or asserted against the Administrative Agent or an Issuing Lender in any way relating to or arising out of this Agreement or any action taken or omitted by the Administrative Agent or such Issuing Lender under this Agreement,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no Lender shall be liable for any portion of such liabilities, obligations, losses, damages, penalties, actions, judgments, suits, costs, expenses or disbursements resulting from the Administrative Agent’s or such Issuing Lender’s gross negligence or willful misconduct. Without limitation of the foregoing, each Lender agrees to reimburse the Administrative Agent and each Issuing Lender promptly upon demand for its ratable share of any out-of-pocket expenses (including counsel fees) incurred by</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55" w:name="page156"/>
    <w:bookmarkEnd w:id="155"/>
    <w:p>
      <w:pPr>
        <w:jc w:val="both"/>
        <w:ind w:left="20"/>
        <w:spacing w:after="0" w:line="230" w:lineRule="auto"/>
        <w:rPr>
          <w:sz w:val="20"/>
          <w:szCs w:val="20"/>
          <w:color w:val="auto"/>
        </w:rPr>
      </w:pPr>
      <w:r>
        <w:rPr>
          <w:rFonts w:ascii="Arial" w:cs="Arial" w:eastAsia="Arial" w:hAnsi="Arial"/>
          <w:sz w:val="16"/>
          <w:szCs w:val="16"/>
          <w:color w:val="010101"/>
        </w:rPr>
        <w:t>the Administrative Agent or such Issuing Lender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or such Issuing Lender is not reimbursed for such expenses by the Credit Parties.</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7.06.</w:t>
      </w:r>
      <w:r>
        <w:rPr>
          <w:sz w:val="20"/>
          <w:szCs w:val="20"/>
          <w:color w:val="auto"/>
        </w:rPr>
        <w:tab/>
      </w:r>
      <w:r>
        <w:rPr>
          <w:rFonts w:ascii="Arial" w:cs="Arial" w:eastAsia="Arial" w:hAnsi="Arial"/>
          <w:sz w:val="14"/>
          <w:szCs w:val="14"/>
          <w:u w:val="single" w:color="auto"/>
          <w:color w:val="010101"/>
        </w:rPr>
        <w:t>Delegation of Duties</w:t>
      </w:r>
    </w:p>
    <w:p>
      <w:pPr>
        <w:spacing w:after="0" w:line="170" w:lineRule="exact"/>
        <w:rPr>
          <w:sz w:val="20"/>
          <w:szCs w:val="20"/>
          <w:color w:val="auto"/>
        </w:rPr>
      </w:pPr>
    </w:p>
    <w:p>
      <w:pPr>
        <w:jc w:val="both"/>
        <w:ind w:left="20" w:firstLine="487"/>
        <w:spacing w:after="0" w:line="219" w:lineRule="auto"/>
        <w:tabs>
          <w:tab w:leader="none" w:pos="589" w:val="left"/>
        </w:tabs>
        <w:numPr>
          <w:ilvl w:val="0"/>
          <w:numId w:val="162"/>
        </w:numPr>
        <w:rPr>
          <w:rFonts w:ascii="Arial" w:cs="Arial" w:eastAsia="Arial" w:hAnsi="Arial"/>
          <w:sz w:val="16"/>
          <w:szCs w:val="16"/>
          <w:color w:val="010101"/>
        </w:rPr>
      </w:pPr>
      <w:r>
        <w:rPr>
          <w:rFonts w:ascii="Arial" w:cs="Arial" w:eastAsia="Arial" w:hAnsi="Arial"/>
          <w:sz w:val="16"/>
          <w:szCs w:val="16"/>
          <w:color w:val="010101"/>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this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3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7.07.</w:t>
      </w:r>
      <w:r>
        <w:rPr>
          <w:sz w:val="20"/>
          <w:szCs w:val="20"/>
          <w:color w:val="auto"/>
        </w:rPr>
        <w:tab/>
      </w:r>
      <w:r>
        <w:rPr>
          <w:rFonts w:ascii="Arial" w:cs="Arial" w:eastAsia="Arial" w:hAnsi="Arial"/>
          <w:sz w:val="15"/>
          <w:szCs w:val="15"/>
          <w:u w:val="single" w:color="auto"/>
          <w:color w:val="010101"/>
        </w:rPr>
        <w:t>Resignation of Administrative Agent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firstLine="487"/>
        <w:spacing w:after="0" w:line="219" w:lineRule="auto"/>
        <w:tabs>
          <w:tab w:leader="none" w:pos="910" w:val="left"/>
        </w:tabs>
        <w:numPr>
          <w:ilvl w:val="0"/>
          <w:numId w:val="163"/>
        </w:numPr>
        <w:rPr>
          <w:rFonts w:ascii="Arial" w:cs="Arial" w:eastAsia="Arial" w:hAnsi="Arial"/>
          <w:sz w:val="16"/>
          <w:szCs w:val="16"/>
          <w:color w:val="auto"/>
        </w:rPr>
      </w:pPr>
      <w:r>
        <w:rPr>
          <w:rFonts w:ascii="Arial" w:cs="Arial" w:eastAsia="Arial" w:hAnsi="Arial"/>
          <w:sz w:val="16"/>
          <w:szCs w:val="16"/>
          <w:color w:val="010101"/>
        </w:rPr>
        <w:t>The Administrative Agent may at any time give notice of its resignation to the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010101"/>
        </w:rPr>
        <w:t>Resignation Effective Date</w:t>
      </w:r>
      <w:r>
        <w:rPr>
          <w:rFonts w:ascii="Arial" w:cs="Arial" w:eastAsia="Arial" w:hAnsi="Arial"/>
          <w:sz w:val="16"/>
          <w:szCs w:val="16"/>
          <w:color w:val="010101"/>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38" w:lineRule="exact"/>
        <w:rPr>
          <w:rFonts w:ascii="Arial" w:cs="Arial" w:eastAsia="Arial" w:hAnsi="Arial"/>
          <w:sz w:val="16"/>
          <w:szCs w:val="16"/>
          <w:color w:val="auto"/>
        </w:rPr>
      </w:pPr>
    </w:p>
    <w:p>
      <w:pPr>
        <w:jc w:val="both"/>
        <w:ind w:left="20" w:firstLine="487"/>
        <w:spacing w:after="0" w:line="220" w:lineRule="auto"/>
        <w:tabs>
          <w:tab w:leader="none" w:pos="909" w:val="left"/>
        </w:tabs>
        <w:numPr>
          <w:ilvl w:val="0"/>
          <w:numId w:val="163"/>
        </w:numPr>
        <w:rPr>
          <w:rFonts w:ascii="Arial" w:cs="Arial" w:eastAsia="Arial" w:hAnsi="Arial"/>
          <w:sz w:val="16"/>
          <w:szCs w:val="16"/>
          <w:color w:val="auto"/>
        </w:rPr>
      </w:pPr>
      <w:r>
        <w:rPr>
          <w:rFonts w:ascii="Arial" w:cs="Arial" w:eastAsia="Arial" w:hAnsi="Arial"/>
          <w:sz w:val="16"/>
          <w:szCs w:val="16"/>
          <w:color w:val="010101"/>
        </w:rPr>
        <w:t>If the Person serving as Administrative Agent is a Defaulting Lender pursuant to clause (d) of the definition thereof, the Required Lenders or the Company, on behalf of the Borrowers, may, to the extent permitted by Applicable Law, by notice in writing to the Company, if being done by the Required Lenders, and such Person, remove such Person as Administrative Agent and, in consultation with the Company, appoint a successor. If no such successor shall have been so appointed by the Required Lenders or the Company, on behalf of the Borrowers, as applicable, and shall have accepted such appointment within 30 days (or such earlier day as shall be agreed by the Required Lenders) (the “</w:t>
      </w:r>
      <w:r>
        <w:rPr>
          <w:rFonts w:ascii="Arial" w:cs="Arial" w:eastAsia="Arial" w:hAnsi="Arial"/>
          <w:sz w:val="16"/>
          <w:szCs w:val="16"/>
          <w:u w:val="single" w:color="auto"/>
          <w:color w:val="010101"/>
        </w:rPr>
        <w:t>Removal Effective Date</w:t>
      </w:r>
      <w:r>
        <w:rPr>
          <w:rFonts w:ascii="Arial" w:cs="Arial" w:eastAsia="Arial" w:hAnsi="Arial"/>
          <w:sz w:val="16"/>
          <w:szCs w:val="16"/>
          <w:color w:val="010101"/>
        </w:rPr>
        <w:t>”), then such removal shall nonetheless become effective in accordance with such notice on the Removal Effective Date.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56" w:name="page157"/>
    <w:bookmarkEnd w:id="156"/>
    <w:p>
      <w:pPr>
        <w:jc w:val="both"/>
        <w:ind w:left="20" w:firstLine="487"/>
        <w:spacing w:after="0" w:line="230" w:lineRule="auto"/>
        <w:tabs>
          <w:tab w:leader="none" w:pos="910" w:val="left"/>
        </w:tabs>
        <w:numPr>
          <w:ilvl w:val="1"/>
          <w:numId w:val="164"/>
        </w:numPr>
        <w:rPr>
          <w:rFonts w:ascii="Arial" w:cs="Arial" w:eastAsia="Arial" w:hAnsi="Arial"/>
          <w:sz w:val="15"/>
          <w:szCs w:val="15"/>
          <w:color w:val="auto"/>
        </w:rPr>
      </w:pPr>
      <w:r>
        <w:rPr>
          <w:rFonts w:ascii="Arial" w:cs="Arial" w:eastAsia="Arial" w:hAnsi="Arial"/>
          <w:sz w:val="15"/>
          <w:szCs w:val="15"/>
          <w:color w:val="010101"/>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Section 7.10 and Section 9.04 and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52" w:lineRule="exact"/>
        <w:rPr>
          <w:rFonts w:ascii="Arial" w:cs="Arial" w:eastAsia="Arial" w:hAnsi="Arial"/>
          <w:sz w:val="15"/>
          <w:szCs w:val="15"/>
          <w:color w:val="auto"/>
        </w:rPr>
      </w:pPr>
    </w:p>
    <w:p>
      <w:pPr>
        <w:ind w:left="20" w:right="20" w:firstLine="487"/>
        <w:spacing w:after="0" w:line="220" w:lineRule="auto"/>
        <w:tabs>
          <w:tab w:leader="none" w:pos="909" w:val="left"/>
        </w:tabs>
        <w:numPr>
          <w:ilvl w:val="1"/>
          <w:numId w:val="164"/>
        </w:numPr>
        <w:rPr>
          <w:rFonts w:ascii="Arial" w:cs="Arial" w:eastAsia="Arial" w:hAnsi="Arial"/>
          <w:sz w:val="16"/>
          <w:szCs w:val="16"/>
          <w:color w:val="auto"/>
        </w:rPr>
      </w:pPr>
      <w:r>
        <w:rPr>
          <w:rFonts w:ascii="Arial" w:cs="Arial" w:eastAsia="Arial" w:hAnsi="Arial"/>
          <w:sz w:val="16"/>
          <w:szCs w:val="16"/>
          <w:color w:val="010101"/>
        </w:rPr>
        <w:t>Any resignation by, or removal of, Wells Fargo Bank, National Association as Administrative Agent pursuant to this Section shall also constitute its resignation as an Issuing Lender. Upon the acceptance of a successor’s appointment as Administrative Agent hereunder,</w:t>
      </w:r>
    </w:p>
    <w:p>
      <w:pPr>
        <w:jc w:val="both"/>
        <w:ind w:left="20" w:firstLine="2"/>
        <w:spacing w:after="0" w:line="218" w:lineRule="auto"/>
        <w:tabs>
          <w:tab w:leader="none" w:pos="424" w:val="left"/>
        </w:tabs>
        <w:numPr>
          <w:ilvl w:val="0"/>
          <w:numId w:val="165"/>
        </w:numPr>
        <w:rPr>
          <w:rFonts w:ascii="Arial" w:cs="Arial" w:eastAsia="Arial" w:hAnsi="Arial"/>
          <w:sz w:val="16"/>
          <w:szCs w:val="16"/>
          <w:color w:val="010101"/>
        </w:rPr>
      </w:pPr>
      <w:r>
        <w:rPr>
          <w:rFonts w:ascii="Arial" w:cs="Arial" w:eastAsia="Arial" w:hAnsi="Arial"/>
          <w:sz w:val="16"/>
          <w:szCs w:val="16"/>
          <w:color w:val="010101"/>
        </w:rPr>
        <w:t>such successor shall succeed to and become vested with all of the rights, powers, privileges and duties of the retiring Issuing Lender, if in its sole discretion it elects to, (ii) the retiring Issuing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51"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7.08.</w:t>
      </w:r>
      <w:r>
        <w:rPr>
          <w:sz w:val="20"/>
          <w:szCs w:val="20"/>
          <w:color w:val="auto"/>
        </w:rPr>
        <w:tab/>
      </w:r>
      <w:r>
        <w:rPr>
          <w:rFonts w:ascii="Arial" w:cs="Arial" w:eastAsia="Arial" w:hAnsi="Arial"/>
          <w:sz w:val="14"/>
          <w:szCs w:val="14"/>
          <w:u w:val="single" w:color="auto"/>
          <w:color w:val="010101"/>
        </w:rPr>
        <w:t>Non-Reliance on Administrative Agent and Other Lenders</w:t>
      </w:r>
    </w:p>
    <w:p>
      <w:pPr>
        <w:spacing w:after="0" w:line="160" w:lineRule="exact"/>
        <w:rPr>
          <w:sz w:val="20"/>
          <w:szCs w:val="20"/>
          <w:color w:val="auto"/>
        </w:rPr>
      </w:pPr>
    </w:p>
    <w:p>
      <w:pPr>
        <w:jc w:val="both"/>
        <w:ind w:left="20" w:firstLine="487"/>
        <w:spacing w:after="0" w:line="237" w:lineRule="auto"/>
        <w:tabs>
          <w:tab w:leader="none" w:pos="588" w:val="left"/>
        </w:tabs>
        <w:numPr>
          <w:ilvl w:val="0"/>
          <w:numId w:val="166"/>
        </w:numPr>
        <w:rPr>
          <w:rFonts w:ascii="Arial" w:cs="Arial" w:eastAsia="Arial" w:hAnsi="Arial"/>
          <w:sz w:val="15"/>
          <w:szCs w:val="15"/>
          <w:color w:val="010101"/>
        </w:rPr>
      </w:pPr>
      <w:r>
        <w:rPr>
          <w:rFonts w:ascii="Arial" w:cs="Arial" w:eastAsia="Arial" w:hAnsi="Arial"/>
          <w:sz w:val="15"/>
          <w:szCs w:val="15"/>
          <w:color w:val="010101"/>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7.09.</w:t>
      </w:r>
      <w:r>
        <w:rPr>
          <w:sz w:val="20"/>
          <w:szCs w:val="20"/>
          <w:color w:val="auto"/>
        </w:rPr>
        <w:tab/>
      </w:r>
      <w:r>
        <w:rPr>
          <w:rFonts w:ascii="Arial" w:cs="Arial" w:eastAsia="Arial" w:hAnsi="Arial"/>
          <w:sz w:val="14"/>
          <w:szCs w:val="14"/>
          <w:u w:val="single" w:color="auto"/>
          <w:color w:val="010101"/>
        </w:rPr>
        <w:t>No Other Duties, Etc.</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57" w:name="page158"/>
    <w:bookmarkEnd w:id="157"/>
    <w:p>
      <w:pPr>
        <w:jc w:val="both"/>
        <w:ind w:left="20" w:right="20" w:firstLine="649"/>
        <w:spacing w:after="0" w:line="230" w:lineRule="auto"/>
        <w:rPr>
          <w:sz w:val="20"/>
          <w:szCs w:val="20"/>
          <w:color w:val="auto"/>
        </w:rPr>
      </w:pPr>
      <w:r>
        <w:rPr>
          <w:rFonts w:ascii="Arial" w:cs="Arial" w:eastAsia="Arial" w:hAnsi="Arial"/>
          <w:sz w:val="16"/>
          <w:szCs w:val="16"/>
          <w:color w:val="010101"/>
        </w:rPr>
        <w:t>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or a Lender.</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7.10.</w:t>
      </w:r>
      <w:r>
        <w:rPr>
          <w:sz w:val="20"/>
          <w:szCs w:val="20"/>
          <w:color w:val="auto"/>
        </w:rPr>
        <w:tab/>
      </w:r>
      <w:r>
        <w:rPr>
          <w:rFonts w:ascii="Arial" w:cs="Arial" w:eastAsia="Arial" w:hAnsi="Arial"/>
          <w:sz w:val="14"/>
          <w:szCs w:val="14"/>
          <w:u w:val="single" w:color="auto"/>
          <w:color w:val="010101"/>
        </w:rPr>
        <w:t>Guaranty Matters</w:t>
      </w:r>
    </w:p>
    <w:p>
      <w:pPr>
        <w:spacing w:after="0" w:line="170" w:lineRule="exact"/>
        <w:rPr>
          <w:sz w:val="20"/>
          <w:szCs w:val="20"/>
          <w:color w:val="auto"/>
        </w:rPr>
      </w:pPr>
    </w:p>
    <w:p>
      <w:pPr>
        <w:jc w:val="both"/>
        <w:ind w:left="20" w:firstLine="487"/>
        <w:spacing w:after="0" w:line="220" w:lineRule="auto"/>
        <w:tabs>
          <w:tab w:leader="none" w:pos="596" w:val="left"/>
        </w:tabs>
        <w:numPr>
          <w:ilvl w:val="0"/>
          <w:numId w:val="167"/>
        </w:numPr>
        <w:rPr>
          <w:rFonts w:ascii="Arial" w:cs="Arial" w:eastAsia="Arial" w:hAnsi="Arial"/>
          <w:sz w:val="16"/>
          <w:szCs w:val="16"/>
          <w:color w:val="010101"/>
        </w:rPr>
      </w:pPr>
      <w:r>
        <w:rPr>
          <w:rFonts w:ascii="Arial" w:cs="Arial" w:eastAsia="Arial" w:hAnsi="Arial"/>
          <w:sz w:val="16"/>
          <w:szCs w:val="16"/>
          <w:color w:val="010101"/>
        </w:rPr>
        <w:t>Each of the Lenders irrevocably authorize the Administrative Agent, at its option and in its discretion, to release any Guarantor from its obligations under any Loan Documents if such Person ceases to be a Material Domestic Subsidiary as a result of a transaction permitted under the Loan Documents. Upon request by the Administrative Agent at any time, the Required Lenders will confirm in writing the Administrative Agent’s authority to release any Guarantor from its obligations under this Agreement pursuant to this Section 7.10. In each case as specified in this Section 7.10, the Administrative Agent will, at the Borrowers’ expense, execute and deliver to the applicable Credit Party such documents as such Credit Party may reasonably request to release such Guarantor from its obligations under this Agreement, in each case in accordance with the terms of the Loan Documents and this Section 7.10.</w:t>
      </w:r>
    </w:p>
    <w:p>
      <w:pPr>
        <w:spacing w:after="0" w:line="140" w:lineRule="exact"/>
        <w:rPr>
          <w:sz w:val="20"/>
          <w:szCs w:val="20"/>
          <w:color w:val="auto"/>
        </w:rPr>
      </w:pPr>
    </w:p>
    <w:p>
      <w:pPr>
        <w:ind w:left="500"/>
        <w:spacing w:after="0"/>
        <w:tabs>
          <w:tab w:leader="none" w:pos="1680" w:val="left"/>
        </w:tabs>
        <w:rPr>
          <w:sz w:val="20"/>
          <w:szCs w:val="20"/>
          <w:color w:val="auto"/>
        </w:rPr>
      </w:pPr>
      <w:r>
        <w:rPr>
          <w:rFonts w:ascii="Arial" w:cs="Arial" w:eastAsia="Arial" w:hAnsi="Arial"/>
          <w:sz w:val="16"/>
          <w:szCs w:val="16"/>
          <w:color w:val="auto"/>
        </w:rPr>
        <w:t>SECTION 7.11.</w:t>
      </w:r>
      <w:r>
        <w:rPr>
          <w:sz w:val="20"/>
          <w:szCs w:val="20"/>
          <w:color w:val="auto"/>
        </w:rPr>
        <w:tab/>
      </w:r>
      <w:r>
        <w:rPr>
          <w:rFonts w:ascii="Arial" w:cs="Arial" w:eastAsia="Arial" w:hAnsi="Arial"/>
          <w:sz w:val="14"/>
          <w:szCs w:val="14"/>
          <w:u w:val="single" w:color="auto"/>
          <w:color w:val="010101"/>
        </w:rPr>
        <w:t>Erroneous Payments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firstLine="487"/>
        <w:spacing w:after="0" w:line="229" w:lineRule="auto"/>
        <w:tabs>
          <w:tab w:leader="none" w:pos="910" w:val="left"/>
        </w:tabs>
        <w:numPr>
          <w:ilvl w:val="0"/>
          <w:numId w:val="168"/>
        </w:numPr>
        <w:rPr>
          <w:rFonts w:ascii="Arial" w:cs="Arial" w:eastAsia="Arial" w:hAnsi="Arial"/>
          <w:sz w:val="15"/>
          <w:szCs w:val="15"/>
          <w:color w:val="auto"/>
        </w:rPr>
      </w:pPr>
      <w:r>
        <w:rPr>
          <w:rFonts w:ascii="Arial" w:cs="Arial" w:eastAsia="Arial" w:hAnsi="Arial"/>
          <w:sz w:val="15"/>
          <w:szCs w:val="15"/>
          <w:color w:val="010101"/>
        </w:rPr>
        <w:t>Each Lender and any other party hereto hereby severally agrees that if (i) the Administrative Agent notifies (which such notice shall be conclusive absent manifest error) such Lender or any other Person that has received funds from the Administrative Agent or any of its Affiliates, either for its own account or on behalf of a Lender (each such recipient, a “</w:t>
      </w:r>
      <w:r>
        <w:rPr>
          <w:rFonts w:ascii="Arial" w:cs="Arial" w:eastAsia="Arial" w:hAnsi="Arial"/>
          <w:sz w:val="15"/>
          <w:szCs w:val="15"/>
          <w:u w:val="single" w:color="auto"/>
          <w:color w:val="010101"/>
        </w:rPr>
        <w:t>Payment Recipient</w:t>
      </w:r>
      <w:r>
        <w:rPr>
          <w:rFonts w:ascii="Arial" w:cs="Arial" w:eastAsia="Arial" w:hAnsi="Arial"/>
          <w:sz w:val="15"/>
          <w:szCs w:val="15"/>
          <w:color w:val="010101"/>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7.11(a), whether received as a payment, prepayment or repayment of principal, interest, fees, distribution or otherwise; individually and collectively, an “</w:t>
      </w:r>
      <w:r>
        <w:rPr>
          <w:rFonts w:ascii="Arial" w:cs="Arial" w:eastAsia="Arial" w:hAnsi="Arial"/>
          <w:sz w:val="15"/>
          <w:szCs w:val="15"/>
          <w:u w:val="single" w:color="auto"/>
          <w:color w:val="010101"/>
        </w:rPr>
        <w:t>Erroneous Payment</w:t>
      </w:r>
      <w:r>
        <w:rPr>
          <w:rFonts w:ascii="Arial" w:cs="Arial" w:eastAsia="Arial" w:hAnsi="Arial"/>
          <w:sz w:val="15"/>
          <w:szCs w:val="15"/>
          <w:color w:val="010101"/>
        </w:rPr>
        <w:t xml:space="preserve">”), then, in each case, such Payment Recipient is deemed to have knowledge of such error at the time of its receipt of such Erroneous Payment;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58" w:name="page159"/>
    <w:bookmarkEnd w:id="158"/>
    <w:p>
      <w:pPr>
        <w:ind w:left="20" w:right="20" w:firstLine="487"/>
        <w:spacing w:after="0" w:line="239" w:lineRule="auto"/>
        <w:tabs>
          <w:tab w:leader="none" w:pos="909" w:val="left"/>
        </w:tabs>
        <w:numPr>
          <w:ilvl w:val="0"/>
          <w:numId w:val="169"/>
        </w:numPr>
        <w:rPr>
          <w:rFonts w:ascii="Arial" w:cs="Arial" w:eastAsia="Arial" w:hAnsi="Arial"/>
          <w:sz w:val="16"/>
          <w:szCs w:val="16"/>
          <w:color w:val="auto"/>
        </w:rPr>
      </w:pPr>
      <w:r>
        <w:rPr>
          <w:rFonts w:ascii="Arial" w:cs="Arial" w:eastAsia="Arial" w:hAnsi="Arial"/>
          <w:sz w:val="16"/>
          <w:szCs w:val="16"/>
          <w:color w:val="010101"/>
        </w:rPr>
        <w:t>Without limiting the immediately preceding clause (a), each Payment Recipient agrees that, in the case of clause (a)(ii) above, it shall promptly notify the Administrative Agent in writing of such occurrence.</w:t>
      </w:r>
    </w:p>
    <w:p>
      <w:pPr>
        <w:spacing w:after="0" w:line="148" w:lineRule="exact"/>
        <w:rPr>
          <w:rFonts w:ascii="Arial" w:cs="Arial" w:eastAsia="Arial" w:hAnsi="Arial"/>
          <w:sz w:val="16"/>
          <w:szCs w:val="16"/>
          <w:color w:val="auto"/>
        </w:rPr>
      </w:pPr>
    </w:p>
    <w:p>
      <w:pPr>
        <w:jc w:val="both"/>
        <w:ind w:left="20" w:right="20" w:firstLine="487"/>
        <w:spacing w:after="0" w:line="235" w:lineRule="auto"/>
        <w:tabs>
          <w:tab w:leader="none" w:pos="910" w:val="left"/>
        </w:tabs>
        <w:numPr>
          <w:ilvl w:val="0"/>
          <w:numId w:val="169"/>
        </w:numPr>
        <w:rPr>
          <w:rFonts w:ascii="Arial" w:cs="Arial" w:eastAsia="Arial" w:hAnsi="Arial"/>
          <w:sz w:val="15"/>
          <w:szCs w:val="15"/>
          <w:color w:val="auto"/>
        </w:rPr>
      </w:pPr>
      <w:r>
        <w:rPr>
          <w:rFonts w:ascii="Arial" w:cs="Arial" w:eastAsia="Arial" w:hAnsi="Arial"/>
          <w:sz w:val="15"/>
          <w:szCs w:val="15"/>
          <w:color w:val="010101"/>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48" w:lineRule="exact"/>
        <w:rPr>
          <w:rFonts w:ascii="Arial" w:cs="Arial" w:eastAsia="Arial" w:hAnsi="Arial"/>
          <w:sz w:val="15"/>
          <w:szCs w:val="15"/>
          <w:color w:val="auto"/>
        </w:rPr>
      </w:pPr>
    </w:p>
    <w:p>
      <w:pPr>
        <w:jc w:val="both"/>
        <w:ind w:left="20" w:firstLine="487"/>
        <w:spacing w:after="0" w:line="247" w:lineRule="auto"/>
        <w:tabs>
          <w:tab w:leader="none" w:pos="909" w:val="left"/>
        </w:tabs>
        <w:numPr>
          <w:ilvl w:val="0"/>
          <w:numId w:val="169"/>
        </w:numPr>
        <w:rPr>
          <w:rFonts w:ascii="Arial" w:cs="Arial" w:eastAsia="Arial" w:hAnsi="Arial"/>
          <w:sz w:val="14"/>
          <w:szCs w:val="14"/>
          <w:color w:val="auto"/>
        </w:rPr>
      </w:pPr>
      <w:r>
        <w:rPr>
          <w:rFonts w:ascii="Arial" w:cs="Arial" w:eastAsia="Arial" w:hAnsi="Arial"/>
          <w:sz w:val="14"/>
          <w:szCs w:val="14"/>
          <w:color w:val="010101"/>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Arial" w:cs="Arial" w:eastAsia="Arial" w:hAnsi="Arial"/>
          <w:sz w:val="14"/>
          <w:szCs w:val="14"/>
          <w:u w:val="single" w:color="auto"/>
          <w:color w:val="010101"/>
        </w:rPr>
        <w:t>Erroneous Payment Return Deficiency</w:t>
      </w:r>
      <w:r>
        <w:rPr>
          <w:rFonts w:ascii="Arial" w:cs="Arial" w:eastAsia="Arial" w:hAnsi="Arial"/>
          <w:sz w:val="14"/>
          <w:szCs w:val="14"/>
          <w:color w:val="010101"/>
        </w:rPr>
        <w:t>”), then at the sole discretion of the Administrative Agent and upon the Administrative Agent’s written notice to such Lender (i) such Lender shall be deemed to have made a cashless assignment of the full face amount of the portion of its Advances (but not its Commitments) of the relevant Class with respect to which such Erroneous Payment was made (the “</w:t>
      </w:r>
      <w:r>
        <w:rPr>
          <w:rFonts w:ascii="Arial" w:cs="Arial" w:eastAsia="Arial" w:hAnsi="Arial"/>
          <w:sz w:val="14"/>
          <w:szCs w:val="14"/>
          <w:u w:val="single" w:color="auto"/>
          <w:color w:val="010101"/>
        </w:rPr>
        <w:t>Erroneous Payment Impacted Class</w:t>
      </w:r>
      <w:r>
        <w:rPr>
          <w:rFonts w:ascii="Arial" w:cs="Arial" w:eastAsia="Arial" w:hAnsi="Arial"/>
          <w:sz w:val="14"/>
          <w:szCs w:val="14"/>
          <w:color w:val="010101"/>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Advances (but not Commitments) of the Erroneous Payment Impacted Class, the “</w:t>
      </w:r>
      <w:r>
        <w:rPr>
          <w:rFonts w:ascii="Arial" w:cs="Arial" w:eastAsia="Arial" w:hAnsi="Arial"/>
          <w:sz w:val="14"/>
          <w:szCs w:val="14"/>
          <w:u w:val="single" w:color="auto"/>
          <w:color w:val="010101"/>
        </w:rPr>
        <w:t>Erroneous Payment Deficiency Assignment</w:t>
      </w:r>
      <w:r>
        <w:rPr>
          <w:rFonts w:ascii="Arial" w:cs="Arial" w:eastAsia="Arial" w:hAnsi="Arial"/>
          <w:sz w:val="14"/>
          <w:szCs w:val="14"/>
          <w:color w:val="010101"/>
        </w:rPr>
        <w: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9.07 and (3) the Administrative Agent may reflect such assignments in the Register without further consent or action by any other Person.</w:t>
      </w:r>
    </w:p>
    <w:p>
      <w:pPr>
        <w:spacing w:after="0" w:line="133" w:lineRule="exact"/>
        <w:rPr>
          <w:rFonts w:ascii="Arial" w:cs="Arial" w:eastAsia="Arial" w:hAnsi="Arial"/>
          <w:sz w:val="14"/>
          <w:szCs w:val="14"/>
          <w:color w:val="auto"/>
        </w:rPr>
      </w:pPr>
    </w:p>
    <w:p>
      <w:pPr>
        <w:jc w:val="both"/>
        <w:ind w:left="20" w:right="20" w:firstLine="487"/>
        <w:spacing w:after="0" w:line="222" w:lineRule="auto"/>
        <w:tabs>
          <w:tab w:leader="none" w:pos="910" w:val="left"/>
        </w:tabs>
        <w:numPr>
          <w:ilvl w:val="0"/>
          <w:numId w:val="169"/>
        </w:numPr>
        <w:rPr>
          <w:rFonts w:ascii="Arial" w:cs="Arial" w:eastAsia="Arial" w:hAnsi="Arial"/>
          <w:sz w:val="16"/>
          <w:szCs w:val="16"/>
          <w:color w:val="auto"/>
        </w:rPr>
      </w:pPr>
      <w:r>
        <w:rPr>
          <w:rFonts w:ascii="Arial" w:cs="Arial" w:eastAsia="Arial" w:hAnsi="Arial"/>
          <w:sz w:val="16"/>
          <w:szCs w:val="16"/>
          <w:color w:val="010101"/>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6"/>
          <w:szCs w:val="16"/>
          <w:u w:val="single" w:color="auto"/>
          <w:color w:val="010101"/>
        </w:rPr>
        <w:t>Section 7.11</w:t>
      </w:r>
      <w:r>
        <w:rPr>
          <w:rFonts w:ascii="Arial" w:cs="Arial" w:eastAsia="Arial" w:hAnsi="Arial"/>
          <w:sz w:val="16"/>
          <w:szCs w:val="16"/>
          <w:color w:val="010101"/>
        </w:rPr>
        <w:t xml:space="preserve"> or under the indemnification provisions of this Agreement, (y) the receipt of an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59" w:name="page160"/>
    <w:bookmarkEnd w:id="159"/>
    <w:p>
      <w:pPr>
        <w:jc w:val="both"/>
        <w:ind w:left="20"/>
        <w:spacing w:after="0" w:line="235" w:lineRule="auto"/>
        <w:rPr>
          <w:sz w:val="20"/>
          <w:szCs w:val="20"/>
          <w:color w:val="auto"/>
        </w:rPr>
      </w:pPr>
      <w:r>
        <w:rPr>
          <w:rFonts w:ascii="Arial" w:cs="Arial" w:eastAsia="Arial" w:hAnsi="Arial"/>
          <w:sz w:val="15"/>
          <w:szCs w:val="15"/>
          <w:color w:val="010101"/>
        </w:rPr>
        <w:t>Erroneous Payment by a Payment Recipient shall not for the purpose of this Agreement be treated as a payment, prepayment, repayment, discharge or other satisfaction of any Borrower Obligations owed by the Borrower or any other Credit Party, except, in each case, to the extent such Erroneous Payment is, and solely with respect to the amount of such Erroneous Payment that is, comprised of funds received by the Administrative Agent from a Borrower or any other Credit Party for the purpose of making for a payment on the Borrower Obligations and (z) to the extent that an Erroneous Payment was in any way or at any time credited as payment or satisfaction of any of the Borrower Obligations, the Borrower Obligations or any part thereof that were so credited, and all rights of the Payment Recipient, as the case may be, shall be reinstated and continue in full force and effect as if such payment or satisfaction had never been received.</w:t>
      </w:r>
    </w:p>
    <w:p>
      <w:pPr>
        <w:spacing w:after="0" w:line="149" w:lineRule="exact"/>
        <w:rPr>
          <w:sz w:val="20"/>
          <w:szCs w:val="20"/>
          <w:color w:val="auto"/>
        </w:rPr>
      </w:pPr>
    </w:p>
    <w:p>
      <w:pPr>
        <w:jc w:val="both"/>
        <w:ind w:left="20" w:right="20" w:firstLine="487"/>
        <w:spacing w:after="0" w:line="230" w:lineRule="auto"/>
        <w:tabs>
          <w:tab w:leader="none" w:pos="909" w:val="left"/>
        </w:tabs>
        <w:numPr>
          <w:ilvl w:val="0"/>
          <w:numId w:val="170"/>
        </w:numPr>
        <w:rPr>
          <w:rFonts w:ascii="Arial" w:cs="Arial" w:eastAsia="Arial" w:hAnsi="Arial"/>
          <w:sz w:val="16"/>
          <w:szCs w:val="16"/>
          <w:color w:val="auto"/>
        </w:rPr>
      </w:pPr>
      <w:r>
        <w:rPr>
          <w:rFonts w:ascii="Arial" w:cs="Arial" w:eastAsia="Arial" w:hAnsi="Arial"/>
          <w:sz w:val="16"/>
          <w:szCs w:val="16"/>
          <w:color w:val="010101"/>
        </w:rPr>
        <w:t>Each party’s obligations under this Section 7.11 shall survive the resignation or replacement of the Administrative Agent or any transfer of right or obligations by, or the replacement of, a Lender, the termination of the Commitments or the repayment, satisfaction or discharge of all Borrower Obligations (or any portion thereof) under any Loan Document.</w:t>
      </w:r>
    </w:p>
    <w:p>
      <w:pPr>
        <w:spacing w:after="0" w:line="148" w:lineRule="exact"/>
        <w:rPr>
          <w:rFonts w:ascii="Arial" w:cs="Arial" w:eastAsia="Arial" w:hAnsi="Arial"/>
          <w:sz w:val="16"/>
          <w:szCs w:val="16"/>
          <w:color w:val="auto"/>
        </w:rPr>
      </w:pPr>
    </w:p>
    <w:p>
      <w:pPr>
        <w:ind w:left="20" w:right="20" w:firstLine="487"/>
        <w:spacing w:after="0" w:line="239" w:lineRule="auto"/>
        <w:tabs>
          <w:tab w:leader="none" w:pos="909" w:val="left"/>
        </w:tabs>
        <w:numPr>
          <w:ilvl w:val="0"/>
          <w:numId w:val="170"/>
        </w:numPr>
        <w:rPr>
          <w:rFonts w:ascii="Arial" w:cs="Arial" w:eastAsia="Arial" w:hAnsi="Arial"/>
          <w:sz w:val="16"/>
          <w:szCs w:val="16"/>
          <w:color w:val="auto"/>
        </w:rPr>
      </w:pPr>
      <w:r>
        <w:rPr>
          <w:rFonts w:ascii="Arial" w:cs="Arial" w:eastAsia="Arial" w:hAnsi="Arial"/>
          <w:sz w:val="16"/>
          <w:szCs w:val="16"/>
          <w:color w:val="010101"/>
        </w:rPr>
        <w:t>Nothing in this Section 7.11 will constitute a waiver or release of any claim of the Administrative Agent hereunder arising from any Payment Recipient’s receipt of an Erroneous Payment.</w:t>
      </w:r>
    </w:p>
    <w:p>
      <w:pPr>
        <w:spacing w:after="0" w:line="13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7.12.</w:t>
      </w:r>
      <w:r>
        <w:rPr>
          <w:sz w:val="20"/>
          <w:szCs w:val="20"/>
          <w:color w:val="auto"/>
        </w:rPr>
        <w:tab/>
      </w:r>
      <w:r>
        <w:rPr>
          <w:rFonts w:ascii="Arial" w:cs="Arial" w:eastAsia="Arial" w:hAnsi="Arial"/>
          <w:sz w:val="14"/>
          <w:szCs w:val="14"/>
          <w:u w:val="single" w:color="auto"/>
          <w:color w:val="010101"/>
        </w:rPr>
        <w:t>Certain ERISA Matters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right="20" w:firstLine="487"/>
        <w:spacing w:after="0" w:line="248" w:lineRule="auto"/>
        <w:tabs>
          <w:tab w:leader="none" w:pos="910" w:val="left"/>
        </w:tabs>
        <w:numPr>
          <w:ilvl w:val="0"/>
          <w:numId w:val="171"/>
        </w:numPr>
        <w:rPr>
          <w:rFonts w:ascii="Arial" w:cs="Arial" w:eastAsia="Arial" w:hAnsi="Arial"/>
          <w:sz w:val="15"/>
          <w:szCs w:val="15"/>
          <w:color w:val="auto"/>
        </w:rPr>
      </w:pPr>
      <w:r>
        <w:rPr>
          <w:rFonts w:ascii="Arial" w:cs="Arial" w:eastAsia="Arial" w:hAnsi="Arial"/>
          <w:sz w:val="15"/>
          <w:szCs w:val="15"/>
          <w:color w:val="010101"/>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Credit Party, that at least one of the following is and will be true:</w:t>
      </w:r>
    </w:p>
    <w:p>
      <w:pPr>
        <w:spacing w:after="0" w:line="132" w:lineRule="exact"/>
        <w:rPr>
          <w:rFonts w:ascii="Arial" w:cs="Arial" w:eastAsia="Arial" w:hAnsi="Arial"/>
          <w:sz w:val="15"/>
          <w:szCs w:val="15"/>
          <w:color w:val="auto"/>
        </w:rPr>
      </w:pPr>
    </w:p>
    <w:p>
      <w:pPr>
        <w:jc w:val="both"/>
        <w:ind w:left="500" w:right="20" w:firstLine="492"/>
        <w:spacing w:after="0" w:line="230" w:lineRule="auto"/>
        <w:tabs>
          <w:tab w:leader="none" w:pos="1389" w:val="left"/>
        </w:tabs>
        <w:numPr>
          <w:ilvl w:val="1"/>
          <w:numId w:val="171"/>
        </w:numPr>
        <w:rPr>
          <w:rFonts w:ascii="Arial" w:cs="Arial" w:eastAsia="Arial" w:hAnsi="Arial"/>
          <w:sz w:val="16"/>
          <w:szCs w:val="16"/>
          <w:color w:val="auto"/>
        </w:rPr>
      </w:pPr>
      <w:r>
        <w:rPr>
          <w:rFonts w:ascii="Arial" w:cs="Arial" w:eastAsia="Arial" w:hAnsi="Arial"/>
          <w:sz w:val="16"/>
          <w:szCs w:val="16"/>
          <w:color w:val="010101"/>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Advances, Letters of Credit or the Commitments or this Agreement;</w:t>
      </w:r>
    </w:p>
    <w:p>
      <w:pPr>
        <w:spacing w:after="0" w:line="148" w:lineRule="exact"/>
        <w:rPr>
          <w:rFonts w:ascii="Arial" w:cs="Arial" w:eastAsia="Arial" w:hAnsi="Arial"/>
          <w:sz w:val="16"/>
          <w:szCs w:val="16"/>
          <w:color w:val="auto"/>
        </w:rPr>
      </w:pPr>
    </w:p>
    <w:p>
      <w:pPr>
        <w:jc w:val="both"/>
        <w:ind w:left="500" w:right="20" w:firstLine="492"/>
        <w:spacing w:after="0" w:line="220" w:lineRule="auto"/>
        <w:tabs>
          <w:tab w:leader="none" w:pos="1389" w:val="left"/>
        </w:tabs>
        <w:numPr>
          <w:ilvl w:val="1"/>
          <w:numId w:val="171"/>
        </w:numPr>
        <w:rPr>
          <w:rFonts w:ascii="Arial" w:cs="Arial" w:eastAsia="Arial" w:hAnsi="Arial"/>
          <w:sz w:val="15"/>
          <w:szCs w:val="15"/>
          <w:color w:val="auto"/>
        </w:rPr>
      </w:pPr>
      <w:r>
        <w:rPr>
          <w:rFonts w:ascii="Arial" w:cs="Arial" w:eastAsia="Arial" w:hAnsi="Arial"/>
          <w:sz w:val="16"/>
          <w:szCs w:val="16"/>
          <w:color w:val="010101"/>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Advances or the Commitments and this Agreement;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60" w:name="page161"/>
    <w:bookmarkEnd w:id="160"/>
    <w:p>
      <w:pPr>
        <w:jc w:val="both"/>
        <w:ind w:left="500" w:right="40" w:firstLine="492"/>
        <w:spacing w:after="0" w:line="220" w:lineRule="auto"/>
        <w:tabs>
          <w:tab w:leader="none" w:pos="1389" w:val="left"/>
        </w:tabs>
        <w:numPr>
          <w:ilvl w:val="1"/>
          <w:numId w:val="172"/>
        </w:numPr>
        <w:rPr>
          <w:rFonts w:ascii="Arial" w:cs="Arial" w:eastAsia="Arial" w:hAnsi="Arial"/>
          <w:sz w:val="15"/>
          <w:szCs w:val="15"/>
          <w:color w:val="auto"/>
        </w:rPr>
      </w:pPr>
      <w:r>
        <w:rPr>
          <w:rFonts w:ascii="Arial" w:cs="Arial" w:eastAsia="Arial" w:hAnsi="Arial"/>
          <w:sz w:val="16"/>
          <w:szCs w:val="16"/>
          <w:color w:val="010101"/>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50" w:lineRule="exact"/>
        <w:rPr>
          <w:rFonts w:ascii="Arial" w:cs="Arial" w:eastAsia="Arial" w:hAnsi="Arial"/>
          <w:sz w:val="15"/>
          <w:szCs w:val="15"/>
          <w:color w:val="auto"/>
        </w:rPr>
      </w:pPr>
    </w:p>
    <w:p>
      <w:pPr>
        <w:ind w:left="1400" w:hanging="408"/>
        <w:spacing w:after="0"/>
        <w:tabs>
          <w:tab w:leader="none" w:pos="1400" w:val="left"/>
        </w:tabs>
        <w:numPr>
          <w:ilvl w:val="1"/>
          <w:numId w:val="172"/>
        </w:numPr>
        <w:rPr>
          <w:rFonts w:ascii="Arial" w:cs="Arial" w:eastAsia="Arial" w:hAnsi="Arial"/>
          <w:sz w:val="14"/>
          <w:szCs w:val="14"/>
          <w:color w:val="auto"/>
        </w:rPr>
      </w:pPr>
      <w:r>
        <w:rPr>
          <w:rFonts w:ascii="Arial" w:cs="Arial" w:eastAsia="Arial" w:hAnsi="Arial"/>
          <w:sz w:val="15"/>
          <w:szCs w:val="15"/>
          <w:color w:val="010101"/>
        </w:rPr>
        <w:t>such other representation, warranty and covenant as may be agreed in writing between the Administrative Agent, in its sole discretion, and such</w:t>
      </w:r>
    </w:p>
    <w:p>
      <w:pPr>
        <w:spacing w:after="0" w:line="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6"/>
          <w:szCs w:val="16"/>
          <w:color w:val="010101"/>
        </w:rPr>
        <w:t>Lender.</w:t>
      </w:r>
    </w:p>
    <w:p>
      <w:pPr>
        <w:spacing w:after="0" w:line="155" w:lineRule="exact"/>
        <w:rPr>
          <w:rFonts w:ascii="Arial" w:cs="Arial" w:eastAsia="Arial" w:hAnsi="Arial"/>
          <w:sz w:val="14"/>
          <w:szCs w:val="14"/>
          <w:color w:val="auto"/>
        </w:rPr>
      </w:pPr>
    </w:p>
    <w:p>
      <w:pPr>
        <w:jc w:val="both"/>
        <w:ind w:left="20" w:firstLine="487"/>
        <w:spacing w:after="0" w:line="233" w:lineRule="auto"/>
        <w:tabs>
          <w:tab w:leader="none" w:pos="909" w:val="left"/>
        </w:tabs>
        <w:numPr>
          <w:ilvl w:val="0"/>
          <w:numId w:val="173"/>
        </w:numPr>
        <w:rPr>
          <w:rFonts w:ascii="Arial" w:cs="Arial" w:eastAsia="Arial" w:hAnsi="Arial"/>
          <w:sz w:val="15"/>
          <w:szCs w:val="15"/>
          <w:color w:val="auto"/>
        </w:rPr>
      </w:pPr>
      <w:r>
        <w:rPr>
          <w:rFonts w:ascii="Arial" w:cs="Arial" w:eastAsia="Arial" w:hAnsi="Arial"/>
          <w:sz w:val="15"/>
          <w:szCs w:val="15"/>
          <w:color w:val="010101"/>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Credit Party, that none of the Administrative Agent and its Affiliates is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Loan Document or any documents related hereto or thereto).</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xml:space="preserve">ARTICLE VIII </w:t>
      </w:r>
      <w:r>
        <w:rPr>
          <w:rFonts w:ascii="Arial" w:cs="Arial" w:eastAsia="Arial" w:hAnsi="Arial"/>
          <w:sz w:val="16"/>
          <w:szCs w:val="16"/>
          <w:color w:val="010101"/>
        </w:rPr>
        <w:t>GUARANTY</w:t>
      </w:r>
    </w:p>
    <w:p>
      <w:pPr>
        <w:spacing w:after="0" w:line="7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8.01.</w:t>
      </w:r>
      <w:r>
        <w:rPr>
          <w:sz w:val="20"/>
          <w:szCs w:val="20"/>
          <w:color w:val="auto"/>
        </w:rPr>
        <w:tab/>
      </w:r>
      <w:r>
        <w:rPr>
          <w:rFonts w:ascii="Arial" w:cs="Arial" w:eastAsia="Arial" w:hAnsi="Arial"/>
          <w:sz w:val="14"/>
          <w:szCs w:val="14"/>
          <w:u w:val="single" w:color="auto"/>
          <w:color w:val="010101"/>
        </w:rPr>
        <w:t>The Guaranty</w:t>
      </w:r>
    </w:p>
    <w:p>
      <w:pPr>
        <w:spacing w:after="0" w:line="170" w:lineRule="exact"/>
        <w:rPr>
          <w:sz w:val="20"/>
          <w:szCs w:val="20"/>
          <w:color w:val="auto"/>
        </w:rPr>
      </w:pPr>
    </w:p>
    <w:p>
      <w:pPr>
        <w:jc w:val="both"/>
        <w:ind w:left="20" w:right="40" w:firstLine="487"/>
        <w:spacing w:after="0" w:line="219" w:lineRule="auto"/>
        <w:tabs>
          <w:tab w:leader="none" w:pos="609" w:val="left"/>
        </w:tabs>
        <w:numPr>
          <w:ilvl w:val="0"/>
          <w:numId w:val="174"/>
        </w:numPr>
        <w:rPr>
          <w:rFonts w:ascii="Arial" w:cs="Arial" w:eastAsia="Arial" w:hAnsi="Arial"/>
          <w:sz w:val="16"/>
          <w:szCs w:val="16"/>
          <w:color w:val="010101"/>
        </w:rPr>
      </w:pPr>
      <w:r>
        <w:rPr>
          <w:rFonts w:ascii="Arial" w:cs="Arial" w:eastAsia="Arial" w:hAnsi="Arial"/>
          <w:sz w:val="16"/>
          <w:szCs w:val="16"/>
          <w:color w:val="010101"/>
        </w:rPr>
        <w:t>In order to induce the Lenders to enter into this Agreement and to extend credit hereunder and in recognition of the direct benefits to be received by the Guarantors from the Advances hereunder, each of the Guarantors and the Company hereby agrees with the Administrative Agent and the Lenders as follows: (a) each Guarantor hereby unconditionally and irrevocably jointly and severally guarantees as primary obligor and not merely as surety the full and prompt payment when due, whether upon maturity, by acceleration or otherwise, of (i) any and all of the Borrower Obligations hereunder and under the other Loan Documents and (ii) the Guaranteed Obligations and (b) the Company hereby unconditionally and irrevocably jointly and severally guarantees as primary obligor and not merely as surety the full and prompt payment when due, whether upon maturity, by acceleration or otherwise, of any and all of (i) the Foreign Borrower Obligations hereunder and under the other Loan Documents and (ii) the Guaranteed Obligations.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99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61" w:name="page162"/>
    <w:bookmarkEnd w:id="161"/>
    <w:p>
      <w:pPr>
        <w:jc w:val="both"/>
        <w:ind w:left="20" w:firstLine="485"/>
        <w:spacing w:after="0" w:line="231" w:lineRule="auto"/>
        <w:rPr>
          <w:sz w:val="20"/>
          <w:szCs w:val="20"/>
          <w:color w:val="auto"/>
        </w:rPr>
      </w:pPr>
      <w:r>
        <w:rPr>
          <w:rFonts w:ascii="Arial" w:cs="Arial" w:eastAsia="Arial" w:hAnsi="Arial"/>
          <w:sz w:val="15"/>
          <w:szCs w:val="15"/>
          <w:color w:val="010101"/>
        </w:rPr>
        <w:t xml:space="preserve">If any or all of the indebtedness becomes due and payable hereunder, each Guarantor unconditionally promises to pay such indebtedness to the Administrative Agent, the Lenders, or their respective order, on demand, together with any and all reasonable expenses which may be incurred by the Administrative Agent or the Lenders in collecting any of the Borrower Obligations. The Guaranty set forth in this </w:t>
      </w:r>
      <w:r>
        <w:rPr>
          <w:rFonts w:ascii="Arial" w:cs="Arial" w:eastAsia="Arial" w:hAnsi="Arial"/>
          <w:sz w:val="15"/>
          <w:szCs w:val="15"/>
          <w:u w:val="single" w:color="auto"/>
          <w:color w:val="010101"/>
        </w:rPr>
        <w:t>Article VIII</w:t>
      </w:r>
      <w:r>
        <w:rPr>
          <w:rFonts w:ascii="Arial" w:cs="Arial" w:eastAsia="Arial" w:hAnsi="Arial"/>
          <w:sz w:val="15"/>
          <w:szCs w:val="15"/>
          <w:color w:val="010101"/>
        </w:rPr>
        <w:t xml:space="preserve"> is a guaranty of payment when due and not of collection. The word “indebtedness” is used in this </w:t>
      </w:r>
      <w:r>
        <w:rPr>
          <w:rFonts w:ascii="Arial" w:cs="Arial" w:eastAsia="Arial" w:hAnsi="Arial"/>
          <w:sz w:val="15"/>
          <w:szCs w:val="15"/>
          <w:u w:val="single" w:color="auto"/>
          <w:color w:val="010101"/>
        </w:rPr>
        <w:t>Article VIII</w:t>
      </w:r>
      <w:r>
        <w:rPr>
          <w:rFonts w:ascii="Arial" w:cs="Arial" w:eastAsia="Arial" w:hAnsi="Arial"/>
          <w:sz w:val="15"/>
          <w:szCs w:val="15"/>
          <w:color w:val="010101"/>
        </w:rPr>
        <w:t xml:space="preserve"> in its most comprehensive sense and includes any and all advances, debts, obligations and liabilities of the Borrowers, including specifically all Borrower Obligations, arising in connection with this Agreement or the other Loan Documents and all Guaranteed Obligations,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any Borrower may be liable individually or jointly with others, whether or not recovery upon such indebtedness may be or hereafter become barred by any statute of limitations, and whether or not such indebtedness may be or hereafter becomes otherwise unenforceable.</w:t>
      </w:r>
    </w:p>
    <w:p>
      <w:pPr>
        <w:spacing w:after="0" w:line="153"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Notwithstanding any provision to the contrary contained herein or in any other of the Loan Documents, to the extent the obligations of a Guarantor shall be adjudicated to be invalid or unenforceable for any reason (including, without limitation, because of any applicable state or federal law relating to fraudulent conveyances or transfers) then the obligations of each such Guarantor hereunder shall be limited to the maximum amount that is permissible under Applicable Law (whether federal or state and including, without limitation, the Bankruptcy Code).</w:t>
      </w:r>
    </w:p>
    <w:p>
      <w:pPr>
        <w:spacing w:after="0" w:line="19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8.02.</w:t>
      </w:r>
      <w:r>
        <w:rPr>
          <w:sz w:val="20"/>
          <w:szCs w:val="20"/>
          <w:color w:val="auto"/>
        </w:rPr>
        <w:tab/>
      </w:r>
      <w:r>
        <w:rPr>
          <w:rFonts w:ascii="Arial" w:cs="Arial" w:eastAsia="Arial" w:hAnsi="Arial"/>
          <w:sz w:val="14"/>
          <w:szCs w:val="14"/>
          <w:u w:val="single" w:color="auto"/>
          <w:color w:val="010101"/>
        </w:rPr>
        <w:t>Bankruptcy</w:t>
      </w:r>
    </w:p>
    <w:p>
      <w:pPr>
        <w:spacing w:after="0" w:line="170" w:lineRule="exact"/>
        <w:rPr>
          <w:sz w:val="20"/>
          <w:szCs w:val="20"/>
          <w:color w:val="auto"/>
        </w:rPr>
      </w:pPr>
    </w:p>
    <w:p>
      <w:pPr>
        <w:jc w:val="both"/>
        <w:ind w:left="20" w:right="20" w:firstLine="487"/>
        <w:spacing w:after="0" w:line="246" w:lineRule="auto"/>
        <w:tabs>
          <w:tab w:leader="none" w:pos="589" w:val="left"/>
        </w:tabs>
        <w:numPr>
          <w:ilvl w:val="1"/>
          <w:numId w:val="175"/>
        </w:numPr>
        <w:rPr>
          <w:rFonts w:ascii="Arial" w:cs="Arial" w:eastAsia="Arial" w:hAnsi="Arial"/>
          <w:sz w:val="14"/>
          <w:szCs w:val="14"/>
          <w:color w:val="010101"/>
        </w:rPr>
      </w:pPr>
      <w:r>
        <w:rPr>
          <w:rFonts w:ascii="Arial" w:cs="Arial" w:eastAsia="Arial" w:hAnsi="Arial"/>
          <w:sz w:val="14"/>
          <w:szCs w:val="14"/>
          <w:color w:val="010101"/>
        </w:rPr>
        <w:t>Additionally: (a) each of the Guarantors unconditionally and irrevocably guarantees jointly and severally the payment of any and all Borrower Obligations of any Borrower and the Guaranteed Obligations to the Lenders whether or not due or payable by any Borrower or any other Credit Party upon the occurrence of any bankruptcy, reorganization, arrangement, moratorium or other proceeding or procedure under any Debtor Relief Law and unconditionally promises to pay such Borrower Obligations and such Guaranteed Obligations to the Administrative Agent for the account of the Lenders, or order, on demand, in lawful money of the United States, and</w:t>
      </w:r>
    </w:p>
    <w:p>
      <w:pPr>
        <w:jc w:val="both"/>
        <w:ind w:left="20" w:right="20" w:firstLine="2"/>
        <w:spacing w:after="0" w:line="230" w:lineRule="auto"/>
        <w:tabs>
          <w:tab w:leader="none" w:pos="250" w:val="left"/>
        </w:tabs>
        <w:numPr>
          <w:ilvl w:val="0"/>
          <w:numId w:val="175"/>
        </w:numPr>
        <w:rPr>
          <w:rFonts w:ascii="Arial" w:cs="Arial" w:eastAsia="Arial" w:hAnsi="Arial"/>
          <w:sz w:val="15"/>
          <w:szCs w:val="15"/>
          <w:color w:val="010101"/>
        </w:rPr>
      </w:pPr>
      <w:r>
        <w:rPr>
          <w:rFonts w:ascii="Arial" w:cs="Arial" w:eastAsia="Arial" w:hAnsi="Arial"/>
          <w:sz w:val="15"/>
          <w:szCs w:val="15"/>
          <w:color w:val="010101"/>
        </w:rPr>
        <w:t>the Company unconditionally and irrevocably guarantees jointly and severally the payment of any and all Foreign Borrower Obligations of any Foreign Borrower and the Guaranteed Obligations to the Lenders whether or not due or payable by any Foreign Borrower or any other Credit Party upon the occurrence of any bankruptcy, reorganization, arrangement, moratorium or other proceeding or procedure under any Debtor Relief Law and unconditionally promises to pay such Foreign Borrower Obligations and the Guaranteed Obligations to the Administrative Agent for the account of the Lenders, or order, on demand, in lawful money of the United States. Each of the Guarantors further agrees that to the extent that any Borrower or a Guarantor shall make a payment or a transfer of an interest in any property to the Administrative Agent or any Lender, which payment or transfer or any part thereof is subsequently invalidated, declared to be fraudulent or preferential, or otherwise is avoided, and/or required to be repaid to any Borrower or a Guarantor, the estate of any Borrower or a Guarantor, a trustee, receiver or any other party under any Debtor Relief Laws, state or federal law, common law or equitable cause, then to the extent of such avoidance or repayment, the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62" w:name="page163"/>
    <w:bookmarkEnd w:id="162"/>
    <w:p>
      <w:pPr>
        <w:ind w:left="20"/>
        <w:spacing w:after="0"/>
        <w:rPr>
          <w:sz w:val="20"/>
          <w:szCs w:val="20"/>
          <w:color w:val="auto"/>
        </w:rPr>
      </w:pPr>
      <w:r>
        <w:rPr>
          <w:rFonts w:ascii="Arial" w:cs="Arial" w:eastAsia="Arial" w:hAnsi="Arial"/>
          <w:sz w:val="16"/>
          <w:szCs w:val="16"/>
          <w:color w:val="010101"/>
        </w:rPr>
        <w:t>obligation or part thereof intended to be satisfied shall be revived and continued in full force and effect as if said payment had not been made.</w:t>
      </w:r>
    </w:p>
    <w:p>
      <w:pPr>
        <w:spacing w:after="0" w:line="170" w:lineRule="exact"/>
        <w:rPr>
          <w:sz w:val="20"/>
          <w:szCs w:val="20"/>
          <w:color w:val="auto"/>
        </w:rPr>
      </w:pPr>
    </w:p>
    <w:p>
      <w:pPr>
        <w:ind w:left="20" w:right="20" w:firstLine="485"/>
        <w:spacing w:after="0" w:line="239" w:lineRule="auto"/>
        <w:rPr>
          <w:sz w:val="20"/>
          <w:szCs w:val="20"/>
          <w:color w:val="auto"/>
        </w:rPr>
      </w:pPr>
      <w:r>
        <w:rPr>
          <w:rFonts w:ascii="Arial" w:cs="Arial" w:eastAsia="Arial" w:hAnsi="Arial"/>
          <w:sz w:val="16"/>
          <w:szCs w:val="16"/>
          <w:color w:val="010101"/>
        </w:rPr>
        <w:t>For the avoidance of doubt, no Foreign Borrower shall guaranty or be liable for any Borrower Obligations of the Company, any of its Domestic Subsidiaries or any other Foreign Borrower.</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8.03.</w:t>
      </w:r>
      <w:r>
        <w:rPr>
          <w:sz w:val="20"/>
          <w:szCs w:val="20"/>
          <w:color w:val="auto"/>
        </w:rPr>
        <w:tab/>
      </w:r>
      <w:r>
        <w:rPr>
          <w:rFonts w:ascii="Arial" w:cs="Arial" w:eastAsia="Arial" w:hAnsi="Arial"/>
          <w:sz w:val="15"/>
          <w:szCs w:val="15"/>
          <w:u w:val="single" w:color="auto"/>
          <w:color w:val="010101"/>
        </w:rPr>
        <w:t>Nature of Liability</w:t>
      </w:r>
    </w:p>
    <w:p>
      <w:pPr>
        <w:spacing w:after="0" w:line="160" w:lineRule="exact"/>
        <w:rPr>
          <w:sz w:val="20"/>
          <w:szCs w:val="20"/>
          <w:color w:val="auto"/>
        </w:rPr>
      </w:pPr>
    </w:p>
    <w:p>
      <w:pPr>
        <w:jc w:val="both"/>
        <w:ind w:left="20" w:firstLine="487"/>
        <w:spacing w:after="0" w:line="252" w:lineRule="auto"/>
        <w:tabs>
          <w:tab w:leader="none" w:pos="605" w:val="left"/>
        </w:tabs>
        <w:numPr>
          <w:ilvl w:val="0"/>
          <w:numId w:val="176"/>
        </w:numPr>
        <w:rPr>
          <w:rFonts w:ascii="Arial" w:cs="Arial" w:eastAsia="Arial" w:hAnsi="Arial"/>
          <w:sz w:val="14"/>
          <w:szCs w:val="14"/>
          <w:color w:val="010101"/>
        </w:rPr>
      </w:pPr>
      <w:r>
        <w:rPr>
          <w:rFonts w:ascii="Arial" w:cs="Arial" w:eastAsia="Arial" w:hAnsi="Arial"/>
          <w:sz w:val="14"/>
          <w:szCs w:val="14"/>
          <w:color w:val="010101"/>
        </w:rPr>
        <w:t>The liability of each Guarantor hereunder is exclusive and independent of any security for or other guaranty of the relevant Borrower Obligations whether executed by any such Guarantor, any other guarantor or by any other party, and no Guarantor’s liability hereunder shall be affected or impaired by (</w:t>
      </w:r>
      <w:r>
        <w:rPr>
          <w:rFonts w:ascii="Arial" w:cs="Arial" w:eastAsia="Arial" w:hAnsi="Arial"/>
          <w:sz w:val="14"/>
          <w:szCs w:val="14"/>
          <w:color w:val="FF0000"/>
          <w:strike w:val="1"/>
        </w:rPr>
        <w:t>a</w:t>
      </w:r>
      <w:r>
        <w:rPr>
          <w:rFonts w:ascii="Arial" w:cs="Arial" w:eastAsia="Arial" w:hAnsi="Arial"/>
          <w:sz w:val="14"/>
          <w:szCs w:val="14"/>
          <w:b w:val="1"/>
          <w:bCs w:val="1"/>
          <w:u w:val="single" w:color="auto"/>
          <w:color w:val="0000FF"/>
        </w:rPr>
        <w:t>a</w:t>
      </w:r>
      <w:r>
        <w:rPr>
          <w:rFonts w:ascii="Arial" w:cs="Arial" w:eastAsia="Arial" w:hAnsi="Arial"/>
          <w:sz w:val="14"/>
          <w:szCs w:val="14"/>
          <w:color w:val="010101"/>
        </w:rPr>
        <w:t>) any direction as to application of payment by any Borrower or by any other party, or (</w:t>
      </w:r>
      <w:r>
        <w:rPr>
          <w:rFonts w:ascii="Arial" w:cs="Arial" w:eastAsia="Arial" w:hAnsi="Arial"/>
          <w:sz w:val="14"/>
          <w:szCs w:val="14"/>
          <w:color w:val="FF0000"/>
          <w:strike w:val="1"/>
        </w:rPr>
        <w:t>b</w:t>
      </w:r>
      <w:r>
        <w:rPr>
          <w:rFonts w:ascii="Arial" w:cs="Arial" w:eastAsia="Arial" w:hAnsi="Arial"/>
          <w:sz w:val="14"/>
          <w:szCs w:val="14"/>
          <w:b w:val="1"/>
          <w:bCs w:val="1"/>
          <w:u w:val="single" w:color="auto"/>
          <w:color w:val="0000FF"/>
        </w:rPr>
        <w:t>b</w:t>
      </w:r>
      <w:r>
        <w:rPr>
          <w:rFonts w:ascii="Arial" w:cs="Arial" w:eastAsia="Arial" w:hAnsi="Arial"/>
          <w:sz w:val="14"/>
          <w:szCs w:val="14"/>
          <w:color w:val="010101"/>
        </w:rPr>
        <w:t>) any other continuing or other guaranty, undertaking or maximum liability of a guarantor or of any other party as to the Borrower Obligations, or (</w:t>
      </w:r>
      <w:r>
        <w:rPr>
          <w:rFonts w:ascii="Arial" w:cs="Arial" w:eastAsia="Arial" w:hAnsi="Arial"/>
          <w:sz w:val="14"/>
          <w:szCs w:val="14"/>
          <w:color w:val="FF0000"/>
          <w:strike w:val="1"/>
        </w:rPr>
        <w:t>c</w:t>
      </w:r>
      <w:r>
        <w:rPr>
          <w:rFonts w:ascii="Arial" w:cs="Arial" w:eastAsia="Arial" w:hAnsi="Arial"/>
          <w:sz w:val="14"/>
          <w:szCs w:val="14"/>
          <w:b w:val="1"/>
          <w:bCs w:val="1"/>
          <w:u w:val="single" w:color="auto"/>
          <w:color w:val="0000FF"/>
        </w:rPr>
        <w:t>c</w:t>
      </w:r>
      <w:r>
        <w:rPr>
          <w:rFonts w:ascii="Arial" w:cs="Arial" w:eastAsia="Arial" w:hAnsi="Arial"/>
          <w:sz w:val="14"/>
          <w:szCs w:val="14"/>
          <w:color w:val="010101"/>
        </w:rPr>
        <w:t>) any payment on or in reduction of any such other guaranty or undertaking, or (</w:t>
      </w:r>
      <w:r>
        <w:rPr>
          <w:rFonts w:ascii="Arial" w:cs="Arial" w:eastAsia="Arial" w:hAnsi="Arial"/>
          <w:sz w:val="14"/>
          <w:szCs w:val="14"/>
          <w:color w:val="FF0000"/>
          <w:strike w:val="1"/>
        </w:rPr>
        <w:t>d</w:t>
      </w:r>
      <w:r>
        <w:rPr>
          <w:rFonts w:ascii="Arial" w:cs="Arial" w:eastAsia="Arial" w:hAnsi="Arial"/>
          <w:sz w:val="14"/>
          <w:szCs w:val="14"/>
          <w:b w:val="1"/>
          <w:bCs w:val="1"/>
          <w:u w:val="single" w:color="auto"/>
          <w:color w:val="0000FF"/>
        </w:rPr>
        <w:t>d</w:t>
      </w:r>
      <w:r>
        <w:rPr>
          <w:rFonts w:ascii="Arial" w:cs="Arial" w:eastAsia="Arial" w:hAnsi="Arial"/>
          <w:sz w:val="14"/>
          <w:szCs w:val="14"/>
          <w:color w:val="010101"/>
        </w:rPr>
        <w:t>) any dissolution, termination or increase, decrease or change in personnel by any Borrower, or (</w:t>
      </w:r>
      <w:r>
        <w:rPr>
          <w:rFonts w:ascii="Arial" w:cs="Arial" w:eastAsia="Arial" w:hAnsi="Arial"/>
          <w:sz w:val="14"/>
          <w:szCs w:val="14"/>
          <w:color w:val="FF0000"/>
          <w:strike w:val="1"/>
        </w:rPr>
        <w:t>e</w:t>
      </w:r>
      <w:r>
        <w:rPr>
          <w:rFonts w:ascii="Arial" w:cs="Arial" w:eastAsia="Arial" w:hAnsi="Arial"/>
          <w:sz w:val="14"/>
          <w:szCs w:val="14"/>
          <w:b w:val="1"/>
          <w:bCs w:val="1"/>
          <w:u w:val="single" w:color="auto"/>
          <w:color w:val="0000FF"/>
        </w:rPr>
        <w:t>e</w:t>
      </w:r>
      <w:r>
        <w:rPr>
          <w:rFonts w:ascii="Arial" w:cs="Arial" w:eastAsia="Arial" w:hAnsi="Arial"/>
          <w:sz w:val="14"/>
          <w:szCs w:val="14"/>
          <w:color w:val="010101"/>
        </w:rPr>
        <w:t>) any payment made to the Administrative Agent or the Lenders on the applicable Borrower Obligations which the Administrative Agent or such Lenders provides to any Borrower pursuant to court order in any bankruptcy, reorganization, arrangement, moratorium or other debtor relief proceeding, and each of the Guarantors waives any right to the deferral or modification of its obligations hereunder by reason of any such proceeding.</w:t>
      </w:r>
    </w:p>
    <w:p>
      <w:pPr>
        <w:spacing w:after="0" w:line="14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8.04.</w:t>
      </w:r>
      <w:r>
        <w:rPr>
          <w:sz w:val="20"/>
          <w:szCs w:val="20"/>
          <w:color w:val="auto"/>
        </w:rPr>
        <w:tab/>
      </w:r>
      <w:r>
        <w:rPr>
          <w:rFonts w:ascii="Arial" w:cs="Arial" w:eastAsia="Arial" w:hAnsi="Arial"/>
          <w:sz w:val="14"/>
          <w:szCs w:val="14"/>
          <w:u w:val="single" w:color="auto"/>
          <w:color w:val="010101"/>
        </w:rPr>
        <w:t>Independent Obligation</w:t>
      </w:r>
    </w:p>
    <w:p>
      <w:pPr>
        <w:spacing w:after="0" w:line="170" w:lineRule="exact"/>
        <w:rPr>
          <w:sz w:val="20"/>
          <w:szCs w:val="20"/>
          <w:color w:val="auto"/>
        </w:rPr>
      </w:pPr>
    </w:p>
    <w:p>
      <w:pPr>
        <w:jc w:val="both"/>
        <w:ind w:left="20" w:right="20" w:firstLine="487"/>
        <w:spacing w:after="0" w:line="230" w:lineRule="auto"/>
        <w:tabs>
          <w:tab w:leader="none" w:pos="598" w:val="left"/>
        </w:tabs>
        <w:numPr>
          <w:ilvl w:val="0"/>
          <w:numId w:val="177"/>
        </w:numPr>
        <w:rPr>
          <w:rFonts w:ascii="Arial" w:cs="Arial" w:eastAsia="Arial" w:hAnsi="Arial"/>
          <w:sz w:val="16"/>
          <w:szCs w:val="16"/>
          <w:color w:val="010101"/>
        </w:rPr>
      </w:pPr>
      <w:r>
        <w:rPr>
          <w:rFonts w:ascii="Arial" w:cs="Arial" w:eastAsia="Arial" w:hAnsi="Arial"/>
          <w:sz w:val="16"/>
          <w:szCs w:val="16"/>
          <w:color w:val="010101"/>
        </w:rPr>
        <w:t>The obligations of each Guarantor hereunder are independent of the obligations of any other Guarantor or any applicable Borrower, and a separate action or actions may be brought and prosecuted against each Guarantor whether or not action is brought against any other Guarantor or any applicable Borrower and whether or not any other Guarantor or any other Borrower is joined in any such action or actions.</w:t>
      </w:r>
    </w:p>
    <w:p>
      <w:pPr>
        <w:spacing w:after="0" w:line="13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8.05.</w:t>
      </w:r>
      <w:r>
        <w:rPr>
          <w:sz w:val="20"/>
          <w:szCs w:val="20"/>
          <w:color w:val="auto"/>
        </w:rPr>
        <w:tab/>
      </w:r>
      <w:r>
        <w:rPr>
          <w:rFonts w:ascii="Arial" w:cs="Arial" w:eastAsia="Arial" w:hAnsi="Arial"/>
          <w:sz w:val="15"/>
          <w:szCs w:val="15"/>
          <w:u w:val="single" w:color="auto"/>
          <w:color w:val="010101"/>
        </w:rPr>
        <w:t>Authorization</w:t>
      </w:r>
    </w:p>
    <w:p>
      <w:pPr>
        <w:spacing w:after="0" w:line="170" w:lineRule="exact"/>
        <w:rPr>
          <w:sz w:val="20"/>
          <w:szCs w:val="20"/>
          <w:color w:val="auto"/>
        </w:rPr>
      </w:pPr>
    </w:p>
    <w:p>
      <w:pPr>
        <w:jc w:val="both"/>
        <w:ind w:left="20" w:right="20" w:firstLine="487"/>
        <w:spacing w:after="0" w:line="219" w:lineRule="auto"/>
        <w:tabs>
          <w:tab w:leader="none" w:pos="589" w:val="left"/>
        </w:tabs>
        <w:numPr>
          <w:ilvl w:val="0"/>
          <w:numId w:val="178"/>
        </w:numPr>
        <w:rPr>
          <w:rFonts w:ascii="Arial" w:cs="Arial" w:eastAsia="Arial" w:hAnsi="Arial"/>
          <w:sz w:val="16"/>
          <w:szCs w:val="16"/>
          <w:color w:val="010101"/>
        </w:rPr>
      </w:pPr>
      <w:r>
        <w:rPr>
          <w:rFonts w:ascii="Arial" w:cs="Arial" w:eastAsia="Arial" w:hAnsi="Arial"/>
          <w:sz w:val="16"/>
          <w:szCs w:val="16"/>
          <w:color w:val="010101"/>
        </w:rPr>
        <w:t>Each of the Guarantors authorizes the Administrative Agent, each Lender without notice or demand (except as shall be required by applicable statute and cannot be waived), and without affecting or impairing its liability hereunder, from time to time to (</w:t>
      </w:r>
      <w:r>
        <w:rPr>
          <w:rFonts w:ascii="Arial" w:cs="Arial" w:eastAsia="Arial" w:hAnsi="Arial"/>
          <w:sz w:val="16"/>
          <w:szCs w:val="16"/>
          <w:color w:val="FF0000"/>
          <w:strike w:val="1"/>
        </w:rPr>
        <w:t>a</w:t>
      </w:r>
      <w:r>
        <w:rPr>
          <w:rFonts w:ascii="Arial" w:cs="Arial" w:eastAsia="Arial" w:hAnsi="Arial"/>
          <w:sz w:val="16"/>
          <w:szCs w:val="16"/>
          <w:b w:val="1"/>
          <w:bCs w:val="1"/>
          <w:u w:val="single" w:color="auto"/>
          <w:color w:val="0000FF"/>
        </w:rPr>
        <w:t>a</w:t>
      </w:r>
      <w:r>
        <w:rPr>
          <w:rFonts w:ascii="Arial" w:cs="Arial" w:eastAsia="Arial" w:hAnsi="Arial"/>
          <w:sz w:val="16"/>
          <w:szCs w:val="16"/>
          <w:color w:val="010101"/>
        </w:rPr>
        <w:t>) renew, compromise, extend, increase, accelerate or otherwise change the time for payment of, or otherwise change the terms of the Borrower Obligations, the Foreign Borrower Obligations or any part thereof in accordance with this Agreement, including any increase or decrease of the rate of interest thereon, (</w:t>
      </w:r>
      <w:r>
        <w:rPr>
          <w:rFonts w:ascii="Arial" w:cs="Arial" w:eastAsia="Arial" w:hAnsi="Arial"/>
          <w:sz w:val="16"/>
          <w:szCs w:val="16"/>
          <w:color w:val="FF0000"/>
          <w:strike w:val="1"/>
        </w:rPr>
        <w:t>b</w:t>
      </w:r>
      <w:r>
        <w:rPr>
          <w:rFonts w:ascii="Arial" w:cs="Arial" w:eastAsia="Arial" w:hAnsi="Arial"/>
          <w:sz w:val="16"/>
          <w:szCs w:val="16"/>
          <w:b w:val="1"/>
          <w:bCs w:val="1"/>
          <w:u w:val="single" w:color="auto"/>
          <w:color w:val="0000FF"/>
        </w:rPr>
        <w:t>b</w:t>
      </w:r>
      <w:r>
        <w:rPr>
          <w:rFonts w:ascii="Arial" w:cs="Arial" w:eastAsia="Arial" w:hAnsi="Arial"/>
          <w:sz w:val="16"/>
          <w:szCs w:val="16"/>
          <w:color w:val="010101"/>
        </w:rPr>
        <w:t>) take and hold security from any Guarantor or any other party for the payment of this Guaranty, the Borrower Obligations or the Foreign Borrower Obligations and exchange, enforce waive and release any such security, (</w:t>
      </w:r>
      <w:r>
        <w:rPr>
          <w:rFonts w:ascii="Arial" w:cs="Arial" w:eastAsia="Arial" w:hAnsi="Arial"/>
          <w:sz w:val="16"/>
          <w:szCs w:val="16"/>
          <w:color w:val="FF0000"/>
          <w:strike w:val="1"/>
        </w:rPr>
        <w:t>c</w:t>
      </w:r>
      <w:r>
        <w:rPr>
          <w:rFonts w:ascii="Arial" w:cs="Arial" w:eastAsia="Arial" w:hAnsi="Arial"/>
          <w:sz w:val="16"/>
          <w:szCs w:val="16"/>
          <w:b w:val="1"/>
          <w:bCs w:val="1"/>
          <w:u w:val="single" w:color="auto"/>
          <w:color w:val="0000FF"/>
        </w:rPr>
        <w:t>c</w:t>
      </w:r>
      <w:r>
        <w:rPr>
          <w:rFonts w:ascii="Arial" w:cs="Arial" w:eastAsia="Arial" w:hAnsi="Arial"/>
          <w:sz w:val="16"/>
          <w:szCs w:val="16"/>
          <w:color w:val="010101"/>
        </w:rPr>
        <w:t>) apply such security and direct the order or manner of sale thereof as the Administrative Agent and the Lenders in their discretion may determine and (</w:t>
      </w:r>
      <w:r>
        <w:rPr>
          <w:rFonts w:ascii="Arial" w:cs="Arial" w:eastAsia="Arial" w:hAnsi="Arial"/>
          <w:sz w:val="16"/>
          <w:szCs w:val="16"/>
          <w:color w:val="FF0000"/>
          <w:strike w:val="1"/>
        </w:rPr>
        <w:t>d</w:t>
      </w:r>
      <w:r>
        <w:rPr>
          <w:rFonts w:ascii="Arial" w:cs="Arial" w:eastAsia="Arial" w:hAnsi="Arial"/>
          <w:sz w:val="16"/>
          <w:szCs w:val="16"/>
          <w:b w:val="1"/>
          <w:bCs w:val="1"/>
          <w:u w:val="single" w:color="auto"/>
          <w:color w:val="0000FF"/>
        </w:rPr>
        <w:t>d</w:t>
      </w:r>
      <w:r>
        <w:rPr>
          <w:rFonts w:ascii="Arial" w:cs="Arial" w:eastAsia="Arial" w:hAnsi="Arial"/>
          <w:sz w:val="16"/>
          <w:szCs w:val="16"/>
          <w:color w:val="010101"/>
        </w:rPr>
        <w:t>) release or substitute any one or more endorsers, Guarantors, Borrowers or other obligors.</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8.06.</w:t>
      </w:r>
      <w:r>
        <w:rPr>
          <w:sz w:val="20"/>
          <w:szCs w:val="20"/>
          <w:color w:val="auto"/>
        </w:rPr>
        <w:tab/>
      </w:r>
      <w:r>
        <w:rPr>
          <w:rFonts w:ascii="Arial" w:cs="Arial" w:eastAsia="Arial" w:hAnsi="Arial"/>
          <w:sz w:val="14"/>
          <w:szCs w:val="14"/>
          <w:u w:val="single" w:color="auto"/>
          <w:color w:val="010101"/>
        </w:rPr>
        <w:t>Reliance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63" w:name="page164"/>
    <w:bookmarkEnd w:id="163"/>
    <w:p>
      <w:pPr>
        <w:jc w:val="both"/>
        <w:ind w:left="20" w:firstLine="487"/>
        <w:spacing w:after="0" w:line="230" w:lineRule="auto"/>
        <w:tabs>
          <w:tab w:leader="none" w:pos="607" w:val="left"/>
        </w:tabs>
        <w:numPr>
          <w:ilvl w:val="0"/>
          <w:numId w:val="179"/>
        </w:numPr>
        <w:rPr>
          <w:rFonts w:ascii="Arial" w:cs="Arial" w:eastAsia="Arial" w:hAnsi="Arial"/>
          <w:sz w:val="16"/>
          <w:szCs w:val="16"/>
          <w:color w:val="010101"/>
        </w:rPr>
      </w:pPr>
      <w:r>
        <w:rPr>
          <w:rFonts w:ascii="Arial" w:cs="Arial" w:eastAsia="Arial" w:hAnsi="Arial"/>
          <w:sz w:val="16"/>
          <w:szCs w:val="16"/>
          <w:color w:val="010101"/>
        </w:rPr>
        <w:t>It is not necessary for the Administrative Agent or the Lenders to inquire into the capacity or powers of any Borrower or the officers, directors, members, partners or agents acting or purporting to act on its behalf, and any Borrower Obligations made or created in reliance upon the professed exercise of such powers shall be guaranteed hereunder.</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8.07.</w:t>
      </w:r>
      <w:r>
        <w:rPr>
          <w:sz w:val="20"/>
          <w:szCs w:val="20"/>
          <w:color w:val="auto"/>
        </w:rPr>
        <w:tab/>
      </w:r>
      <w:r>
        <w:rPr>
          <w:rFonts w:ascii="Arial" w:cs="Arial" w:eastAsia="Arial" w:hAnsi="Arial"/>
          <w:sz w:val="14"/>
          <w:szCs w:val="14"/>
          <w:u w:val="single" w:color="auto"/>
          <w:color w:val="010101"/>
        </w:rPr>
        <w:t>Waiver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60" w:lineRule="exact"/>
        <w:rPr>
          <w:sz w:val="20"/>
          <w:szCs w:val="20"/>
          <w:color w:val="auto"/>
        </w:rPr>
      </w:pPr>
    </w:p>
    <w:p>
      <w:pPr>
        <w:ind w:left="20" w:right="60" w:firstLine="487"/>
        <w:spacing w:after="0" w:line="246" w:lineRule="auto"/>
        <w:tabs>
          <w:tab w:leader="none" w:pos="910" w:val="left"/>
        </w:tabs>
        <w:numPr>
          <w:ilvl w:val="0"/>
          <w:numId w:val="180"/>
        </w:numPr>
        <w:rPr>
          <w:rFonts w:ascii="Arial" w:cs="Arial" w:eastAsia="Arial" w:hAnsi="Arial"/>
          <w:sz w:val="14"/>
          <w:szCs w:val="14"/>
          <w:color w:val="auto"/>
        </w:rPr>
      </w:pPr>
      <w:r>
        <w:rPr>
          <w:rFonts w:ascii="Arial" w:cs="Arial" w:eastAsia="Arial" w:hAnsi="Arial"/>
          <w:sz w:val="14"/>
          <w:szCs w:val="14"/>
          <w:color w:val="010101"/>
        </w:rPr>
        <w:t>Each of the Guarantors waives any right (except as shall be required by applicable statute and cannot be waived) to require the Administrative Agent or any Lender to (</w:t>
      </w:r>
      <w:r>
        <w:rPr>
          <w:rFonts w:ascii="Arial" w:cs="Arial" w:eastAsia="Arial" w:hAnsi="Arial"/>
          <w:sz w:val="14"/>
          <w:szCs w:val="14"/>
          <w:color w:val="FF0000"/>
        </w:rPr>
        <w:t>i</w:t>
      </w:r>
      <w:r>
        <w:rPr>
          <w:rFonts w:ascii="Arial" w:cs="Arial" w:eastAsia="Arial" w:hAnsi="Arial"/>
          <w:sz w:val="14"/>
          <w:szCs w:val="14"/>
          <w:b w:val="1"/>
          <w:bCs w:val="1"/>
          <w:color w:val="0000FF"/>
        </w:rPr>
        <w:t>i</w:t>
      </w:r>
      <w:r>
        <w:rPr>
          <w:rFonts w:ascii="Arial" w:cs="Arial" w:eastAsia="Arial" w:hAnsi="Arial"/>
          <w:sz w:val="14"/>
          <w:szCs w:val="14"/>
          <w:color w:val="010101"/>
        </w:rPr>
        <w:t>) proceed against any Borrower, any other guarantor or any other party, (</w:t>
      </w:r>
      <w:r>
        <w:rPr>
          <w:rFonts w:ascii="Arial" w:cs="Arial" w:eastAsia="Arial" w:hAnsi="Arial"/>
          <w:sz w:val="14"/>
          <w:szCs w:val="14"/>
          <w:color w:val="FF0000"/>
          <w:strike w:val="1"/>
        </w:rPr>
        <w:t>ii</w:t>
      </w:r>
      <w:r>
        <w:rPr>
          <w:rFonts w:ascii="Arial" w:cs="Arial" w:eastAsia="Arial" w:hAnsi="Arial"/>
          <w:sz w:val="14"/>
          <w:szCs w:val="14"/>
          <w:b w:val="1"/>
          <w:bCs w:val="1"/>
          <w:u w:val="single" w:color="auto"/>
          <w:color w:val="0000FF"/>
        </w:rPr>
        <w:t>ii</w:t>
      </w:r>
      <w:r>
        <w:rPr>
          <w:rFonts w:ascii="Arial" w:cs="Arial" w:eastAsia="Arial" w:hAnsi="Arial"/>
          <w:sz w:val="14"/>
          <w:szCs w:val="14"/>
          <w:color w:val="010101"/>
        </w:rPr>
        <w:t>) proceed against or exhaust any security held from any Borrower, any other guarantor or any other party, or (</w:t>
      </w:r>
      <w:r>
        <w:rPr>
          <w:rFonts w:ascii="Arial" w:cs="Arial" w:eastAsia="Arial" w:hAnsi="Arial"/>
          <w:sz w:val="14"/>
          <w:szCs w:val="14"/>
          <w:color w:val="FF0000"/>
          <w:strike w:val="1"/>
        </w:rPr>
        <w:t>iii</w:t>
      </w:r>
      <w:r>
        <w:rPr>
          <w:rFonts w:ascii="Arial" w:cs="Arial" w:eastAsia="Arial" w:hAnsi="Arial"/>
          <w:sz w:val="14"/>
          <w:szCs w:val="14"/>
          <w:b w:val="1"/>
          <w:bCs w:val="1"/>
          <w:u w:val="single" w:color="auto"/>
          <w:color w:val="0000FF"/>
        </w:rPr>
        <w:t>iii</w:t>
      </w:r>
      <w:r>
        <w:rPr>
          <w:rFonts w:ascii="Arial" w:cs="Arial" w:eastAsia="Arial" w:hAnsi="Arial"/>
          <w:sz w:val="14"/>
          <w:szCs w:val="14"/>
          <w:color w:val="010101"/>
        </w:rPr>
        <w:t>) pursue any other remedy in the Administrative Agent’s or any Lender’s rights whatsoever. Each of the Guarantors waives any defense based on or arising out of any defense of any Borrower, any other guarantor or any other party other than payment in full of the Borrower Obligations or the</w:t>
      </w:r>
    </w:p>
    <w:p>
      <w:pPr>
        <w:spacing w:after="0" w:line="1" w:lineRule="exact"/>
        <w:rPr>
          <w:sz w:val="20"/>
          <w:szCs w:val="20"/>
          <w:color w:val="auto"/>
        </w:rPr>
      </w:pPr>
    </w:p>
    <w:p>
      <w:pPr>
        <w:ind w:left="20" w:right="40"/>
        <w:spacing w:after="0" w:line="229" w:lineRule="auto"/>
        <w:rPr>
          <w:sz w:val="20"/>
          <w:szCs w:val="20"/>
          <w:color w:val="auto"/>
        </w:rPr>
      </w:pPr>
      <w:r>
        <w:rPr>
          <w:rFonts w:ascii="Arial" w:cs="Arial" w:eastAsia="Arial" w:hAnsi="Arial"/>
          <w:sz w:val="15"/>
          <w:szCs w:val="15"/>
          <w:color w:val="010101"/>
        </w:rPr>
        <w:t>Foreign Borrower Obligations, as applicable (other than, in either case, contingent indemnification obligations for which no claim has been made or cannot be reasonably identified by an Indemnified Party based on the then-known facts and circumstances), including, without limitation, any defense based on or arising out of the disability of any Borrower, any other guarantor or any other party, or the unenforceability of the Borrower Obligations or the Foreign Borrower Obligations, as applicable, or any part thereof from any cause, or the cessation from any cause of the liability of any Borrower other than payment in full of the Borrower Obligations or the Foreign Borrower Obligations, as applicable. The Administrative Agent may, at its election, exercise any right or remedy the Administrative Agent or any Lender may have against any Borrower or any other party without affecting or impairing in any way the liability of any Guarantor hereunder except to the extent the Borrower Obligations or the Foreign Borrower Obligations, as applicable, have been paid in full and the Commitments have been terminated. Each of the Guarantors waives any defense arising out of any such election by the Administrative Agent or any of the Lenders, even though such election operates to impair or extinguish any right of reimbursement or subrogation or other right or remedy of the Guarantors against any Borrower or any other party.</w:t>
      </w:r>
    </w:p>
    <w:p>
      <w:pPr>
        <w:spacing w:after="0" w:line="152" w:lineRule="exact"/>
        <w:rPr>
          <w:sz w:val="20"/>
          <w:szCs w:val="20"/>
          <w:color w:val="auto"/>
        </w:rPr>
      </w:pPr>
    </w:p>
    <w:p>
      <w:pPr>
        <w:jc w:val="both"/>
        <w:ind w:left="20" w:right="20" w:firstLine="487"/>
        <w:spacing w:after="0" w:line="235" w:lineRule="auto"/>
        <w:tabs>
          <w:tab w:leader="none" w:pos="909" w:val="left"/>
        </w:tabs>
        <w:numPr>
          <w:ilvl w:val="0"/>
          <w:numId w:val="181"/>
        </w:numPr>
        <w:rPr>
          <w:rFonts w:ascii="Arial" w:cs="Arial" w:eastAsia="Arial" w:hAnsi="Arial"/>
          <w:sz w:val="15"/>
          <w:szCs w:val="15"/>
          <w:color w:val="auto"/>
        </w:rPr>
      </w:pPr>
      <w:r>
        <w:rPr>
          <w:rFonts w:ascii="Arial" w:cs="Arial" w:eastAsia="Arial" w:hAnsi="Arial"/>
          <w:sz w:val="15"/>
          <w:szCs w:val="15"/>
          <w:color w:val="010101"/>
        </w:rPr>
        <w:t>Each of the Guarantors waives all presentments, demands for performance, protests and notices, including, without limitation, notices of nonperformance, notice of protest, notices of dishonor, notices of acceptance of this Guaranty, and notices of the existence, creation or incurring of new or additional Borrower Obligations or the Foreign Borrower Obligations, as applicable. Each Guarantor assumes all responsibility for being and keeping itself informed of the financial condition and assets, and of all other circumstances bearing upon the risk of nonpayment of the Borrower Obligations or the Foreign Borrower Obligations, as applicable, and the nature, scope and extent of the risks which such Guarantor assumes and incurs hereunder, and agrees that neither the Administrative Agent nor any Lender shall have any duty to advise such Guarantor of information known to it regarding such circumstances or risks.</w:t>
      </w:r>
    </w:p>
    <w:p>
      <w:pPr>
        <w:spacing w:after="0" w:line="148" w:lineRule="exact"/>
        <w:rPr>
          <w:rFonts w:ascii="Arial" w:cs="Arial" w:eastAsia="Arial" w:hAnsi="Arial"/>
          <w:sz w:val="15"/>
          <w:szCs w:val="15"/>
          <w:color w:val="auto"/>
        </w:rPr>
      </w:pPr>
    </w:p>
    <w:p>
      <w:pPr>
        <w:ind w:left="20" w:firstLine="487"/>
        <w:spacing w:after="0" w:line="239" w:lineRule="auto"/>
        <w:tabs>
          <w:tab w:leader="none" w:pos="910" w:val="left"/>
        </w:tabs>
        <w:numPr>
          <w:ilvl w:val="0"/>
          <w:numId w:val="181"/>
        </w:numPr>
        <w:rPr>
          <w:rFonts w:ascii="Arial" w:cs="Arial" w:eastAsia="Arial" w:hAnsi="Arial"/>
          <w:sz w:val="16"/>
          <w:szCs w:val="16"/>
          <w:color w:val="auto"/>
        </w:rPr>
      </w:pPr>
      <w:r>
        <w:rPr>
          <w:rFonts w:ascii="Arial" w:cs="Arial" w:eastAsia="Arial" w:hAnsi="Arial"/>
          <w:sz w:val="16"/>
          <w:szCs w:val="16"/>
          <w:color w:val="010101"/>
        </w:rPr>
        <w:t>Each of the Guarantors hereby agrees it will not exercise any rights of subrogation which it may at any time otherwise have as a result of this Guaranty (whether contractual, under Section 509 of the Bankruptcy Code, or otherwise) to the claims of the Lenders against any</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64" w:name="page165"/>
    <w:bookmarkEnd w:id="164"/>
    <w:p>
      <w:pPr>
        <w:jc w:val="both"/>
        <w:ind w:left="20"/>
        <w:spacing w:after="0" w:line="231" w:lineRule="auto"/>
        <w:rPr>
          <w:sz w:val="20"/>
          <w:szCs w:val="20"/>
          <w:color w:val="auto"/>
        </w:rPr>
      </w:pPr>
      <w:r>
        <w:rPr>
          <w:rFonts w:ascii="Arial" w:cs="Arial" w:eastAsia="Arial" w:hAnsi="Arial"/>
          <w:sz w:val="15"/>
          <w:szCs w:val="15"/>
          <w:color w:val="010101"/>
        </w:rPr>
        <w:t>Borrower or any other guarantor of the Borrower Obligations or the Foreign Borrower Obligations, as applicable, owing to the Lenders (collectively, the “</w:t>
      </w:r>
      <w:r>
        <w:rPr>
          <w:rFonts w:ascii="Arial" w:cs="Arial" w:eastAsia="Arial" w:hAnsi="Arial"/>
          <w:sz w:val="15"/>
          <w:szCs w:val="15"/>
          <w:u w:val="single" w:color="auto"/>
          <w:color w:val="010101"/>
        </w:rPr>
        <w:t>Other Parties</w:t>
      </w:r>
      <w:r>
        <w:rPr>
          <w:rFonts w:ascii="Arial" w:cs="Arial" w:eastAsia="Arial" w:hAnsi="Arial"/>
          <w:sz w:val="15"/>
          <w:szCs w:val="15"/>
          <w:color w:val="010101"/>
        </w:rPr>
        <w:t>”) and all contractual, statutory or common law rights of reimbursement, contribution or indemnity from any Other Party which it may at any time otherwise have as a result of this Guaranty until such time as the Borrower Obligations or the Foreign Borrower Obligations, as applicable, shall have been paid in full and the Commitments have been terminated. Each of the Guarantors hereby further agrees not to exercise any right to enforce any other remedy which the Administrative Agent, the Lenders now have or may hereafter have against any Other Party, any endorser or any other guarantor of all or any part of the Borrower Obligations or the Foreign Borrower Obligations, as applicable, and any benefit of, and any right to participate in, any security or collateral given to or for the benefit of the Lenders to secure payment of the Borrower Obligations or the Foreign Borrower Obligations, as applicable, until such time as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shall have been paid in full and the Commitments have been terminated.</w:t>
      </w:r>
    </w:p>
    <w:p>
      <w:pPr>
        <w:spacing w:after="0" w:line="153"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8.08.</w:t>
      </w:r>
      <w:r>
        <w:rPr>
          <w:sz w:val="20"/>
          <w:szCs w:val="20"/>
          <w:color w:val="auto"/>
        </w:rPr>
        <w:tab/>
      </w:r>
      <w:r>
        <w:rPr>
          <w:rFonts w:ascii="Arial" w:cs="Arial" w:eastAsia="Arial" w:hAnsi="Arial"/>
          <w:sz w:val="15"/>
          <w:szCs w:val="15"/>
          <w:u w:val="single" w:color="auto"/>
          <w:color w:val="010101"/>
        </w:rPr>
        <w:t>Limitation on Enforcement</w:t>
      </w:r>
    </w:p>
    <w:p>
      <w:pPr>
        <w:spacing w:after="0" w:line="170" w:lineRule="exact"/>
        <w:rPr>
          <w:sz w:val="20"/>
          <w:szCs w:val="20"/>
          <w:color w:val="auto"/>
        </w:rPr>
      </w:pPr>
    </w:p>
    <w:p>
      <w:pPr>
        <w:jc w:val="both"/>
        <w:ind w:left="20" w:firstLine="487"/>
        <w:spacing w:after="0" w:line="225" w:lineRule="auto"/>
        <w:tabs>
          <w:tab w:leader="none" w:pos="589" w:val="left"/>
        </w:tabs>
        <w:numPr>
          <w:ilvl w:val="0"/>
          <w:numId w:val="182"/>
        </w:numPr>
        <w:rPr>
          <w:rFonts w:ascii="Arial" w:cs="Arial" w:eastAsia="Arial" w:hAnsi="Arial"/>
          <w:sz w:val="16"/>
          <w:szCs w:val="16"/>
          <w:color w:val="010101"/>
        </w:rPr>
      </w:pPr>
      <w:r>
        <w:rPr>
          <w:rFonts w:ascii="Arial" w:cs="Arial" w:eastAsia="Arial" w:hAnsi="Arial"/>
          <w:sz w:val="16"/>
          <w:szCs w:val="16"/>
          <w:color w:val="010101"/>
        </w:rPr>
        <w:t>The Lenders agree that this Guaranty may be enforced only by the action of the Administrative Agent acting upon the instructions of the Required Lenders and that no Lender or any other Person shall have any right individually to seek to enforce or to enforce this Guaranty, it being understood and agreed that such rights and remedies may be exercised by the Administrative Agent for the benefit of the Lenders under the terms of this Agreement. The Lenders further agree that this Guaranty may not be enforced against any director, officer, employee or stockholder of the Guarantors.</w:t>
      </w:r>
    </w:p>
    <w:p>
      <w:pPr>
        <w:spacing w:after="0" w:line="13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8.09.</w:t>
      </w:r>
      <w:r>
        <w:rPr>
          <w:sz w:val="20"/>
          <w:szCs w:val="20"/>
          <w:color w:val="auto"/>
        </w:rPr>
        <w:tab/>
      </w:r>
      <w:r>
        <w:rPr>
          <w:rFonts w:ascii="Arial" w:cs="Arial" w:eastAsia="Arial" w:hAnsi="Arial"/>
          <w:sz w:val="14"/>
          <w:szCs w:val="14"/>
          <w:u w:val="single" w:color="auto"/>
          <w:color w:val="010101"/>
        </w:rPr>
        <w:t>Confirmation of Payment</w:t>
      </w:r>
    </w:p>
    <w:p>
      <w:pPr>
        <w:spacing w:after="0" w:line="170" w:lineRule="exact"/>
        <w:rPr>
          <w:sz w:val="20"/>
          <w:szCs w:val="20"/>
          <w:color w:val="auto"/>
        </w:rPr>
      </w:pPr>
    </w:p>
    <w:p>
      <w:pPr>
        <w:jc w:val="both"/>
        <w:ind w:left="20" w:firstLine="487"/>
        <w:spacing w:after="0" w:line="230" w:lineRule="auto"/>
        <w:tabs>
          <w:tab w:leader="none" w:pos="588" w:val="left"/>
        </w:tabs>
        <w:numPr>
          <w:ilvl w:val="0"/>
          <w:numId w:val="183"/>
        </w:numPr>
        <w:rPr>
          <w:rFonts w:ascii="Arial" w:cs="Arial" w:eastAsia="Arial" w:hAnsi="Arial"/>
          <w:sz w:val="16"/>
          <w:szCs w:val="16"/>
          <w:color w:val="010101"/>
        </w:rPr>
      </w:pPr>
      <w:r>
        <w:rPr>
          <w:rFonts w:ascii="Arial" w:cs="Arial" w:eastAsia="Arial" w:hAnsi="Arial"/>
          <w:sz w:val="16"/>
          <w:szCs w:val="16"/>
          <w:color w:val="010101"/>
        </w:rPr>
        <w:t>The Administrative Agent and the Lenders will, upon request after payment of the Borrower Obligations which are the subject of this Guaranty and termination of the Commitments relating thereto, confirm to the Company, the Guarantors or any other Person that such indebtedness and obligations have been paid and the Commitments relating thereto terminated, subject to the provisions of Section 8.02.</w:t>
      </w: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ARTICLE IX</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010101"/>
        </w:rPr>
        <w:t>MISCELLANEOUS</w:t>
      </w:r>
    </w:p>
    <w:p>
      <w:pPr>
        <w:spacing w:after="0" w:line="16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9.01.</w:t>
      </w:r>
      <w:r>
        <w:rPr>
          <w:sz w:val="20"/>
          <w:szCs w:val="20"/>
          <w:color w:val="auto"/>
        </w:rPr>
        <w:tab/>
      </w:r>
      <w:r>
        <w:rPr>
          <w:rFonts w:ascii="Arial" w:cs="Arial" w:eastAsia="Arial" w:hAnsi="Arial"/>
          <w:sz w:val="14"/>
          <w:szCs w:val="14"/>
          <w:u w:val="single" w:color="auto"/>
          <w:color w:val="010101"/>
        </w:rPr>
        <w:t>Amendments, Etc.</w:t>
      </w:r>
    </w:p>
    <w:p>
      <w:pPr>
        <w:spacing w:after="0" w:line="160" w:lineRule="exact"/>
        <w:rPr>
          <w:sz w:val="20"/>
          <w:szCs w:val="20"/>
          <w:color w:val="auto"/>
        </w:rPr>
      </w:pPr>
    </w:p>
    <w:p>
      <w:pPr>
        <w:jc w:val="both"/>
        <w:ind w:left="20" w:firstLine="579"/>
        <w:spacing w:after="0" w:line="225" w:lineRule="auto"/>
        <w:rPr>
          <w:sz w:val="20"/>
          <w:szCs w:val="20"/>
          <w:color w:val="auto"/>
        </w:rPr>
      </w:pPr>
      <w:r>
        <w:rPr>
          <w:rFonts w:ascii="Arial" w:cs="Arial" w:eastAsia="Arial" w:hAnsi="Arial"/>
          <w:sz w:val="16"/>
          <w:szCs w:val="16"/>
          <w:color w:val="010101"/>
        </w:rPr>
        <w:t xml:space="preserve">No amendment or waiver of any provision of any Loan Documents, nor consent to any departure by the Borrowers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however</w:t>
      </w:r>
      <w:r>
        <w:rPr>
          <w:rFonts w:ascii="Arial" w:cs="Arial" w:eastAsia="Arial" w:hAnsi="Arial"/>
          <w:sz w:val="16"/>
          <w:szCs w:val="16"/>
          <w:color w:val="010101"/>
        </w:rPr>
        <w:t>, that (a) no amendment, waiver or consent shall, unless in writing and signed by all the Lenders, do any of the following: (i) waive any of the conditions specified in Section 3.01, (ii) change the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65" w:name="page166"/>
    <w:bookmarkEnd w:id="165"/>
    <w:p>
      <w:pPr>
        <w:jc w:val="both"/>
        <w:ind w:left="20"/>
        <w:spacing w:after="0" w:line="245" w:lineRule="auto"/>
        <w:rPr>
          <w:sz w:val="20"/>
          <w:szCs w:val="20"/>
          <w:color w:val="auto"/>
        </w:rPr>
      </w:pPr>
      <w:r>
        <w:rPr>
          <w:rFonts w:ascii="Arial" w:cs="Arial" w:eastAsia="Arial" w:hAnsi="Arial"/>
          <w:sz w:val="14"/>
          <w:szCs w:val="14"/>
          <w:color w:val="010101"/>
        </w:rPr>
        <w:t xml:space="preserve">percentage of the Commitments or of the aggregate unpaid principal amount of the Advances that shall be required for the Lenders or any of them to take any action hereunder (including the definition of “Required Lenders”), (iii) amend this Section 9.01, (iv) release (A) all of the Guarantors or (B) Guarantors comprising substantially all of the credit support for the Borrower Obligations, in any case, from the Guaranty hereunder (other than as authorized in Section 7.10), without the written consent of each Lender, (v) change any pro rata payment provisions, including as provided in Section 2.15, or order of application of payments required by Section 9.21, (vi) amend the definition of “Foreign Currency” or (vii) change any other provision of any Loan Document specifying the number or percentage of Lenders required to amend, waive or otherwise modify any rights hereunder or thereunder or make any determination or grant any consent hereunder without the written consent of each Lender; and (b) no amendment, waiver or consent shall, unless in writing and signed by each Lender directly and adversely affected thereby, do any of the following: (i) increase or extend the Commitments of such Lender, (ii) reduce the principal of, or interest on, the Advances or Reimbursement Obligations or any fees or other amounts payable to such Lender hereunder or (iii) postpone any date fixed for any payment of principal of, or interest on, the Advances or Reimbursement Obligations or any fees or other amounts payable to such Lender hereunder, </w:t>
      </w:r>
      <w:r>
        <w:rPr>
          <w:rFonts w:ascii="Arial" w:cs="Arial" w:eastAsia="Arial" w:hAnsi="Arial"/>
          <w:sz w:val="14"/>
          <w:szCs w:val="14"/>
          <w:u w:val="single" w:color="auto"/>
          <w:color w:val="010101"/>
        </w:rPr>
        <w:t>provided further</w:t>
      </w:r>
      <w:r>
        <w:rPr>
          <w:rFonts w:ascii="Arial" w:cs="Arial" w:eastAsia="Arial" w:hAnsi="Arial"/>
          <w:sz w:val="14"/>
          <w:szCs w:val="14"/>
          <w:color w:val="010101"/>
        </w:rPr>
        <w:t xml:space="preserve"> that no amendment, waiver or consent shall, unless in writing and signed by the Administrative Agent or the applicable Issuing Lender in addition to the Lenders required above to take such action, affect the rights or duties of the Administrative Agent or such Issuing Lender, as applicable, under this Agreement or any other Loan Document. The Administrative Agent and the Borrowers may, without the consent of any Lender, enter into amendments or modifications of this Agreement or any other Loan Document as the Administrative Agent deems reasonably appropriate in order to implement (1) the terms of Section 2.20 in accordance with the terms of Section 2.20 and (2) the terms related to a new Foreign Borrower contemplated by Section 5.01(j)(ii). Each Letter of Credit Document and each cash collateral agreement or other document entered into in connection with an Extended Letter of Credit may be amended, or rights or privileges thereunder waived, in a writing executed only by the parties thereto; provided that a copy of such amended Letter of Credit Document, cash collateral agreement or other document, as the case may be, shall be promptly delivered to the Administrative Agent upon such amendment or waiver.</w:t>
      </w:r>
    </w:p>
    <w:p>
      <w:pPr>
        <w:spacing w:after="0" w:line="311"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9.02.</w:t>
      </w:r>
      <w:r>
        <w:rPr>
          <w:sz w:val="20"/>
          <w:szCs w:val="20"/>
          <w:color w:val="auto"/>
        </w:rPr>
        <w:tab/>
      </w:r>
      <w:r>
        <w:rPr>
          <w:rFonts w:ascii="Arial" w:cs="Arial" w:eastAsia="Arial" w:hAnsi="Arial"/>
          <w:sz w:val="14"/>
          <w:szCs w:val="14"/>
          <w:u w:val="single" w:color="auto"/>
          <w:color w:val="010101"/>
        </w:rPr>
        <w:t>Notices, Etc.</w:t>
      </w:r>
    </w:p>
    <w:p>
      <w:pPr>
        <w:spacing w:after="0" w:line="170" w:lineRule="exact"/>
        <w:rPr>
          <w:sz w:val="20"/>
          <w:szCs w:val="20"/>
          <w:color w:val="auto"/>
        </w:rPr>
      </w:pPr>
    </w:p>
    <w:p>
      <w:pPr>
        <w:ind w:left="20" w:right="60" w:firstLine="567"/>
        <w:spacing w:after="0" w:line="230" w:lineRule="auto"/>
        <w:tabs>
          <w:tab w:leader="none" w:pos="910" w:val="left"/>
        </w:tabs>
        <w:numPr>
          <w:ilvl w:val="0"/>
          <w:numId w:val="184"/>
        </w:numPr>
        <w:rPr>
          <w:rFonts w:ascii="Arial" w:cs="Arial" w:eastAsia="Arial" w:hAnsi="Arial"/>
          <w:sz w:val="16"/>
          <w:szCs w:val="16"/>
          <w:color w:val="010101"/>
        </w:rPr>
      </w:pPr>
      <w:r>
        <w:rPr>
          <w:rFonts w:ascii="Arial" w:cs="Arial" w:eastAsia="Arial" w:hAnsi="Arial"/>
          <w:sz w:val="16"/>
          <w:szCs w:val="16"/>
          <w:u w:val="single" w:color="auto"/>
          <w:color w:val="010101"/>
        </w:rPr>
        <w:t>Notices Generally</w:t>
      </w:r>
      <w:r>
        <w:rPr>
          <w:rFonts w:ascii="Arial" w:cs="Arial" w:eastAsia="Arial" w:hAnsi="Arial"/>
          <w:sz w:val="16"/>
          <w:szCs w:val="16"/>
          <w:color w:val="010101"/>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98" w:lineRule="exact"/>
        <w:rPr>
          <w:rFonts w:ascii="Arial" w:cs="Arial" w:eastAsia="Arial" w:hAnsi="Arial"/>
          <w:sz w:val="16"/>
          <w:szCs w:val="16"/>
          <w:color w:val="010101"/>
        </w:rPr>
      </w:pPr>
    </w:p>
    <w:p>
      <w:pPr>
        <w:ind w:left="500" w:firstLine="492"/>
        <w:spacing w:after="0" w:line="239" w:lineRule="auto"/>
        <w:tabs>
          <w:tab w:leader="none" w:pos="1389" w:val="left"/>
        </w:tabs>
        <w:numPr>
          <w:ilvl w:val="1"/>
          <w:numId w:val="184"/>
        </w:numPr>
        <w:rPr>
          <w:rFonts w:ascii="Arial" w:cs="Arial" w:eastAsia="Arial" w:hAnsi="Arial"/>
          <w:sz w:val="16"/>
          <w:szCs w:val="16"/>
          <w:color w:val="auto"/>
        </w:rPr>
      </w:pPr>
      <w:r>
        <w:rPr>
          <w:rFonts w:ascii="Arial" w:cs="Arial" w:eastAsia="Arial" w:hAnsi="Arial"/>
          <w:sz w:val="16"/>
          <w:szCs w:val="16"/>
          <w:color w:val="010101"/>
        </w:rPr>
        <w:t>if to the Company or any other Credit Party, to it at Graham Holdings Company, 1300 North 17th Street, Suite 1700, Arlington, VA 22209, Attention of Treasury Department (Telephone No. 703-345-6251; email: treasury@ghco.com);</w:t>
      </w:r>
    </w:p>
    <w:p>
      <w:pPr>
        <w:spacing w:after="0" w:line="138" w:lineRule="exact"/>
        <w:rPr>
          <w:rFonts w:ascii="Arial" w:cs="Arial" w:eastAsia="Arial" w:hAnsi="Arial"/>
          <w:sz w:val="16"/>
          <w:szCs w:val="16"/>
          <w:color w:val="auto"/>
        </w:rPr>
      </w:pPr>
    </w:p>
    <w:p>
      <w:pPr>
        <w:jc w:val="both"/>
        <w:ind w:left="500" w:firstLine="492"/>
        <w:spacing w:after="0" w:line="230" w:lineRule="auto"/>
        <w:tabs>
          <w:tab w:leader="none" w:pos="1389" w:val="left"/>
        </w:tabs>
        <w:numPr>
          <w:ilvl w:val="1"/>
          <w:numId w:val="184"/>
        </w:numPr>
        <w:rPr>
          <w:rFonts w:ascii="Arial" w:cs="Arial" w:eastAsia="Arial" w:hAnsi="Arial"/>
          <w:sz w:val="16"/>
          <w:szCs w:val="16"/>
          <w:color w:val="auto"/>
        </w:rPr>
      </w:pPr>
      <w:r>
        <w:rPr>
          <w:rFonts w:ascii="Arial" w:cs="Arial" w:eastAsia="Arial" w:hAnsi="Arial"/>
          <w:sz w:val="16"/>
          <w:szCs w:val="16"/>
          <w:color w:val="010101"/>
        </w:rPr>
        <w:t>if to the Administrative Agent, to Wells Fargo Bank, National Association, as Administrative Agent at 1525 W. W.T. Harris Blvd., 1st Floor, Charlotte, NC 28262-8522, with a copy to Wells Fargo Bank, National Association, 7475 Wisconsin Avenue, Suite 400, Bethesda, MD 20814, Attention of Barbara Angel; and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66" w:name="page167"/>
    <w:bookmarkEnd w:id="166"/>
    <w:p>
      <w:pPr>
        <w:ind w:left="1400" w:hanging="408"/>
        <w:spacing w:after="0"/>
        <w:tabs>
          <w:tab w:leader="none" w:pos="1400" w:val="left"/>
        </w:tabs>
        <w:numPr>
          <w:ilvl w:val="0"/>
          <w:numId w:val="185"/>
        </w:numPr>
        <w:rPr>
          <w:rFonts w:ascii="Arial" w:cs="Arial" w:eastAsia="Arial" w:hAnsi="Arial"/>
          <w:sz w:val="16"/>
          <w:szCs w:val="16"/>
          <w:color w:val="auto"/>
        </w:rPr>
      </w:pPr>
      <w:r>
        <w:rPr>
          <w:rFonts w:ascii="Arial" w:cs="Arial" w:eastAsia="Arial" w:hAnsi="Arial"/>
          <w:sz w:val="16"/>
          <w:szCs w:val="16"/>
          <w:color w:val="010101"/>
        </w:rPr>
        <w:t>if to a Lender, to it at its address (or facsimile number) set forth in its Administrative Questionnaire.</w:t>
      </w:r>
    </w:p>
    <w:p>
      <w:pPr>
        <w:spacing w:after="0" w:line="170" w:lineRule="exact"/>
        <w:rPr>
          <w:sz w:val="20"/>
          <w:szCs w:val="20"/>
          <w:color w:val="auto"/>
        </w:rPr>
      </w:pPr>
    </w:p>
    <w:p>
      <w:pPr>
        <w:jc w:val="both"/>
        <w:ind w:left="20"/>
        <w:spacing w:after="0" w:line="225" w:lineRule="auto"/>
        <w:rPr>
          <w:sz w:val="20"/>
          <w:szCs w:val="20"/>
          <w:color w:val="auto"/>
        </w:rPr>
      </w:pPr>
      <w:r>
        <w:rPr>
          <w:rFonts w:ascii="Arial" w:cs="Arial" w:eastAsia="Arial" w:hAnsi="Arial"/>
          <w:sz w:val="16"/>
          <w:szCs w:val="16"/>
          <w:color w:val="010101"/>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49" w:lineRule="exact"/>
        <w:rPr>
          <w:sz w:val="20"/>
          <w:szCs w:val="20"/>
          <w:color w:val="auto"/>
        </w:rPr>
      </w:pPr>
    </w:p>
    <w:p>
      <w:pPr>
        <w:jc w:val="both"/>
        <w:ind w:left="20" w:firstLine="487"/>
        <w:spacing w:after="0" w:line="220" w:lineRule="auto"/>
        <w:tabs>
          <w:tab w:leader="none" w:pos="909"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010101"/>
        </w:rPr>
        <w:t>Electronic Communications</w:t>
      </w:r>
      <w:r>
        <w:rPr>
          <w:rFonts w:ascii="Arial" w:cs="Arial" w:eastAsia="Arial" w:hAnsi="Arial"/>
          <w:sz w:val="16"/>
          <w:szCs w:val="16"/>
          <w:color w:val="010101"/>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Company, on or behalf of itself or any other Credit Party,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approval of such procedures may be limited to particular notices or communications.</w:t>
      </w:r>
    </w:p>
    <w:p>
      <w:pPr>
        <w:spacing w:after="0" w:line="140" w:lineRule="exact"/>
        <w:rPr>
          <w:sz w:val="20"/>
          <w:szCs w:val="20"/>
          <w:color w:val="auto"/>
        </w:rPr>
      </w:pPr>
    </w:p>
    <w:p>
      <w:pPr>
        <w:jc w:val="both"/>
        <w:ind w:left="20" w:firstLine="485"/>
        <w:spacing w:after="0" w:line="235" w:lineRule="auto"/>
        <w:rPr>
          <w:sz w:val="20"/>
          <w:szCs w:val="20"/>
          <w:color w:val="auto"/>
        </w:rPr>
      </w:pPr>
      <w:r>
        <w:rPr>
          <w:rFonts w:ascii="Arial" w:cs="Arial" w:eastAsia="Arial" w:hAnsi="Arial"/>
          <w:sz w:val="15"/>
          <w:szCs w:val="15"/>
          <w:color w:val="010101"/>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49" w:lineRule="exact"/>
        <w:rPr>
          <w:sz w:val="20"/>
          <w:szCs w:val="20"/>
          <w:color w:val="auto"/>
        </w:rPr>
      </w:pPr>
    </w:p>
    <w:p>
      <w:pPr>
        <w:ind w:left="20" w:firstLine="487"/>
        <w:spacing w:after="0" w:line="239" w:lineRule="auto"/>
        <w:tabs>
          <w:tab w:leader="none" w:pos="91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010101"/>
        </w:rPr>
        <w:t>Change of Address, Etc.</w:t>
      </w:r>
      <w:r>
        <w:rPr>
          <w:rFonts w:ascii="Arial" w:cs="Arial" w:eastAsia="Arial" w:hAnsi="Arial"/>
          <w:sz w:val="16"/>
          <w:szCs w:val="16"/>
          <w:color w:val="010101"/>
        </w:rPr>
        <w:t xml:space="preserve"> Any party hereto may change its address or facsimile number for notices and other communications hereunder by notice to the other parties hereto.</w:t>
      </w:r>
    </w:p>
    <w:p>
      <w:pPr>
        <w:spacing w:after="0" w:line="148" w:lineRule="exact"/>
        <w:rPr>
          <w:rFonts w:ascii="Arial" w:cs="Arial" w:eastAsia="Arial" w:hAnsi="Arial"/>
          <w:sz w:val="16"/>
          <w:szCs w:val="16"/>
          <w:color w:val="auto"/>
        </w:rPr>
      </w:pPr>
    </w:p>
    <w:p>
      <w:pPr>
        <w:ind w:left="1000" w:hanging="493"/>
        <w:spacing w:after="0"/>
        <w:tabs>
          <w:tab w:leader="none" w:pos="100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010101"/>
        </w:rPr>
        <w:t>Platform</w:t>
      </w:r>
      <w:r>
        <w:rPr>
          <w:rFonts w:ascii="Arial" w:cs="Arial" w:eastAsia="Arial" w:hAnsi="Arial"/>
          <w:sz w:val="16"/>
          <w:szCs w:val="16"/>
          <w:color w:val="010101"/>
        </w:rPr>
        <w:t>.</w:t>
      </w:r>
    </w:p>
    <w:p>
      <w:pPr>
        <w:spacing w:after="0" w:line="159" w:lineRule="exact"/>
        <w:rPr>
          <w:rFonts w:ascii="Arial" w:cs="Arial" w:eastAsia="Arial" w:hAnsi="Arial"/>
          <w:sz w:val="16"/>
          <w:szCs w:val="16"/>
          <w:color w:val="auto"/>
        </w:rPr>
      </w:pPr>
    </w:p>
    <w:p>
      <w:pPr>
        <w:ind w:left="500" w:firstLine="492"/>
        <w:spacing w:after="0" w:line="271" w:lineRule="auto"/>
        <w:tabs>
          <w:tab w:leader="none" w:pos="1389" w:val="left"/>
        </w:tabs>
        <w:numPr>
          <w:ilvl w:val="1"/>
          <w:numId w:val="187"/>
        </w:numPr>
        <w:rPr>
          <w:rFonts w:ascii="Arial" w:cs="Arial" w:eastAsia="Arial" w:hAnsi="Arial"/>
          <w:sz w:val="15"/>
          <w:szCs w:val="15"/>
          <w:color w:val="auto"/>
        </w:rPr>
      </w:pPr>
      <w:r>
        <w:rPr>
          <w:rFonts w:ascii="Arial" w:cs="Arial" w:eastAsia="Arial" w:hAnsi="Arial"/>
          <w:sz w:val="15"/>
          <w:szCs w:val="15"/>
          <w:color w:val="010101"/>
        </w:rPr>
        <w:t>The Borrowers agree that the Administrative Agent may, but shall not be obligated to, make the Communications (as defined below) available to the Lenders by posting the Communications on Debt Domain, Intralinks, Syndtrak or a substantially similar electronic transmission system (the “</w:t>
      </w:r>
      <w:r>
        <w:rPr>
          <w:rFonts w:ascii="Arial" w:cs="Arial" w:eastAsia="Arial" w:hAnsi="Arial"/>
          <w:sz w:val="15"/>
          <w:szCs w:val="15"/>
          <w:u w:val="single" w:color="auto"/>
          <w:color w:val="010101"/>
        </w:rPr>
        <w:t>Platform</w:t>
      </w:r>
      <w:r>
        <w:rPr>
          <w:rFonts w:ascii="Arial" w:cs="Arial" w:eastAsia="Arial" w:hAnsi="Arial"/>
          <w:sz w:val="15"/>
          <w:szCs w:val="15"/>
          <w:color w:val="010101"/>
        </w:rPr>
        <w:t>”).</w:t>
      </w:r>
    </w:p>
    <w:p>
      <w:pPr>
        <w:spacing w:after="0" w:line="125" w:lineRule="exact"/>
        <w:rPr>
          <w:rFonts w:ascii="Arial" w:cs="Arial" w:eastAsia="Arial" w:hAnsi="Arial"/>
          <w:sz w:val="15"/>
          <w:szCs w:val="15"/>
          <w:color w:val="auto"/>
        </w:rPr>
      </w:pPr>
    </w:p>
    <w:p>
      <w:pPr>
        <w:jc w:val="both"/>
        <w:ind w:left="500" w:firstLine="492"/>
        <w:spacing w:after="0" w:line="230" w:lineRule="auto"/>
        <w:tabs>
          <w:tab w:leader="none" w:pos="1389" w:val="left"/>
        </w:tabs>
        <w:numPr>
          <w:ilvl w:val="1"/>
          <w:numId w:val="187"/>
        </w:numPr>
        <w:rPr>
          <w:rFonts w:ascii="Arial" w:cs="Arial" w:eastAsia="Arial" w:hAnsi="Arial"/>
          <w:sz w:val="16"/>
          <w:szCs w:val="16"/>
          <w:color w:val="auto"/>
        </w:rPr>
      </w:pPr>
      <w:r>
        <w:rPr>
          <w:rFonts w:ascii="Arial" w:cs="Arial" w:eastAsia="Arial" w:hAnsi="Arial"/>
          <w:sz w:val="16"/>
          <w:szCs w:val="16"/>
          <w:color w:val="010101"/>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67" w:name="page168"/>
    <w:bookmarkEnd w:id="167"/>
    <w:p>
      <w:pPr>
        <w:ind w:left="500" w:right="80"/>
        <w:spacing w:after="0" w:line="246" w:lineRule="auto"/>
        <w:rPr>
          <w:sz w:val="20"/>
          <w:szCs w:val="20"/>
          <w:color w:val="auto"/>
        </w:rPr>
      </w:pPr>
      <w:r>
        <w:rPr>
          <w:rFonts w:ascii="Arial" w:cs="Arial" w:eastAsia="Arial" w:hAnsi="Arial"/>
          <w:sz w:val="14"/>
          <w:szCs w:val="14"/>
          <w:color w:val="010101"/>
        </w:rPr>
        <w:t>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4"/>
          <w:szCs w:val="14"/>
          <w:u w:val="single" w:color="auto"/>
          <w:color w:val="010101"/>
        </w:rPr>
        <w:t>Agent Parties</w:t>
      </w:r>
      <w:r>
        <w:rPr>
          <w:rFonts w:ascii="Arial" w:cs="Arial" w:eastAsia="Arial" w:hAnsi="Arial"/>
          <w:sz w:val="14"/>
          <w:szCs w:val="14"/>
          <w:color w:val="010101"/>
        </w:rPr>
        <w:t>”) have any liability to Borrowers, any Lender or any other Person or entity for damages of any kind, including, without limitation, direct or indirect, special, incidental or consequential damages, losses or expenses (whether in tort, contract or otherwise) arising out of any Borrowers’ or the Administrative Agent’s</w:t>
      </w:r>
    </w:p>
    <w:tbl>
      <w:tblPr>
        <w:tblLayout w:type="fixed"/>
        <w:tblInd w:w="500" w:type="dxa"/>
        <w:tblCellMar>
          <w:top w:w="0" w:type="dxa"/>
          <w:left w:w="0" w:type="dxa"/>
          <w:bottom w:w="0" w:type="dxa"/>
          <w:right w:w="0" w:type="dxa"/>
        </w:tblCellMar>
      </w:tblPr>
      <w:tr>
        <w:trPr>
          <w:trHeight w:val="155"/>
        </w:trPr>
        <w:tc>
          <w:tcPr>
            <w:tcW w:w="4940" w:type="dxa"/>
            <w:vAlign w:val="bottom"/>
            <w:gridSpan w:val="4"/>
          </w:tcPr>
          <w:p>
            <w:pPr>
              <w:spacing w:after="0" w:line="155" w:lineRule="exact"/>
              <w:rPr>
                <w:sz w:val="20"/>
                <w:szCs w:val="20"/>
                <w:color w:val="auto"/>
              </w:rPr>
            </w:pPr>
            <w:r>
              <w:rPr>
                <w:rFonts w:ascii="Arial" w:cs="Arial" w:eastAsia="Arial" w:hAnsi="Arial"/>
                <w:sz w:val="16"/>
                <w:szCs w:val="16"/>
                <w:color w:val="010101"/>
                <w:w w:val="95"/>
              </w:rPr>
              <w:t>transmission of communications through the Platform. “Communications”</w:t>
            </w:r>
          </w:p>
        </w:tc>
        <w:tc>
          <w:tcPr>
            <w:tcW w:w="740" w:type="dxa"/>
            <w:vAlign w:val="bottom"/>
          </w:tcPr>
          <w:p>
            <w:pPr>
              <w:ind w:left="40"/>
              <w:spacing w:after="0" w:line="155" w:lineRule="exact"/>
              <w:rPr>
                <w:sz w:val="20"/>
                <w:szCs w:val="20"/>
                <w:color w:val="auto"/>
              </w:rPr>
            </w:pPr>
            <w:r>
              <w:rPr>
                <w:rFonts w:ascii="Arial" w:cs="Arial" w:eastAsia="Arial" w:hAnsi="Arial"/>
                <w:sz w:val="16"/>
                <w:szCs w:val="16"/>
                <w:color w:val="010101"/>
              </w:rPr>
              <w:t>means,</w:t>
            </w:r>
          </w:p>
        </w:tc>
        <w:tc>
          <w:tcPr>
            <w:tcW w:w="2740" w:type="dxa"/>
            <w:vAlign w:val="bottom"/>
          </w:tcPr>
          <w:p>
            <w:pPr>
              <w:ind w:left="80"/>
              <w:spacing w:after="0" w:line="155" w:lineRule="exact"/>
              <w:rPr>
                <w:sz w:val="20"/>
                <w:szCs w:val="20"/>
                <w:color w:val="auto"/>
              </w:rPr>
            </w:pPr>
            <w:r>
              <w:rPr>
                <w:rFonts w:ascii="Arial" w:cs="Arial" w:eastAsia="Arial" w:hAnsi="Arial"/>
                <w:sz w:val="16"/>
                <w:szCs w:val="16"/>
                <w:color w:val="010101"/>
              </w:rPr>
              <w:t>collectively,  any  notice,  demand,</w:t>
            </w:r>
          </w:p>
        </w:tc>
        <w:tc>
          <w:tcPr>
            <w:tcW w:w="1780" w:type="dxa"/>
            <w:vAlign w:val="bottom"/>
          </w:tcPr>
          <w:p>
            <w:pPr>
              <w:ind w:left="160"/>
              <w:spacing w:after="0" w:line="155" w:lineRule="exact"/>
              <w:rPr>
                <w:sz w:val="20"/>
                <w:szCs w:val="20"/>
                <w:color w:val="auto"/>
              </w:rPr>
            </w:pPr>
            <w:r>
              <w:rPr>
                <w:rFonts w:ascii="Arial" w:cs="Arial" w:eastAsia="Arial" w:hAnsi="Arial"/>
                <w:sz w:val="16"/>
                <w:szCs w:val="16"/>
                <w:color w:val="010101"/>
              </w:rPr>
              <w:t>communication,</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6"/>
                <w:szCs w:val="16"/>
                <w:color w:val="010101"/>
              </w:rPr>
              <w:t>information,  document  or  other  material</w:t>
            </w:r>
          </w:p>
        </w:tc>
        <w:tc>
          <w:tcPr>
            <w:tcW w:w="380" w:type="dxa"/>
            <w:vAlign w:val="bottom"/>
          </w:tcPr>
          <w:p>
            <w:pPr>
              <w:ind w:left="160"/>
              <w:spacing w:after="0" w:line="149" w:lineRule="exact"/>
              <w:rPr>
                <w:sz w:val="20"/>
                <w:szCs w:val="20"/>
                <w:color w:val="auto"/>
              </w:rPr>
            </w:pPr>
            <w:r>
              <w:rPr>
                <w:rFonts w:ascii="Arial" w:cs="Arial" w:eastAsia="Arial" w:hAnsi="Arial"/>
                <w:sz w:val="16"/>
                <w:szCs w:val="16"/>
                <w:color w:val="010101"/>
                <w:w w:val="74"/>
              </w:rPr>
              <w:t>that</w:t>
            </w:r>
          </w:p>
        </w:tc>
        <w:tc>
          <w:tcPr>
            <w:tcW w:w="1120" w:type="dxa"/>
            <w:vAlign w:val="bottom"/>
            <w:tcBorders>
              <w:top w:val="single" w:sz="8" w:color="010101"/>
            </w:tcBorders>
          </w:tcPr>
          <w:p>
            <w:pPr>
              <w:ind w:left="340"/>
              <w:spacing w:after="0" w:line="149" w:lineRule="exact"/>
              <w:rPr>
                <w:sz w:val="20"/>
                <w:szCs w:val="20"/>
                <w:color w:val="auto"/>
              </w:rPr>
            </w:pPr>
            <w:r>
              <w:rPr>
                <w:rFonts w:ascii="Arial" w:cs="Arial" w:eastAsia="Arial" w:hAnsi="Arial"/>
                <w:sz w:val="16"/>
                <w:szCs w:val="16"/>
                <w:color w:val="010101"/>
                <w:w w:val="79"/>
              </w:rPr>
              <w:t>any Borrower</w:t>
            </w:r>
          </w:p>
        </w:tc>
        <w:tc>
          <w:tcPr>
            <w:tcW w:w="180" w:type="dxa"/>
            <w:vAlign w:val="bottom"/>
          </w:tcPr>
          <w:p>
            <w:pPr>
              <w:spacing w:after="0"/>
              <w:rPr>
                <w:sz w:val="12"/>
                <w:szCs w:val="12"/>
                <w:color w:val="auto"/>
              </w:rPr>
            </w:pPr>
          </w:p>
        </w:tc>
        <w:tc>
          <w:tcPr>
            <w:tcW w:w="740" w:type="dxa"/>
            <w:vAlign w:val="bottom"/>
          </w:tcPr>
          <w:p>
            <w:pPr>
              <w:ind w:left="100"/>
              <w:spacing w:after="0" w:line="149" w:lineRule="exact"/>
              <w:rPr>
                <w:sz w:val="20"/>
                <w:szCs w:val="20"/>
                <w:color w:val="auto"/>
              </w:rPr>
            </w:pPr>
            <w:r>
              <w:rPr>
                <w:rFonts w:ascii="Arial" w:cs="Arial" w:eastAsia="Arial" w:hAnsi="Arial"/>
                <w:sz w:val="16"/>
                <w:szCs w:val="16"/>
                <w:color w:val="010101"/>
              </w:rPr>
              <w:t>provides</w:t>
            </w:r>
          </w:p>
        </w:tc>
        <w:tc>
          <w:tcPr>
            <w:tcW w:w="4520" w:type="dxa"/>
            <w:vAlign w:val="bottom"/>
            <w:gridSpan w:val="2"/>
          </w:tcPr>
          <w:p>
            <w:pPr>
              <w:ind w:left="80"/>
              <w:spacing w:after="0" w:line="149" w:lineRule="exact"/>
              <w:rPr>
                <w:sz w:val="20"/>
                <w:szCs w:val="20"/>
                <w:color w:val="auto"/>
              </w:rPr>
            </w:pPr>
            <w:r>
              <w:rPr>
                <w:rFonts w:ascii="Arial" w:cs="Arial" w:eastAsia="Arial" w:hAnsi="Arial"/>
                <w:sz w:val="16"/>
                <w:szCs w:val="16"/>
                <w:color w:val="010101"/>
                <w:w w:val="93"/>
              </w:rPr>
              <w:t>to  the Administrative Agent pursuant to any Loan Document or the</w:t>
            </w:r>
          </w:p>
        </w:tc>
      </w:tr>
    </w:tbl>
    <w:p>
      <w:pPr>
        <w:ind w:left="500" w:right="80"/>
        <w:spacing w:after="0" w:line="230" w:lineRule="auto"/>
        <w:rPr>
          <w:sz w:val="20"/>
          <w:szCs w:val="20"/>
          <w:color w:val="auto"/>
        </w:rPr>
      </w:pPr>
      <w:r>
        <w:rPr>
          <w:rFonts w:ascii="Arial" w:cs="Arial" w:eastAsia="Arial" w:hAnsi="Arial"/>
          <w:sz w:val="16"/>
          <w:szCs w:val="16"/>
          <w:color w:val="010101"/>
        </w:rPr>
        <w:t>transactions contemplated therein which is distributed to the Administrative Agent or any Lender by means of electronic communications pursuant to this Section, including through the Platform.</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9.03.</w:t>
      </w:r>
      <w:r>
        <w:rPr>
          <w:sz w:val="20"/>
          <w:szCs w:val="20"/>
          <w:color w:val="auto"/>
        </w:rPr>
        <w:tab/>
      </w:r>
      <w:r>
        <w:rPr>
          <w:rFonts w:ascii="Arial" w:cs="Arial" w:eastAsia="Arial" w:hAnsi="Arial"/>
          <w:sz w:val="14"/>
          <w:szCs w:val="14"/>
          <w:u w:val="single" w:color="auto"/>
          <w:color w:val="010101"/>
        </w:rPr>
        <w:t>No Waiver; Remedies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60" w:lineRule="exact"/>
        <w:rPr>
          <w:sz w:val="20"/>
          <w:szCs w:val="20"/>
          <w:color w:val="auto"/>
        </w:rPr>
      </w:pPr>
    </w:p>
    <w:p>
      <w:pPr>
        <w:jc w:val="both"/>
        <w:ind w:left="20" w:right="60" w:firstLine="485"/>
        <w:spacing w:after="0" w:line="230" w:lineRule="auto"/>
        <w:rPr>
          <w:sz w:val="20"/>
          <w:szCs w:val="20"/>
          <w:color w:val="auto"/>
        </w:rPr>
      </w:pPr>
      <w:r>
        <w:rPr>
          <w:rFonts w:ascii="Arial" w:cs="Arial" w:eastAsia="Arial" w:hAnsi="Arial"/>
          <w:sz w:val="16"/>
          <w:szCs w:val="16"/>
          <w:color w:val="010101"/>
        </w:rPr>
        <w:t>No failure on the part of any Lender or the Administrative Agent to exercise, and no delay in 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9.04.</w:t>
      </w:r>
      <w:r>
        <w:rPr>
          <w:sz w:val="20"/>
          <w:szCs w:val="20"/>
          <w:color w:val="auto"/>
        </w:rPr>
        <w:tab/>
      </w:r>
      <w:r>
        <w:rPr>
          <w:rFonts w:ascii="Arial" w:cs="Arial" w:eastAsia="Arial" w:hAnsi="Arial"/>
          <w:sz w:val="13"/>
          <w:szCs w:val="13"/>
          <w:u w:val="single" w:color="auto"/>
          <w:color w:val="010101"/>
        </w:rPr>
        <w:t>Costs and Expenses</w:t>
      </w:r>
    </w:p>
    <w:p>
      <w:pPr>
        <w:spacing w:after="0" w:line="170" w:lineRule="exact"/>
        <w:rPr>
          <w:sz w:val="20"/>
          <w:szCs w:val="20"/>
          <w:color w:val="auto"/>
        </w:rPr>
      </w:pPr>
    </w:p>
    <w:p>
      <w:pPr>
        <w:ind w:left="20" w:firstLine="487"/>
        <w:spacing w:after="0" w:line="230" w:lineRule="auto"/>
        <w:tabs>
          <w:tab w:leader="none" w:pos="586" w:val="left"/>
        </w:tabs>
        <w:numPr>
          <w:ilvl w:val="0"/>
          <w:numId w:val="188"/>
        </w:numPr>
        <w:rPr>
          <w:rFonts w:ascii="Arial" w:cs="Arial" w:eastAsia="Arial" w:hAnsi="Arial"/>
          <w:sz w:val="15"/>
          <w:szCs w:val="15"/>
          <w:color w:val="010101"/>
        </w:rPr>
      </w:pPr>
      <w:r>
        <w:rPr>
          <w:rFonts w:ascii="Arial" w:cs="Arial" w:eastAsia="Arial" w:hAnsi="Arial"/>
          <w:sz w:val="15"/>
          <w:szCs w:val="15"/>
          <w:color w:val="010101"/>
        </w:rPr>
        <w:t>(a) The Company and the Guarantors, jointly and severally, agree to pay on demand all reasonable and documented (in summary form) legal and other out-of-pocket costs and expenses of the Administrative Agent in connection with the preparation, execution, delivery, administration, modification and amendment of this Agreement and the other documents to be delivered hereunder, including, without limitation, (A) all due diligence, syndication (including printing, distribution and bank meetings), transportation and duplication expenses, and (B) the reasonable fees, charges and disbursements of counsel for the Administrative Agent (limited in the case of legal expenses, to one firm of counsel (and one local counsel in each applicable jurisdiction and any reasonably necessary specialty area counsel)) with respect thereto and with respect to advising the Administrative Agent as to its rights and responsibilities under this Agreement. The Company and the Guarantors, jointly and severally, further agree to pay on demand all reasonable and documented (in summary form) legal or other out-of-pocket costs and expenses of the Administrative Agent, the Issuing Lender and the Lenders, if any (limited in the case of legal expenses, to one firm of counsel (and one local counsel in each applicable jurisdiction and any reasonably necessary specialty area counsel)), in connection with the enforcement (whether through negotiations, legal proceedings or otherwise) of this Agreement and the other documents to be delivered hereunder, including, without limitation, reasonable fees and expenses of counsel for the Administrative Agent, each Issuing Lender and each Lender in connection with the enforcement of rights under this Section 9.04(a).</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80"/>
          </w:cols>
          <w:pgMar w:left="360" w:top="1265" w:right="459" w:bottom="1440" w:gutter="0" w:footer="0" w:header="0"/>
        </w:sectPr>
      </w:pPr>
    </w:p>
    <w:bookmarkStart w:id="168" w:name="page169"/>
    <w:bookmarkEnd w:id="168"/>
    <w:p>
      <w:pPr>
        <w:jc w:val="both"/>
        <w:ind w:left="20" w:firstLine="487"/>
        <w:spacing w:after="0" w:line="229" w:lineRule="auto"/>
        <w:tabs>
          <w:tab w:leader="none" w:pos="909" w:val="left"/>
        </w:tabs>
        <w:numPr>
          <w:ilvl w:val="0"/>
          <w:numId w:val="189"/>
        </w:numPr>
        <w:rPr>
          <w:rFonts w:ascii="Arial" w:cs="Arial" w:eastAsia="Arial" w:hAnsi="Arial"/>
          <w:sz w:val="15"/>
          <w:szCs w:val="15"/>
          <w:color w:val="auto"/>
        </w:rPr>
      </w:pPr>
      <w:r>
        <w:rPr>
          <w:rFonts w:ascii="Arial" w:cs="Arial" w:eastAsia="Arial" w:hAnsi="Arial"/>
          <w:sz w:val="15"/>
          <w:szCs w:val="15"/>
          <w:color w:val="010101"/>
        </w:rPr>
        <w:t>The Company and the Guarantors, jointly and severally, agree to indemnify and hold harmless the Administrative Agent, each Lender and each Issuing Lender and each of their Affiliates and their officers, directors, employees, agents and advisors (each, an “</w:t>
      </w:r>
      <w:r>
        <w:rPr>
          <w:rFonts w:ascii="Arial" w:cs="Arial" w:eastAsia="Arial" w:hAnsi="Arial"/>
          <w:sz w:val="15"/>
          <w:szCs w:val="15"/>
          <w:u w:val="single" w:color="auto"/>
          <w:color w:val="010101"/>
        </w:rPr>
        <w:t>Indemnified Party</w:t>
      </w:r>
      <w:r>
        <w:rPr>
          <w:rFonts w:ascii="Arial" w:cs="Arial" w:eastAsia="Arial" w:hAnsi="Arial"/>
          <w:sz w:val="15"/>
          <w:szCs w:val="15"/>
          <w:color w:val="010101"/>
        </w:rPr>
        <w:t>”) from and against any and all claims, damages, losses, liabilities and expenses (including, without limitation, reasonable and documented (in summary form) legal and other out-of-pocket fees and expenses (limited, in the case of legal expenses, to one firm of counsel for all Indemnified Parties taken as a whole (and one local counsel in each applicable jurisdiction and any reasonably necessary specialty area counsel for all Indemnified Parties taken as a whole and, in the event of any actual conflict of interest, one additional counsel of each type to each group of similarly affected Indemnified Parties))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Advances, this Agreement, any of the transactions contemplated herein or the actual or proposed use of the proceeds of the Advances, whether or not such investigation, litigation or proceeding is brought by any Credit Party, its directors, shareholders or creditors or an Indemnified Party or any other Person or any Indemnified Party is otherwise a party thereto and whether or not the transactions contemplated hereby are consummated, except to the extent such claim, damage, loss, liability or related expense is found in a final, non-appealable judgment by a court of competent jurisdiction to have resulted from the gross negligence or willful misconduct of such Indemnified Party or any of its Related Parties or breach of a material obligation by such Indemnified Party or any of its Related Parties under this Agreement.</w:t>
      </w:r>
    </w:p>
    <w:p>
      <w:pPr>
        <w:spacing w:after="0" w:line="154" w:lineRule="exact"/>
        <w:rPr>
          <w:rFonts w:ascii="Arial" w:cs="Arial" w:eastAsia="Arial" w:hAnsi="Arial"/>
          <w:sz w:val="15"/>
          <w:szCs w:val="15"/>
          <w:color w:val="auto"/>
        </w:rPr>
      </w:pPr>
    </w:p>
    <w:p>
      <w:pPr>
        <w:jc w:val="both"/>
        <w:ind w:left="20" w:right="20" w:firstLine="487"/>
        <w:spacing w:after="0" w:line="232" w:lineRule="auto"/>
        <w:tabs>
          <w:tab w:leader="none" w:pos="910" w:val="left"/>
        </w:tabs>
        <w:numPr>
          <w:ilvl w:val="0"/>
          <w:numId w:val="189"/>
        </w:numPr>
        <w:rPr>
          <w:rFonts w:ascii="Arial" w:cs="Arial" w:eastAsia="Arial" w:hAnsi="Arial"/>
          <w:sz w:val="15"/>
          <w:szCs w:val="15"/>
          <w:color w:val="auto"/>
        </w:rPr>
      </w:pPr>
      <w:r>
        <w:rPr>
          <w:rFonts w:ascii="Arial" w:cs="Arial" w:eastAsia="Arial" w:hAnsi="Arial"/>
          <w:sz w:val="15"/>
          <w:szCs w:val="15"/>
          <w:color w:val="010101"/>
        </w:rPr>
        <w:t>If any payment of principal of, or Conversion of, any Eurocurrency Rate Advance or Term SOFR Advance is made by any Borrower to or for the account of a Lender other than on the last day of the Interest Period for such Advance, as a result of a payment or Conversion pursuant to Section 2.08(d) or (e), 2.09, 2.10 or 2.12, acceleration of the maturity of the Advances pursuant to Section 6.01 or for any other reason, or by an Eligible Assignee to a Lender other than on the last day of an Interest Period for such Advance upon an assignment of rights and obligations under this Agreement pursuant to Section 9.07 as a result of a demand by the Company pursuant to Section 2.19, the applicable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51" w:lineRule="exact"/>
        <w:rPr>
          <w:rFonts w:ascii="Arial" w:cs="Arial" w:eastAsia="Arial" w:hAnsi="Arial"/>
          <w:sz w:val="15"/>
          <w:szCs w:val="15"/>
          <w:color w:val="auto"/>
        </w:rPr>
      </w:pPr>
    </w:p>
    <w:p>
      <w:pPr>
        <w:ind w:left="20" w:right="20" w:firstLine="487"/>
        <w:spacing w:after="0" w:line="239" w:lineRule="auto"/>
        <w:tabs>
          <w:tab w:leader="none" w:pos="909" w:val="left"/>
        </w:tabs>
        <w:numPr>
          <w:ilvl w:val="0"/>
          <w:numId w:val="189"/>
        </w:numPr>
        <w:rPr>
          <w:rFonts w:ascii="Arial" w:cs="Arial" w:eastAsia="Arial" w:hAnsi="Arial"/>
          <w:sz w:val="16"/>
          <w:szCs w:val="16"/>
          <w:color w:val="auto"/>
        </w:rPr>
      </w:pPr>
      <w:r>
        <w:rPr>
          <w:rFonts w:ascii="Arial" w:cs="Arial" w:eastAsia="Arial" w:hAnsi="Arial"/>
          <w:sz w:val="16"/>
          <w:szCs w:val="16"/>
          <w:color w:val="010101"/>
        </w:rPr>
        <w:t>Without prejudice to the survival of any other agreement of any Credit Party hereunder, the agreements and obligations of any Credit Party contained in Sections 2.11, 2.14 and 9.04 shall survive the payment in full of principal, interest and all other amounts payable hereunder.</w:t>
      </w:r>
    </w:p>
    <w:p>
      <w:pPr>
        <w:spacing w:after="0" w:line="138" w:lineRule="exact"/>
        <w:rPr>
          <w:rFonts w:ascii="Arial" w:cs="Arial" w:eastAsia="Arial" w:hAnsi="Arial"/>
          <w:sz w:val="16"/>
          <w:szCs w:val="16"/>
          <w:color w:val="auto"/>
        </w:rPr>
      </w:pPr>
    </w:p>
    <w:p>
      <w:pPr>
        <w:jc w:val="both"/>
        <w:ind w:left="20" w:right="20" w:firstLine="487"/>
        <w:spacing w:after="0" w:line="230" w:lineRule="auto"/>
        <w:tabs>
          <w:tab w:leader="none" w:pos="910" w:val="left"/>
        </w:tabs>
        <w:numPr>
          <w:ilvl w:val="0"/>
          <w:numId w:val="189"/>
        </w:numPr>
        <w:rPr>
          <w:rFonts w:ascii="Arial" w:cs="Arial" w:eastAsia="Arial" w:hAnsi="Arial"/>
          <w:sz w:val="16"/>
          <w:szCs w:val="16"/>
          <w:color w:val="auto"/>
        </w:rPr>
      </w:pPr>
      <w:r>
        <w:rPr>
          <w:rFonts w:ascii="Arial" w:cs="Arial" w:eastAsia="Arial" w:hAnsi="Arial"/>
          <w:sz w:val="16"/>
          <w:szCs w:val="16"/>
          <w:color w:val="010101"/>
        </w:rPr>
        <w:t>To the fullest extent permitted by Applicable Law, no Credit Party shall assert, and each hereby waives, any claim against any Indemnified Party, on any theory of liability, for special, indirect, consequential or punitive damages (as opposed to direct or actual damages) arising out of, in connection with, or as a result of, this Agreement, any other Loan Document 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69" w:name="page170"/>
    <w:bookmarkEnd w:id="169"/>
    <w:p>
      <w:pPr>
        <w:ind w:left="20"/>
        <w:spacing w:after="0"/>
        <w:rPr>
          <w:sz w:val="20"/>
          <w:szCs w:val="20"/>
          <w:color w:val="auto"/>
        </w:rPr>
      </w:pPr>
      <w:r>
        <w:rPr>
          <w:rFonts w:ascii="Arial" w:cs="Arial" w:eastAsia="Arial" w:hAnsi="Arial"/>
          <w:sz w:val="14"/>
          <w:szCs w:val="14"/>
          <w:color w:val="010101"/>
        </w:rPr>
        <w:t>any agreement or instrument contemplated hereby, the transactions contemplated hereby or thereby, any Advance or Letter or Credit, or the use of the proceeds thereof.</w:t>
      </w:r>
    </w:p>
    <w:p>
      <w:pPr>
        <w:spacing w:after="0" w:line="193"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9.05.</w:t>
      </w:r>
      <w:r>
        <w:rPr>
          <w:sz w:val="20"/>
          <w:szCs w:val="20"/>
          <w:color w:val="auto"/>
        </w:rPr>
        <w:tab/>
      </w:r>
      <w:r>
        <w:rPr>
          <w:rFonts w:ascii="Arial" w:cs="Arial" w:eastAsia="Arial" w:hAnsi="Arial"/>
          <w:sz w:val="15"/>
          <w:szCs w:val="15"/>
          <w:u w:val="single" w:color="auto"/>
          <w:color w:val="010101"/>
        </w:rPr>
        <w:t>Right of Set-off</w:t>
      </w:r>
    </w:p>
    <w:p>
      <w:pPr>
        <w:spacing w:after="0" w:line="170" w:lineRule="exact"/>
        <w:rPr>
          <w:sz w:val="20"/>
          <w:szCs w:val="20"/>
          <w:color w:val="auto"/>
        </w:rPr>
      </w:pPr>
    </w:p>
    <w:p>
      <w:pPr>
        <w:jc w:val="both"/>
        <w:ind w:left="20" w:firstLine="487"/>
        <w:spacing w:after="0" w:line="231" w:lineRule="auto"/>
        <w:tabs>
          <w:tab w:leader="none" w:pos="589" w:val="left"/>
        </w:tabs>
        <w:numPr>
          <w:ilvl w:val="0"/>
          <w:numId w:val="190"/>
        </w:numPr>
        <w:rPr>
          <w:rFonts w:ascii="Arial" w:cs="Arial" w:eastAsia="Arial" w:hAnsi="Arial"/>
          <w:sz w:val="15"/>
          <w:szCs w:val="15"/>
          <w:color w:val="010101"/>
        </w:rPr>
      </w:pPr>
      <w:r>
        <w:rPr>
          <w:rFonts w:ascii="Arial" w:cs="Arial" w:eastAsia="Arial" w:hAnsi="Arial"/>
          <w:sz w:val="15"/>
          <w:szCs w:val="15"/>
          <w:color w:val="010101"/>
        </w:rPr>
        <w:t xml:space="preserve">Upon the occurrence and during the continuance of any Event of Default, each Lender, each Issuing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such Issuing Lender or such Affiliate to or for the credit or the account of any Credit Party against any and all of the obligations of any Credit Party now or hereafter existing under this Agreement held by such Lender or such Issuing Lender, whether or not such Lender or such Issuing Lender shall have made any demand under this Agreement and although such obligations may be unmatured, and regardless of the place of payment, booking branch or currency of either obligation. If the obligations subject to set off are in different currencies, the Lender or Issuing Lender or its Affiliate may convert either obligation at a market rate of exchange in its usual course of business for the purpose of the set-off. Each Lender and each Issuing Lender agrees promptly to notify the applicable Credit Party, after any such set-off and application,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the failure to give such notice shall not affect the validity of such set-off and application. The rights of each Lender and each Issuing Lender and their respective Affiliates under this Section are in addition to other rights and remedies (including, without limitation, other rights of set-off) that such Lender and such Issuing Lender and their respective Affiliates may have.</w:t>
      </w:r>
    </w:p>
    <w:p>
      <w:pPr>
        <w:spacing w:after="0" w:line="13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9.06.</w:t>
      </w:r>
      <w:r>
        <w:rPr>
          <w:sz w:val="20"/>
          <w:szCs w:val="20"/>
          <w:color w:val="auto"/>
        </w:rPr>
        <w:tab/>
      </w:r>
      <w:r>
        <w:rPr>
          <w:rFonts w:ascii="Arial" w:cs="Arial" w:eastAsia="Arial" w:hAnsi="Arial"/>
          <w:sz w:val="15"/>
          <w:szCs w:val="15"/>
          <w:u w:val="single" w:color="auto"/>
          <w:color w:val="010101"/>
        </w:rPr>
        <w:t>Binding Effect</w:t>
      </w:r>
    </w:p>
    <w:p>
      <w:pPr>
        <w:spacing w:after="0" w:line="170" w:lineRule="exact"/>
        <w:rPr>
          <w:sz w:val="20"/>
          <w:szCs w:val="20"/>
          <w:color w:val="auto"/>
        </w:rPr>
      </w:pPr>
    </w:p>
    <w:p>
      <w:pPr>
        <w:jc w:val="both"/>
        <w:ind w:left="20" w:right="20" w:firstLine="487"/>
        <w:spacing w:after="0" w:line="225" w:lineRule="auto"/>
        <w:tabs>
          <w:tab w:leader="none" w:pos="591" w:val="left"/>
        </w:tabs>
        <w:numPr>
          <w:ilvl w:val="0"/>
          <w:numId w:val="191"/>
        </w:numPr>
        <w:rPr>
          <w:rFonts w:ascii="Arial" w:cs="Arial" w:eastAsia="Arial" w:hAnsi="Arial"/>
          <w:sz w:val="16"/>
          <w:szCs w:val="16"/>
          <w:color w:val="010101"/>
        </w:rPr>
      </w:pPr>
      <w:r>
        <w:rPr>
          <w:rFonts w:ascii="Arial" w:cs="Arial" w:eastAsia="Arial" w:hAnsi="Arial"/>
          <w:sz w:val="16"/>
          <w:szCs w:val="16"/>
          <w:color w:val="010101"/>
        </w:rPr>
        <w:t>This Agreement shall become effective upon satisfaction of the conditions precedent set forth in Section 3.01 and thereafter shall be binding upon and inure to the benefit of each Credit Party, the Administrative Agent and each Lender and their respective successors and assigns, except that no Credit Party shall have the right to assign its rights hereunder or any interest herein without the prior written consent of each Lender (and any other attempted assignment or transfer by any Credit Party shall be null and void).</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9.07.</w:t>
      </w:r>
      <w:r>
        <w:rPr>
          <w:sz w:val="20"/>
          <w:szCs w:val="20"/>
          <w:color w:val="auto"/>
        </w:rPr>
        <w:tab/>
      </w:r>
      <w:r>
        <w:rPr>
          <w:rFonts w:ascii="Arial" w:cs="Arial" w:eastAsia="Arial" w:hAnsi="Arial"/>
          <w:sz w:val="14"/>
          <w:szCs w:val="14"/>
          <w:u w:val="single" w:color="auto"/>
          <w:color w:val="010101"/>
        </w:rPr>
        <w:t>Assignments and Participations</w:t>
      </w:r>
    </w:p>
    <w:p>
      <w:pPr>
        <w:spacing w:after="0" w:line="160" w:lineRule="exact"/>
        <w:rPr>
          <w:sz w:val="20"/>
          <w:szCs w:val="20"/>
          <w:color w:val="auto"/>
        </w:rPr>
      </w:pPr>
    </w:p>
    <w:p>
      <w:pPr>
        <w:ind w:left="20" w:firstLine="487"/>
        <w:spacing w:after="0" w:line="254" w:lineRule="auto"/>
        <w:tabs>
          <w:tab w:leader="none" w:pos="586" w:val="left"/>
        </w:tabs>
        <w:numPr>
          <w:ilvl w:val="0"/>
          <w:numId w:val="192"/>
        </w:numPr>
        <w:rPr>
          <w:rFonts w:ascii="Arial" w:cs="Arial" w:eastAsia="Arial" w:hAnsi="Arial"/>
          <w:sz w:val="14"/>
          <w:szCs w:val="14"/>
          <w:color w:val="010101"/>
        </w:rPr>
      </w:pPr>
      <w:r>
        <w:rPr>
          <w:rFonts w:ascii="Arial" w:cs="Arial" w:eastAsia="Arial" w:hAnsi="Arial"/>
          <w:sz w:val="14"/>
          <w:szCs w:val="14"/>
          <w:color w:val="010101"/>
        </w:rPr>
        <w:t>(a) Successors and Assigns Generally. No Lender may assign or otherwise transfer any of its rights or obligations hereunder except (i) to an Eligible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Lender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70" w:name="page171"/>
    <w:bookmarkEnd w:id="170"/>
    <w:p>
      <w:pPr>
        <w:jc w:val="both"/>
        <w:ind w:left="20" w:firstLine="487"/>
        <w:spacing w:after="0" w:line="225" w:lineRule="auto"/>
        <w:tabs>
          <w:tab w:leader="none" w:pos="909"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010101"/>
        </w:rPr>
        <w:t>Assignments by Lenders</w:t>
      </w:r>
      <w:r>
        <w:rPr>
          <w:rFonts w:ascii="Arial" w:cs="Arial" w:eastAsia="Arial" w:hAnsi="Arial"/>
          <w:sz w:val="16"/>
          <w:szCs w:val="16"/>
          <w:color w:val="010101"/>
        </w:rPr>
        <w:t xml:space="preserve">. Any Lender may at any time and, if demanded by the Company in accordance with Section 2.17 or 2.19 at a time when no Default has occurred and is continuing upon at least five Business Days’ notice to such Lender and the Administrative Agent, will assign to one or more Eligible Assignees all or a portion of its rights and obligations under this Agreement (including all or a portion of its Commitment and the Advances at the time owing to it, in each case under any Tranche);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any such assignment shall be subject to the following conditions:</w:t>
      </w:r>
    </w:p>
    <w:p>
      <w:pPr>
        <w:spacing w:after="0" w:line="148" w:lineRule="exact"/>
        <w:rPr>
          <w:rFonts w:ascii="Arial" w:cs="Arial" w:eastAsia="Arial" w:hAnsi="Arial"/>
          <w:sz w:val="16"/>
          <w:szCs w:val="16"/>
          <w:color w:val="auto"/>
        </w:rPr>
      </w:pPr>
    </w:p>
    <w:p>
      <w:pPr>
        <w:ind w:left="1480" w:hanging="488"/>
        <w:spacing w:after="0"/>
        <w:tabs>
          <w:tab w:leader="none" w:pos="1480"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010101"/>
        </w:rPr>
        <w:t>Minimum Amounts</w:t>
      </w:r>
      <w:r>
        <w:rPr>
          <w:rFonts w:ascii="Arial" w:cs="Arial" w:eastAsia="Arial" w:hAnsi="Arial"/>
          <w:sz w:val="16"/>
          <w:szCs w:val="16"/>
          <w:color w:val="010101"/>
        </w:rPr>
        <w:t>.</w:t>
      </w:r>
    </w:p>
    <w:p>
      <w:pPr>
        <w:spacing w:after="0" w:line="169" w:lineRule="exact"/>
        <w:rPr>
          <w:rFonts w:ascii="Arial" w:cs="Arial" w:eastAsia="Arial" w:hAnsi="Arial"/>
          <w:sz w:val="16"/>
          <w:szCs w:val="16"/>
          <w:color w:val="auto"/>
        </w:rPr>
      </w:pPr>
    </w:p>
    <w:p>
      <w:pPr>
        <w:jc w:val="both"/>
        <w:ind w:left="1000" w:right="20" w:firstLine="477"/>
        <w:spacing w:after="0" w:line="225" w:lineRule="auto"/>
        <w:tabs>
          <w:tab w:leader="none" w:pos="1890" w:val="left"/>
        </w:tabs>
        <w:numPr>
          <w:ilvl w:val="2"/>
          <w:numId w:val="193"/>
        </w:numPr>
        <w:rPr>
          <w:rFonts w:ascii="Arial" w:cs="Arial" w:eastAsia="Arial" w:hAnsi="Arial"/>
          <w:sz w:val="16"/>
          <w:szCs w:val="16"/>
          <w:color w:val="auto"/>
        </w:rPr>
      </w:pPr>
      <w:r>
        <w:rPr>
          <w:rFonts w:ascii="Arial" w:cs="Arial" w:eastAsia="Arial" w:hAnsi="Arial"/>
          <w:sz w:val="16"/>
          <w:szCs w:val="16"/>
          <w:color w:val="010101"/>
        </w:rPr>
        <w:t>in the case of an assignment of the entire remaining amount of the assigning Lender’s Commitment and/or the Advances at the time owing to it (in each case with respect to any Credit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38" w:lineRule="exact"/>
        <w:rPr>
          <w:rFonts w:ascii="Arial" w:cs="Arial" w:eastAsia="Arial" w:hAnsi="Arial"/>
          <w:sz w:val="16"/>
          <w:szCs w:val="16"/>
          <w:color w:val="auto"/>
        </w:rPr>
      </w:pPr>
    </w:p>
    <w:p>
      <w:pPr>
        <w:jc w:val="both"/>
        <w:ind w:left="1000" w:right="20" w:firstLine="477"/>
        <w:spacing w:after="0" w:line="235" w:lineRule="auto"/>
        <w:tabs>
          <w:tab w:leader="none" w:pos="1889" w:val="left"/>
        </w:tabs>
        <w:numPr>
          <w:ilvl w:val="2"/>
          <w:numId w:val="193"/>
        </w:numPr>
        <w:rPr>
          <w:rFonts w:ascii="Arial" w:cs="Arial" w:eastAsia="Arial" w:hAnsi="Arial"/>
          <w:sz w:val="15"/>
          <w:szCs w:val="15"/>
          <w:color w:val="auto"/>
        </w:rPr>
      </w:pPr>
      <w:r>
        <w:rPr>
          <w:rFonts w:ascii="Arial" w:cs="Arial" w:eastAsia="Arial" w:hAnsi="Arial"/>
          <w:sz w:val="15"/>
          <w:szCs w:val="15"/>
          <w:color w:val="010101"/>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Arial" w:cs="Arial" w:eastAsia="Arial" w:hAnsi="Arial"/>
          <w:sz w:val="15"/>
          <w:szCs w:val="15"/>
          <w:u w:val="single" w:color="auto"/>
          <w:color w:val="010101"/>
        </w:rPr>
        <w:t>Trade Date</w:t>
      </w:r>
      <w:r>
        <w:rPr>
          <w:rFonts w:ascii="Arial" w:cs="Arial" w:eastAsia="Arial" w:hAnsi="Arial"/>
          <w:sz w:val="15"/>
          <w:szCs w:val="15"/>
          <w:color w:val="010101"/>
        </w:rPr>
        <w:t>” is specified in the Assignment and Assumption, as of the Trade Date) shall not be less than $5,000,000, unless each of the Administrative Agent and, so long as no Event of Default pursuant to clause (a) or (e) of Section 6.01 has occurred and is continuing, the Company, on behalf of the Borrowers, otherwise consents (each such consent not to be unreasonably withheld or delayed).</w:t>
      </w:r>
    </w:p>
    <w:p>
      <w:pPr>
        <w:spacing w:after="0" w:line="148" w:lineRule="exact"/>
        <w:rPr>
          <w:rFonts w:ascii="Arial" w:cs="Arial" w:eastAsia="Arial" w:hAnsi="Arial"/>
          <w:sz w:val="15"/>
          <w:szCs w:val="15"/>
          <w:color w:val="auto"/>
        </w:rPr>
      </w:pPr>
    </w:p>
    <w:p>
      <w:pPr>
        <w:jc w:val="both"/>
        <w:ind w:left="500" w:right="20" w:firstLine="492"/>
        <w:spacing w:after="0" w:line="248" w:lineRule="auto"/>
        <w:tabs>
          <w:tab w:leader="none" w:pos="1389" w:val="left"/>
        </w:tabs>
        <w:numPr>
          <w:ilvl w:val="1"/>
          <w:numId w:val="193"/>
        </w:numPr>
        <w:rPr>
          <w:rFonts w:ascii="Arial" w:cs="Arial" w:eastAsia="Arial" w:hAnsi="Arial"/>
          <w:sz w:val="15"/>
          <w:szCs w:val="15"/>
          <w:color w:val="auto"/>
        </w:rPr>
      </w:pPr>
      <w:r>
        <w:rPr>
          <w:rFonts w:ascii="Arial" w:cs="Arial" w:eastAsia="Arial" w:hAnsi="Arial"/>
          <w:sz w:val="15"/>
          <w:szCs w:val="15"/>
          <w:u w:val="single" w:color="auto"/>
          <w:color w:val="010101"/>
        </w:rPr>
        <w:t>Proportionate Amounts</w:t>
      </w:r>
      <w:r>
        <w:rPr>
          <w:rFonts w:ascii="Arial" w:cs="Arial" w:eastAsia="Arial" w:hAnsi="Arial"/>
          <w:sz w:val="15"/>
          <w:szCs w:val="15"/>
          <w:color w:val="010101"/>
        </w:rPr>
        <w:t>. Each partial assignment shall be made as an assignment of a proportionate part of all the assigning Lender’s rights and obligations under this Agreement with respect to the Advance or the Commitment of any Tranche assigned, except that this clause (ii) shall not prohibit any Lender from assigning all or a proportionate part of all of its rights and obligations among separate Facilities or Tranches on a non-pro rata basis.</w:t>
      </w:r>
    </w:p>
    <w:p>
      <w:pPr>
        <w:spacing w:after="0" w:line="142" w:lineRule="exact"/>
        <w:rPr>
          <w:rFonts w:ascii="Arial" w:cs="Arial" w:eastAsia="Arial" w:hAnsi="Arial"/>
          <w:sz w:val="15"/>
          <w:szCs w:val="15"/>
          <w:color w:val="auto"/>
        </w:rPr>
      </w:pPr>
    </w:p>
    <w:p>
      <w:pPr>
        <w:ind w:left="1400" w:hanging="408"/>
        <w:spacing w:after="0"/>
        <w:tabs>
          <w:tab w:leader="none" w:pos="1400" w:val="left"/>
        </w:tabs>
        <w:numPr>
          <w:ilvl w:val="1"/>
          <w:numId w:val="193"/>
        </w:numPr>
        <w:rPr>
          <w:rFonts w:ascii="Arial" w:cs="Arial" w:eastAsia="Arial" w:hAnsi="Arial"/>
          <w:sz w:val="15"/>
          <w:szCs w:val="15"/>
          <w:color w:val="auto"/>
        </w:rPr>
      </w:pPr>
      <w:r>
        <w:rPr>
          <w:rFonts w:ascii="Arial" w:cs="Arial" w:eastAsia="Arial" w:hAnsi="Arial"/>
          <w:sz w:val="15"/>
          <w:szCs w:val="15"/>
          <w:u w:val="single" w:color="auto"/>
          <w:color w:val="010101"/>
        </w:rPr>
        <w:t>Required Consents</w:t>
      </w:r>
      <w:r>
        <w:rPr>
          <w:rFonts w:ascii="Arial" w:cs="Arial" w:eastAsia="Arial" w:hAnsi="Arial"/>
          <w:sz w:val="15"/>
          <w:szCs w:val="15"/>
          <w:color w:val="010101"/>
        </w:rPr>
        <w:t>. No consent shall be required for any assignment except to the extent required by paragraph (b)(i)(B) of this Section and, in</w:t>
      </w:r>
    </w:p>
    <w:p>
      <w:pPr>
        <w:spacing w:after="0" w:line="3"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010101"/>
        </w:rPr>
        <w:t>addition:</w:t>
      </w:r>
    </w:p>
    <w:p>
      <w:pPr>
        <w:spacing w:after="0" w:line="145" w:lineRule="exact"/>
        <w:rPr>
          <w:rFonts w:ascii="Arial" w:cs="Arial" w:eastAsia="Arial" w:hAnsi="Arial"/>
          <w:sz w:val="15"/>
          <w:szCs w:val="15"/>
          <w:color w:val="auto"/>
        </w:rPr>
      </w:pPr>
    </w:p>
    <w:p>
      <w:pPr>
        <w:ind w:left="1880" w:hanging="403"/>
        <w:spacing w:after="0"/>
        <w:tabs>
          <w:tab w:leader="none" w:pos="1880" w:val="left"/>
        </w:tabs>
        <w:numPr>
          <w:ilvl w:val="2"/>
          <w:numId w:val="193"/>
        </w:numPr>
        <w:rPr>
          <w:rFonts w:ascii="Arial" w:cs="Arial" w:eastAsia="Arial" w:hAnsi="Arial"/>
          <w:sz w:val="14"/>
          <w:szCs w:val="14"/>
          <w:color w:val="auto"/>
        </w:rPr>
      </w:pPr>
      <w:r>
        <w:rPr>
          <w:rFonts w:ascii="Arial" w:cs="Arial" w:eastAsia="Arial" w:hAnsi="Arial"/>
          <w:sz w:val="14"/>
          <w:szCs w:val="14"/>
          <w:color w:val="010101"/>
        </w:rPr>
        <w:t>the consent of the Company, on behalf of the Borrowers (such consent not to be unreasonably withheld or delayed) shall be required unless</w:t>
      </w:r>
    </w:p>
    <w:p>
      <w:pPr>
        <w:spacing w:after="0" w:line="14" w:lineRule="exact"/>
        <w:rPr>
          <w:rFonts w:ascii="Arial" w:cs="Arial" w:eastAsia="Arial" w:hAnsi="Arial"/>
          <w:sz w:val="14"/>
          <w:szCs w:val="14"/>
          <w:color w:val="auto"/>
        </w:rPr>
      </w:pPr>
    </w:p>
    <w:p>
      <w:pPr>
        <w:jc w:val="both"/>
        <w:ind w:left="1000" w:right="20" w:hanging="8"/>
        <w:spacing w:after="0" w:line="224" w:lineRule="auto"/>
        <w:tabs>
          <w:tab w:leader="none" w:pos="1233" w:val="left"/>
        </w:tabs>
        <w:numPr>
          <w:ilvl w:val="1"/>
          <w:numId w:val="194"/>
        </w:numPr>
        <w:rPr>
          <w:rFonts w:ascii="Arial" w:cs="Arial" w:eastAsia="Arial" w:hAnsi="Arial"/>
          <w:sz w:val="16"/>
          <w:szCs w:val="16"/>
          <w:color w:val="010101"/>
        </w:rPr>
      </w:pPr>
      <w:r>
        <w:rPr>
          <w:rFonts w:ascii="Arial" w:cs="Arial" w:eastAsia="Arial" w:hAnsi="Arial"/>
          <w:sz w:val="16"/>
          <w:szCs w:val="16"/>
          <w:color w:val="010101"/>
        </w:rPr>
        <w:t xml:space="preserve">an Event of Default pursuant to clause (a) or (e) of Section 6.01 has occurred and is continuing at the time of such assignment, or (y) such assignment is to a Lender, an Approved Fund or an Affiliate of a Lender organized in the United States;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the Company, on behalf of the Borrowers shall be deemed to</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109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71" w:name="page172"/>
    <w:bookmarkEnd w:id="171"/>
    <w:p>
      <w:pPr>
        <w:ind w:left="1000" w:right="20"/>
        <w:spacing w:after="0" w:line="239" w:lineRule="auto"/>
        <w:rPr>
          <w:sz w:val="20"/>
          <w:szCs w:val="20"/>
          <w:color w:val="auto"/>
        </w:rPr>
      </w:pPr>
      <w:r>
        <w:rPr>
          <w:rFonts w:ascii="Arial" w:cs="Arial" w:eastAsia="Arial" w:hAnsi="Arial"/>
          <w:sz w:val="16"/>
          <w:szCs w:val="16"/>
          <w:color w:val="010101"/>
        </w:rPr>
        <w:t>have consented to any such assignment unless it shall object thereto by written notice to the Administrative Agent within ten Business Days after having received notice thereof;</w:t>
      </w:r>
    </w:p>
    <w:p>
      <w:pPr>
        <w:spacing w:after="0" w:line="149" w:lineRule="exact"/>
        <w:rPr>
          <w:sz w:val="20"/>
          <w:szCs w:val="20"/>
          <w:color w:val="auto"/>
        </w:rPr>
      </w:pPr>
    </w:p>
    <w:p>
      <w:pPr>
        <w:ind w:left="1000" w:right="40" w:firstLine="477"/>
        <w:spacing w:after="0" w:line="239" w:lineRule="auto"/>
        <w:tabs>
          <w:tab w:leader="none" w:pos="1889" w:val="left"/>
        </w:tabs>
        <w:numPr>
          <w:ilvl w:val="2"/>
          <w:numId w:val="195"/>
        </w:numPr>
        <w:rPr>
          <w:rFonts w:ascii="Arial" w:cs="Arial" w:eastAsia="Arial" w:hAnsi="Arial"/>
          <w:sz w:val="16"/>
          <w:szCs w:val="16"/>
          <w:color w:val="auto"/>
        </w:rPr>
      </w:pPr>
      <w:r>
        <w:rPr>
          <w:rFonts w:ascii="Arial" w:cs="Arial" w:eastAsia="Arial" w:hAnsi="Arial"/>
          <w:sz w:val="16"/>
          <w:szCs w:val="16"/>
          <w:color w:val="010101"/>
        </w:rPr>
        <w:t>the consent of the Administrative Agent (such consents not to be unreasonably withheld or delayed) shall be required for assignments if such assignment is to a Person that is not a Lender with a Commitment, an Affiliate of such Lender or an Approved Fund; and</w:t>
      </w:r>
    </w:p>
    <w:p>
      <w:pPr>
        <w:spacing w:after="0" w:line="144" w:lineRule="exact"/>
        <w:rPr>
          <w:rFonts w:ascii="Arial" w:cs="Arial" w:eastAsia="Arial" w:hAnsi="Arial"/>
          <w:sz w:val="16"/>
          <w:szCs w:val="16"/>
          <w:color w:val="auto"/>
        </w:rPr>
      </w:pPr>
    </w:p>
    <w:p>
      <w:pPr>
        <w:ind w:left="1000" w:right="40" w:firstLine="477"/>
        <w:spacing w:after="0" w:line="244" w:lineRule="auto"/>
        <w:tabs>
          <w:tab w:leader="none" w:pos="1889" w:val="left"/>
        </w:tabs>
        <w:numPr>
          <w:ilvl w:val="2"/>
          <w:numId w:val="195"/>
        </w:numPr>
        <w:rPr>
          <w:rFonts w:ascii="Arial" w:cs="Arial" w:eastAsia="Arial" w:hAnsi="Arial"/>
          <w:sz w:val="16"/>
          <w:szCs w:val="16"/>
          <w:color w:val="auto"/>
        </w:rPr>
      </w:pPr>
      <w:r>
        <w:rPr>
          <w:rFonts w:ascii="Arial" w:cs="Arial" w:eastAsia="Arial" w:hAnsi="Arial"/>
          <w:sz w:val="16"/>
          <w:szCs w:val="16"/>
          <w:color w:val="010101"/>
        </w:rPr>
        <w:t xml:space="preserve">the consent of each Issuing Lender (such consent not to be unreasonably withheld or delayed) shall be required for all assignments </w:t>
      </w:r>
      <w:r>
        <w:rPr>
          <w:rFonts w:ascii="Arial" w:cs="Arial" w:eastAsia="Arial" w:hAnsi="Arial"/>
          <w:sz w:val="16"/>
          <w:szCs w:val="16"/>
          <w:b w:val="1"/>
          <w:bCs w:val="1"/>
          <w:u w:val="single" w:color="auto"/>
          <w:color w:val="0000FF"/>
        </w:rPr>
        <w:t>(other</w:t>
      </w:r>
      <w:r>
        <w:rPr>
          <w:rFonts w:ascii="Arial" w:cs="Arial" w:eastAsia="Arial" w:hAnsi="Arial"/>
          <w:sz w:val="16"/>
          <w:szCs w:val="16"/>
          <w:color w:val="010101"/>
        </w:rPr>
        <w:t xml:space="preserve"> </w:t>
      </w:r>
      <w:r>
        <w:rPr>
          <w:rFonts w:ascii="Arial" w:cs="Arial" w:eastAsia="Arial" w:hAnsi="Arial"/>
          <w:sz w:val="16"/>
          <w:szCs w:val="16"/>
          <w:b w:val="1"/>
          <w:bCs w:val="1"/>
          <w:u w:val="single" w:color="auto"/>
          <w:color w:val="0000FF"/>
        </w:rPr>
        <w:t>tha</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f </w:t>
      </w:r>
      <w:r>
        <w:rPr>
          <w:rFonts w:ascii="Arial" w:cs="Arial" w:eastAsia="Arial" w:hAnsi="Arial"/>
          <w:sz w:val="16"/>
          <w:szCs w:val="16"/>
          <w:b w:val="1"/>
          <w:bCs w:val="1"/>
          <w:u w:val="single" w:color="auto"/>
          <w:color w:val="0000FF"/>
        </w:rPr>
        <w:t>Ter</w:t>
      </w:r>
      <w:r>
        <w:rPr>
          <w:rFonts w:ascii="Arial" w:cs="Arial" w:eastAsia="Arial" w:hAnsi="Arial"/>
          <w:sz w:val="16"/>
          <w:szCs w:val="16"/>
          <w:b w:val="1"/>
          <w:bCs w:val="1"/>
          <w:color w:val="0000FF"/>
        </w:rPr>
        <w:t>m Loans)</w:t>
      </w:r>
      <w:r>
        <w:rPr>
          <w:rFonts w:ascii="Arial" w:cs="Arial" w:eastAsia="Arial" w:hAnsi="Arial"/>
          <w:sz w:val="16"/>
          <w:szCs w:val="16"/>
          <w:color w:val="010101"/>
        </w:rPr>
        <w:t>.</w:t>
      </w:r>
    </w:p>
    <w:p>
      <w:pPr>
        <w:spacing w:after="0" w:line="135" w:lineRule="exact"/>
        <w:rPr>
          <w:rFonts w:ascii="Arial" w:cs="Arial" w:eastAsia="Arial" w:hAnsi="Arial"/>
          <w:sz w:val="16"/>
          <w:szCs w:val="16"/>
          <w:color w:val="auto"/>
        </w:rPr>
      </w:pPr>
    </w:p>
    <w:p>
      <w:pPr>
        <w:jc w:val="both"/>
        <w:ind w:left="500" w:firstLine="492"/>
        <w:spacing w:after="0" w:line="220" w:lineRule="auto"/>
        <w:tabs>
          <w:tab w:leader="none" w:pos="1389"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010101"/>
        </w:rPr>
        <w:t>Assignment and Assumption</w:t>
      </w:r>
      <w:r>
        <w:rPr>
          <w:rFonts w:ascii="Arial" w:cs="Arial" w:eastAsia="Arial" w:hAnsi="Arial"/>
          <w:sz w:val="16"/>
          <w:szCs w:val="16"/>
          <w:color w:val="010101"/>
        </w:rPr>
        <w:t xml:space="preserve">. The parties to each assignment shall execute and deliver to the Administrative Agent an Assignment and Assumption, together with a processing and recordation fee of $3,500;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further</w:t>
      </w:r>
      <w:r>
        <w:rPr>
          <w:rFonts w:ascii="Arial" w:cs="Arial" w:eastAsia="Arial" w:hAnsi="Arial"/>
          <w:sz w:val="16"/>
          <w:szCs w:val="16"/>
          <w:color w:val="010101"/>
        </w:rPr>
        <w:t>, that no such processing and recordation fee shall be paid in connection with an assignment made pursuant to Section 2.19. The assignee, if it is not a Lender, shall deliver to the Administrative Agent an Administrative Questionnaire and if it shall not already be a Lender, any tax forms required by Section 2.14(f).</w:t>
      </w:r>
    </w:p>
    <w:p>
      <w:pPr>
        <w:spacing w:after="0" w:line="141" w:lineRule="exact"/>
        <w:rPr>
          <w:rFonts w:ascii="Arial" w:cs="Arial" w:eastAsia="Arial" w:hAnsi="Arial"/>
          <w:sz w:val="16"/>
          <w:szCs w:val="16"/>
          <w:color w:val="auto"/>
        </w:rPr>
      </w:pPr>
    </w:p>
    <w:p>
      <w:pPr>
        <w:ind w:left="1480" w:hanging="488"/>
        <w:spacing w:after="0"/>
        <w:tabs>
          <w:tab w:leader="none" w:pos="148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010101"/>
        </w:rPr>
        <w:t>No Assignment to Certain Persons</w:t>
      </w:r>
      <w:r>
        <w:rPr>
          <w:rFonts w:ascii="Arial" w:cs="Arial" w:eastAsia="Arial" w:hAnsi="Arial"/>
          <w:sz w:val="16"/>
          <w:szCs w:val="16"/>
          <w:color w:val="010101"/>
        </w:rPr>
        <w:t>. No such assignment shall be made to</w:t>
      </w:r>
    </w:p>
    <w:p>
      <w:pPr>
        <w:ind w:left="500" w:right="40" w:firstLine="7"/>
        <w:spacing w:after="0" w:line="230" w:lineRule="auto"/>
        <w:tabs>
          <w:tab w:leader="none" w:pos="774" w:val="left"/>
        </w:tabs>
        <w:numPr>
          <w:ilvl w:val="0"/>
          <w:numId w:val="197"/>
        </w:numPr>
        <w:rPr>
          <w:rFonts w:ascii="Arial" w:cs="Arial" w:eastAsia="Arial" w:hAnsi="Arial"/>
          <w:sz w:val="16"/>
          <w:szCs w:val="16"/>
          <w:color w:val="010101"/>
        </w:rPr>
      </w:pPr>
      <w:r>
        <w:rPr>
          <w:rFonts w:ascii="Arial" w:cs="Arial" w:eastAsia="Arial" w:hAnsi="Arial"/>
          <w:sz w:val="16"/>
          <w:szCs w:val="16"/>
          <w:color w:val="010101"/>
        </w:rPr>
        <w:t>any person that is not an Eligible Assignee or (B) any Defaulting Lender or any of its Subsidiaries or any Person who, upon becoming a Lender hereunder, would constitute any of the foregoing Persons described in this clause (B).</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010101"/>
        </w:rPr>
        <w:t>Subject to acceptance and recording thereof by the Administrative Agent pursuant to paragraph</w:t>
      </w:r>
    </w:p>
    <w:p>
      <w:pPr>
        <w:jc w:val="both"/>
        <w:ind w:left="20" w:right="40" w:firstLine="2"/>
        <w:spacing w:after="0" w:line="229" w:lineRule="auto"/>
        <w:tabs>
          <w:tab w:leader="none" w:pos="425" w:val="left"/>
        </w:tabs>
        <w:numPr>
          <w:ilvl w:val="0"/>
          <w:numId w:val="198"/>
        </w:numPr>
        <w:rPr>
          <w:rFonts w:ascii="Arial" w:cs="Arial" w:eastAsia="Arial" w:hAnsi="Arial"/>
          <w:sz w:val="15"/>
          <w:szCs w:val="15"/>
          <w:color w:val="010101"/>
        </w:rPr>
      </w:pPr>
      <w:r>
        <w:rPr>
          <w:rFonts w:ascii="Arial" w:cs="Arial" w:eastAsia="Arial" w:hAnsi="Arial"/>
          <w:sz w:val="15"/>
          <w:szCs w:val="15"/>
          <w:color w:val="010101"/>
        </w:rPr>
        <w:t xml:space="preserve">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and 9.04, and subject to the obligations of Section 7.05, in each case, with respect to facts and circumstances occurring prior to the effective date of such assignment; </w:t>
      </w:r>
      <w:r>
        <w:rPr>
          <w:rFonts w:ascii="Arial" w:cs="Arial" w:eastAsia="Arial" w:hAnsi="Arial"/>
          <w:sz w:val="15"/>
          <w:szCs w:val="15"/>
          <w:u w:val="single" w:color="auto"/>
          <w:color w:val="010101"/>
        </w:rPr>
        <w:t>provided</w:t>
      </w:r>
      <w:r>
        <w:rPr>
          <w:rFonts w:ascii="Arial" w:cs="Arial" w:eastAsia="Arial" w:hAnsi="Arial"/>
          <w:sz w:val="15"/>
          <w:szCs w:val="15"/>
          <w:color w:val="010101"/>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72" w:name="page173"/>
    <w:bookmarkEnd w:id="172"/>
    <w:p>
      <w:pPr>
        <w:jc w:val="both"/>
        <w:ind w:left="20" w:right="20" w:firstLine="487"/>
        <w:spacing w:after="0" w:line="254" w:lineRule="auto"/>
        <w:tabs>
          <w:tab w:leader="none" w:pos="910" w:val="left"/>
        </w:tabs>
        <w:numPr>
          <w:ilvl w:val="1"/>
          <w:numId w:val="199"/>
        </w:numPr>
        <w:rPr>
          <w:rFonts w:ascii="Arial" w:cs="Arial" w:eastAsia="Arial" w:hAnsi="Arial"/>
          <w:sz w:val="14"/>
          <w:szCs w:val="14"/>
          <w:color w:val="auto"/>
        </w:rPr>
      </w:pPr>
      <w:r>
        <w:rPr>
          <w:rFonts w:ascii="Arial" w:cs="Arial" w:eastAsia="Arial" w:hAnsi="Arial"/>
          <w:sz w:val="14"/>
          <w:szCs w:val="14"/>
          <w:u w:val="single" w:color="auto"/>
          <w:color w:val="010101"/>
        </w:rPr>
        <w:t>Register</w:t>
      </w:r>
      <w:r>
        <w:rPr>
          <w:rFonts w:ascii="Arial" w:cs="Arial" w:eastAsia="Arial" w:hAnsi="Arial"/>
          <w:sz w:val="14"/>
          <w:szCs w:val="14"/>
          <w:color w:val="010101"/>
        </w:rPr>
        <w:t>. The Administrative Agent, acting solely for this purpose as an agent of the Borrowers, shall maintain at one of its offices in the United States a copy of each Assumption Agreement and each Assignment and Assumption delivered to it and a register for the recordation of the names and addresses of the Lenders, and the Commitments (including the relevant Tranche) of, and principal amounts of the Advances owing to, each Lender pursuant to the terms hereof from time to time (the “</w:t>
      </w:r>
      <w:r>
        <w:rPr>
          <w:rFonts w:ascii="Arial" w:cs="Arial" w:eastAsia="Arial" w:hAnsi="Arial"/>
          <w:sz w:val="14"/>
          <w:szCs w:val="14"/>
          <w:u w:val="single" w:color="auto"/>
          <w:color w:val="010101"/>
        </w:rPr>
        <w:t>Register</w:t>
      </w:r>
      <w:r>
        <w:rPr>
          <w:rFonts w:ascii="Arial" w:cs="Arial" w:eastAsia="Arial" w:hAnsi="Arial"/>
          <w:sz w:val="14"/>
          <w:szCs w:val="14"/>
          <w:color w:val="010101"/>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The Register shall be available for inspection by the Company, on behalf of the Borrowers, and any Lender, at any reasonable time and from time to time upon reasonable prior notice.</w:t>
      </w:r>
    </w:p>
    <w:p>
      <w:pPr>
        <w:spacing w:after="0" w:line="139" w:lineRule="exact"/>
        <w:rPr>
          <w:rFonts w:ascii="Arial" w:cs="Arial" w:eastAsia="Arial" w:hAnsi="Arial"/>
          <w:sz w:val="14"/>
          <w:szCs w:val="14"/>
          <w:color w:val="auto"/>
        </w:rPr>
      </w:pPr>
    </w:p>
    <w:p>
      <w:pPr>
        <w:jc w:val="both"/>
        <w:ind w:left="20" w:right="20" w:firstLine="487"/>
        <w:spacing w:after="0" w:line="229" w:lineRule="auto"/>
        <w:tabs>
          <w:tab w:leader="none" w:pos="909" w:val="left"/>
        </w:tabs>
        <w:numPr>
          <w:ilvl w:val="1"/>
          <w:numId w:val="199"/>
        </w:numPr>
        <w:rPr>
          <w:rFonts w:ascii="Arial" w:cs="Arial" w:eastAsia="Arial" w:hAnsi="Arial"/>
          <w:sz w:val="15"/>
          <w:szCs w:val="15"/>
          <w:color w:val="auto"/>
        </w:rPr>
      </w:pPr>
      <w:r>
        <w:rPr>
          <w:rFonts w:ascii="Arial" w:cs="Arial" w:eastAsia="Arial" w:hAnsi="Arial"/>
          <w:sz w:val="15"/>
          <w:szCs w:val="15"/>
          <w:u w:val="single" w:color="auto"/>
          <w:color w:val="010101"/>
        </w:rPr>
        <w:t>Participations</w:t>
      </w:r>
      <w:r>
        <w:rPr>
          <w:rFonts w:ascii="Arial" w:cs="Arial" w:eastAsia="Arial" w:hAnsi="Arial"/>
          <w:sz w:val="15"/>
          <w:szCs w:val="15"/>
          <w:color w:val="010101"/>
        </w:rPr>
        <w:t>. Any Lender may at any time, without the consent of, or notice to, any Credit Party or the Administrative Agent, sell participations to any Person (other than a natural Person or any Credit Party or any of their Affiliates or Subsidiaries) (each, a “</w:t>
      </w:r>
      <w:r>
        <w:rPr>
          <w:rFonts w:ascii="Arial" w:cs="Arial" w:eastAsia="Arial" w:hAnsi="Arial"/>
          <w:sz w:val="15"/>
          <w:szCs w:val="15"/>
          <w:u w:val="single" w:color="auto"/>
          <w:color w:val="010101"/>
        </w:rPr>
        <w:t>Participant</w:t>
      </w:r>
      <w:r>
        <w:rPr>
          <w:rFonts w:ascii="Arial" w:cs="Arial" w:eastAsia="Arial" w:hAnsi="Arial"/>
          <w:sz w:val="15"/>
          <w:szCs w:val="15"/>
          <w:color w:val="010101"/>
        </w:rPr>
        <w:t xml:space="preserve">”) in all or a portion of such Lender’s rights and/or obligations under this Agreement (including all or a portion of its Commitment and/or the Advances owing to it);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(i) such Lender’s obligations under this Agreement shall remain unchanged, (ii) such Lender shall remain solely responsible to the other parties hereto for the performance of such obligations, and</w:t>
      </w:r>
    </w:p>
    <w:p>
      <w:pPr>
        <w:spacing w:after="0" w:line="2" w:lineRule="exact"/>
        <w:rPr>
          <w:rFonts w:ascii="Arial" w:cs="Arial" w:eastAsia="Arial" w:hAnsi="Arial"/>
          <w:sz w:val="15"/>
          <w:szCs w:val="15"/>
          <w:color w:val="auto"/>
        </w:rPr>
      </w:pPr>
    </w:p>
    <w:p>
      <w:pPr>
        <w:jc w:val="both"/>
        <w:ind w:left="20" w:firstLine="2"/>
        <w:spacing w:after="0" w:line="246" w:lineRule="auto"/>
        <w:tabs>
          <w:tab w:leader="none" w:pos="425" w:val="left"/>
        </w:tabs>
        <w:numPr>
          <w:ilvl w:val="0"/>
          <w:numId w:val="200"/>
        </w:numPr>
        <w:rPr>
          <w:rFonts w:ascii="Arial" w:cs="Arial" w:eastAsia="Arial" w:hAnsi="Arial"/>
          <w:sz w:val="14"/>
          <w:szCs w:val="14"/>
          <w:color w:val="010101"/>
        </w:rPr>
      </w:pPr>
      <w:r>
        <w:rPr>
          <w:rFonts w:ascii="Arial" w:cs="Arial" w:eastAsia="Arial" w:hAnsi="Arial"/>
          <w:sz w:val="14"/>
          <w:szCs w:val="14"/>
          <w:color w:val="010101"/>
        </w:rPr>
        <w:t>the Borrowers, the Administrative Agent and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 Each Lender that sells a participation shall, acting solely for this purpose as an agent of the Borrowers, maintain a register on which it enters the name and address of each Participant and the principal amounts (and stated interest) of each Participant’s interest in the Commitments, other obligations under this Agreement (the “</w:t>
      </w:r>
      <w:r>
        <w:rPr>
          <w:rFonts w:ascii="Arial" w:cs="Arial" w:eastAsia="Arial" w:hAnsi="Arial"/>
          <w:sz w:val="14"/>
          <w:szCs w:val="14"/>
          <w:u w:val="single" w:color="auto"/>
          <w:color w:val="010101"/>
        </w:rPr>
        <w:t>Participant Register</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no Lender shall have any obligation to disclose all or any portion of the Participant Register (including the identity of any Participant or any information relating to a Participant’s interest in any commitments, loans or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w:t>
      </w:r>
    </w:p>
    <w:p>
      <w:pPr>
        <w:spacing w:after="0" w:line="147" w:lineRule="exact"/>
        <w:rPr>
          <w:rFonts w:ascii="Arial" w:cs="Arial" w:eastAsia="Arial" w:hAnsi="Arial"/>
          <w:sz w:val="14"/>
          <w:szCs w:val="14"/>
          <w:color w:val="010101"/>
        </w:rPr>
      </w:pPr>
    </w:p>
    <w:p>
      <w:pPr>
        <w:jc w:val="both"/>
        <w:ind w:left="20" w:firstLine="487"/>
        <w:spacing w:after="0" w:line="219" w:lineRule="auto"/>
        <w:tabs>
          <w:tab w:leader="none" w:pos="910" w:val="left"/>
        </w:tabs>
        <w:numPr>
          <w:ilvl w:val="1"/>
          <w:numId w:val="200"/>
        </w:numPr>
        <w:rPr>
          <w:rFonts w:ascii="Arial" w:cs="Arial" w:eastAsia="Arial" w:hAnsi="Arial"/>
          <w:sz w:val="16"/>
          <w:szCs w:val="16"/>
          <w:color w:val="auto"/>
        </w:rPr>
      </w:pPr>
      <w:r>
        <w:rPr>
          <w:rFonts w:ascii="Arial" w:cs="Arial" w:eastAsia="Arial" w:hAnsi="Arial"/>
          <w:sz w:val="16"/>
          <w:szCs w:val="16"/>
          <w:color w:val="010101"/>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such agreement or instrument may provide that such Lender will not, without the consent of the Participant, agree to any amendment, modification or waiver described in clauses (b)(ii) and (iii) of the first proviso of Section 9.01 that directly and adversely affects such Participant. The Borrowers agree that, subject to paragraph (f) below, each Participant shall be entitled to the benefits of Sections 2.11 and 2.14 to the same extent as if it were a Lender and had acquired its interest by assignment pursuant to paragraph (b) of this Section;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such Participant agrees to be subject to the provisions of Section 2.19 as if it were an assignee under paragraph (b) of this Section. To the extent permitted by Applicable Law, each Participant also</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73" w:name="page174"/>
    <w:bookmarkEnd w:id="173"/>
    <w:p>
      <w:pPr>
        <w:ind w:left="20"/>
        <w:spacing w:after="0"/>
        <w:rPr>
          <w:sz w:val="20"/>
          <w:szCs w:val="20"/>
          <w:color w:val="auto"/>
        </w:rPr>
      </w:pPr>
      <w:r>
        <w:rPr>
          <w:rFonts w:ascii="Arial" w:cs="Arial" w:eastAsia="Arial" w:hAnsi="Arial"/>
          <w:sz w:val="14"/>
          <w:szCs w:val="14"/>
          <w:color w:val="010101"/>
        </w:rPr>
        <w:t xml:space="preserve">shall be entitled to the benefits of Section 9.05 as though it were a Lender;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such Participant agrees to be subject to Section 2.15 as though it were a Lender.</w:t>
      </w:r>
    </w:p>
    <w:p>
      <w:pPr>
        <w:spacing w:after="0" w:line="193" w:lineRule="exact"/>
        <w:rPr>
          <w:sz w:val="20"/>
          <w:szCs w:val="20"/>
          <w:color w:val="auto"/>
        </w:rPr>
      </w:pPr>
    </w:p>
    <w:p>
      <w:pPr>
        <w:jc w:val="both"/>
        <w:ind w:left="20" w:right="20" w:firstLine="487"/>
        <w:spacing w:after="0" w:line="237" w:lineRule="auto"/>
        <w:tabs>
          <w:tab w:leader="none" w:pos="909"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010101"/>
        </w:rPr>
        <w:t>Limitations upon Participant Rights</w:t>
      </w:r>
      <w:r>
        <w:rPr>
          <w:rFonts w:ascii="Arial" w:cs="Arial" w:eastAsia="Arial" w:hAnsi="Arial"/>
          <w:sz w:val="15"/>
          <w:szCs w:val="15"/>
          <w:color w:val="010101"/>
        </w:rPr>
        <w:t xml:space="preserve">. A Participant shall not be entitled to receive any greater payment under Sections 2.11 and 2.14 than the applicable Lender would have been entitled to receive with respect to the participation sold to such Participant, unless the sale of the participation to such Participant is made with the Company’s, on behalf of the Borrowers, prior written consent;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the Participant shall be subject to the provisions of Sections 2.15 and 2.19. A Participant that would be a Foreign Lender if it were a Lender shall not be entitled to the benefits of Section 2.14 unless the Company is notified of the participation sold to such Participant and such Participant agrees, for the benefit of each Borrower, to comply with Section 2.14(e) as though it were a Lender.</w:t>
      </w:r>
    </w:p>
    <w:p>
      <w:pPr>
        <w:spacing w:after="0" w:line="148" w:lineRule="exact"/>
        <w:rPr>
          <w:rFonts w:ascii="Arial" w:cs="Arial" w:eastAsia="Arial" w:hAnsi="Arial"/>
          <w:sz w:val="15"/>
          <w:szCs w:val="15"/>
          <w:color w:val="auto"/>
        </w:rPr>
      </w:pPr>
    </w:p>
    <w:p>
      <w:pPr>
        <w:jc w:val="both"/>
        <w:ind w:left="20" w:firstLine="487"/>
        <w:spacing w:after="0" w:line="230" w:lineRule="auto"/>
        <w:tabs>
          <w:tab w:leader="none" w:pos="909"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010101"/>
        </w:rPr>
        <w:t>Certain Pledges</w:t>
      </w:r>
      <w:r>
        <w:rPr>
          <w:rFonts w:ascii="Arial" w:cs="Arial" w:eastAsia="Arial" w:hAnsi="Arial"/>
          <w:sz w:val="16"/>
          <w:szCs w:val="16"/>
          <w:color w:val="010101"/>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no such pledge or assignment shall release such Lender from any of its obligations hereunder or substitute any such pledgee or assignee for such Lender as a party hereto.</w:t>
      </w:r>
    </w:p>
    <w:p>
      <w:pPr>
        <w:spacing w:after="0" w:line="13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9.08.</w:t>
      </w:r>
      <w:r>
        <w:rPr>
          <w:sz w:val="20"/>
          <w:szCs w:val="20"/>
          <w:color w:val="auto"/>
        </w:rPr>
        <w:tab/>
      </w:r>
      <w:r>
        <w:rPr>
          <w:rFonts w:ascii="Arial" w:cs="Arial" w:eastAsia="Arial" w:hAnsi="Arial"/>
          <w:sz w:val="15"/>
          <w:szCs w:val="15"/>
          <w:u w:val="single" w:color="auto"/>
          <w:color w:val="010101"/>
        </w:rPr>
        <w:t>Confidentiality</w:t>
      </w:r>
    </w:p>
    <w:p>
      <w:pPr>
        <w:spacing w:after="0" w:line="170" w:lineRule="exact"/>
        <w:rPr>
          <w:sz w:val="20"/>
          <w:szCs w:val="20"/>
          <w:color w:val="auto"/>
        </w:rPr>
      </w:pPr>
    </w:p>
    <w:p>
      <w:pPr>
        <w:jc w:val="both"/>
        <w:ind w:left="20" w:firstLine="487"/>
        <w:spacing w:after="0" w:line="230" w:lineRule="auto"/>
        <w:tabs>
          <w:tab w:leader="none" w:pos="589" w:val="left"/>
        </w:tabs>
        <w:numPr>
          <w:ilvl w:val="0"/>
          <w:numId w:val="202"/>
        </w:numPr>
        <w:rPr>
          <w:rFonts w:ascii="Arial" w:cs="Arial" w:eastAsia="Arial" w:hAnsi="Arial"/>
          <w:sz w:val="15"/>
          <w:szCs w:val="15"/>
          <w:color w:val="010101"/>
        </w:rPr>
      </w:pPr>
      <w:r>
        <w:rPr>
          <w:rFonts w:ascii="Arial" w:cs="Arial" w:eastAsia="Arial" w:hAnsi="Arial"/>
          <w:sz w:val="15"/>
          <w:szCs w:val="15"/>
          <w:color w:val="010101"/>
        </w:rPr>
        <w:t>Neither the Administrative Agent nor any Lender shall disclose any Confidential Information to any other Person without the consent of the Company, on behalf of the Borrowers, except that Confidential Information may be disclosed (a) to the Administrative Agent’s or such Lender’s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any Borrower and its obligations, this Agreement or payments hereunder; or (g) on a confidential basis to (i) any rating agency in connection with rating any Borrower or its Subsidiaries or this credit facility or (ii) the CUSIP Service Bureau or any similar agency in connection with the issuance and monitoring of CUSIP numbers with respect to the facilities.</w:t>
      </w:r>
    </w:p>
    <w:p>
      <w:pPr>
        <w:spacing w:after="0" w:line="148"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9.09.</w:t>
      </w:r>
      <w:r>
        <w:rPr>
          <w:sz w:val="20"/>
          <w:szCs w:val="20"/>
          <w:color w:val="auto"/>
        </w:rPr>
        <w:tab/>
      </w:r>
      <w:r>
        <w:rPr>
          <w:rFonts w:ascii="Arial" w:cs="Arial" w:eastAsia="Arial" w:hAnsi="Arial"/>
          <w:sz w:val="15"/>
          <w:szCs w:val="15"/>
          <w:u w:val="single" w:color="auto"/>
          <w:color w:val="010101"/>
        </w:rPr>
        <w:t>Governing Law</w:t>
      </w:r>
    </w:p>
    <w:p>
      <w:pPr>
        <w:spacing w:after="0" w:line="160" w:lineRule="exact"/>
        <w:rPr>
          <w:sz w:val="20"/>
          <w:szCs w:val="20"/>
          <w:color w:val="auto"/>
        </w:rPr>
      </w:pPr>
    </w:p>
    <w:p>
      <w:pPr>
        <w:ind w:left="20" w:right="20" w:firstLine="487"/>
        <w:spacing w:after="0" w:line="239" w:lineRule="auto"/>
        <w:tabs>
          <w:tab w:leader="none" w:pos="594" w:val="left"/>
        </w:tabs>
        <w:numPr>
          <w:ilvl w:val="0"/>
          <w:numId w:val="203"/>
        </w:numPr>
        <w:rPr>
          <w:rFonts w:ascii="Arial" w:cs="Arial" w:eastAsia="Arial" w:hAnsi="Arial"/>
          <w:sz w:val="16"/>
          <w:szCs w:val="16"/>
          <w:color w:val="010101"/>
        </w:rPr>
      </w:pPr>
      <w:r>
        <w:rPr>
          <w:rFonts w:ascii="Arial" w:cs="Arial" w:eastAsia="Arial" w:hAnsi="Arial"/>
          <w:sz w:val="16"/>
          <w:szCs w:val="16"/>
          <w:color w:val="010101"/>
        </w:rPr>
        <w:t>This Agreement and the other Loan Documents and any claims, controversy, dispute or cause of action (whether in contract or tort or otherwise) based upon, arising out of or relating to</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74" w:name="page175"/>
    <w:bookmarkEnd w:id="174"/>
    <w:p>
      <w:pPr>
        <w:ind w:left="20"/>
        <w:spacing w:after="0" w:line="239" w:lineRule="auto"/>
        <w:rPr>
          <w:sz w:val="20"/>
          <w:szCs w:val="20"/>
          <w:color w:val="auto"/>
        </w:rPr>
      </w:pPr>
      <w:r>
        <w:rPr>
          <w:rFonts w:ascii="Arial" w:cs="Arial" w:eastAsia="Arial" w:hAnsi="Arial"/>
          <w:sz w:val="16"/>
          <w:szCs w:val="16"/>
          <w:color w:val="010101"/>
        </w:rPr>
        <w:t>this Agreement or any other Loan Document and the transactions contemplated hereby and thereby shall be governed by, and construed in accordance with, the law of the State of New York.</w:t>
      </w:r>
    </w:p>
    <w:p>
      <w:pPr>
        <w:spacing w:after="0" w:line="19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9.10.</w:t>
      </w:r>
      <w:r>
        <w:rPr>
          <w:sz w:val="20"/>
          <w:szCs w:val="20"/>
          <w:color w:val="auto"/>
        </w:rPr>
        <w:tab/>
      </w:r>
      <w:r>
        <w:rPr>
          <w:rFonts w:ascii="Arial" w:cs="Arial" w:eastAsia="Arial" w:hAnsi="Arial"/>
          <w:sz w:val="14"/>
          <w:szCs w:val="14"/>
          <w:u w:val="single" w:color="auto"/>
          <w:color w:val="010101"/>
        </w:rPr>
        <w:t>Counterparts; Integration; Effectiveness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ind w:left="20" w:right="80" w:firstLine="487"/>
        <w:spacing w:after="0" w:line="252" w:lineRule="auto"/>
        <w:tabs>
          <w:tab w:leader="none" w:pos="910" w:val="left"/>
        </w:tabs>
        <w:numPr>
          <w:ilvl w:val="0"/>
          <w:numId w:val="204"/>
        </w:numPr>
        <w:rPr>
          <w:rFonts w:ascii="Arial" w:cs="Arial" w:eastAsia="Arial" w:hAnsi="Arial"/>
          <w:sz w:val="14"/>
          <w:szCs w:val="14"/>
          <w:color w:val="auto"/>
        </w:rPr>
      </w:pPr>
      <w:r>
        <w:rPr>
          <w:rFonts w:ascii="Arial" w:cs="Arial" w:eastAsia="Arial" w:hAnsi="Arial"/>
          <w:sz w:val="14"/>
          <w:szCs w:val="14"/>
          <w:u w:val="single" w:color="auto"/>
          <w:color w:val="010101"/>
        </w:rPr>
        <w:t>Counterparts; Integration; Effectiveness</w:t>
      </w:r>
      <w:r>
        <w:rPr>
          <w:rFonts w:ascii="Arial" w:cs="Arial" w:eastAsia="Arial" w:hAnsi="Arial"/>
          <w:sz w:val="14"/>
          <w:szCs w:val="14"/>
          <w:color w:val="010101"/>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 any Issuing Lender constitute the entire contract among the parties relating to the subject matter hereof and supersede any and all previous agreements and understandings, oral or written, relating to the subject matter hereof. Except as provided in Section 3.01,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30" w:lineRule="exact"/>
        <w:rPr>
          <w:rFonts w:ascii="Arial" w:cs="Arial" w:eastAsia="Arial" w:hAnsi="Arial"/>
          <w:sz w:val="14"/>
          <w:szCs w:val="14"/>
          <w:color w:val="auto"/>
        </w:rPr>
      </w:pPr>
    </w:p>
    <w:p>
      <w:pPr>
        <w:jc w:val="both"/>
        <w:ind w:left="20" w:firstLine="487"/>
        <w:spacing w:after="0" w:line="229" w:lineRule="auto"/>
        <w:tabs>
          <w:tab w:leader="none" w:pos="909" w:val="left"/>
        </w:tabs>
        <w:numPr>
          <w:ilvl w:val="0"/>
          <w:numId w:val="204"/>
        </w:numPr>
        <w:rPr>
          <w:rFonts w:ascii="Arial" w:cs="Arial" w:eastAsia="Arial" w:hAnsi="Arial"/>
          <w:sz w:val="15"/>
          <w:szCs w:val="15"/>
          <w:color w:val="auto"/>
        </w:rPr>
      </w:pPr>
      <w:r>
        <w:rPr>
          <w:rFonts w:ascii="Arial" w:cs="Arial" w:eastAsia="Arial" w:hAnsi="Arial"/>
          <w:sz w:val="15"/>
          <w:szCs w:val="15"/>
          <w:u w:val="single" w:color="auto"/>
          <w:color w:val="010101"/>
        </w:rPr>
        <w:t>Electronic Execution</w:t>
      </w:r>
      <w:r>
        <w:rPr>
          <w:rFonts w:ascii="Arial" w:cs="Arial" w:eastAsia="Arial" w:hAnsi="Arial"/>
          <w:sz w:val="15"/>
          <w:szCs w:val="15"/>
          <w:color w:val="010101"/>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75" w:name="page176"/>
    <w:bookmarkEnd w:id="175"/>
    <w:p>
      <w:pPr>
        <w:jc w:val="both"/>
        <w:ind w:left="20" w:right="60"/>
        <w:spacing w:after="0" w:line="235" w:lineRule="auto"/>
        <w:rPr>
          <w:sz w:val="20"/>
          <w:szCs w:val="20"/>
          <w:color w:val="auto"/>
        </w:rPr>
      </w:pPr>
      <w:r>
        <w:rPr>
          <w:rFonts w:ascii="Arial" w:cs="Arial" w:eastAsia="Arial" w:hAnsi="Arial"/>
          <w:sz w:val="15"/>
          <w:szCs w:val="15"/>
          <w:color w:val="010101"/>
        </w:rPr>
        <w:t>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49" w:lineRule="exact"/>
        <w:rPr>
          <w:sz w:val="20"/>
          <w:szCs w:val="20"/>
          <w:color w:val="auto"/>
        </w:rPr>
      </w:pPr>
    </w:p>
    <w:p>
      <w:pPr>
        <w:ind w:left="500"/>
        <w:spacing w:after="0"/>
        <w:tabs>
          <w:tab w:leader="none" w:pos="1680" w:val="left"/>
        </w:tabs>
        <w:rPr>
          <w:sz w:val="20"/>
          <w:szCs w:val="20"/>
          <w:color w:val="auto"/>
        </w:rPr>
      </w:pPr>
      <w:r>
        <w:rPr>
          <w:rFonts w:ascii="Arial" w:cs="Arial" w:eastAsia="Arial" w:hAnsi="Arial"/>
          <w:sz w:val="16"/>
          <w:szCs w:val="16"/>
          <w:color w:val="auto"/>
        </w:rPr>
        <w:t>SECTION 9.11.</w:t>
      </w:r>
      <w:r>
        <w:rPr>
          <w:sz w:val="20"/>
          <w:szCs w:val="20"/>
          <w:color w:val="auto"/>
        </w:rPr>
        <w:tab/>
      </w:r>
      <w:r>
        <w:rPr>
          <w:rFonts w:ascii="Arial" w:cs="Arial" w:eastAsia="Arial" w:hAnsi="Arial"/>
          <w:sz w:val="15"/>
          <w:szCs w:val="15"/>
          <w:u w:val="single" w:color="auto"/>
          <w:color w:val="010101"/>
        </w:rPr>
        <w:t>Jurisdiction, Etc.</w:t>
      </w:r>
    </w:p>
    <w:p>
      <w:pPr>
        <w:spacing w:after="0" w:line="170" w:lineRule="exact"/>
        <w:rPr>
          <w:sz w:val="20"/>
          <w:szCs w:val="20"/>
          <w:color w:val="auto"/>
        </w:rPr>
      </w:pPr>
    </w:p>
    <w:p>
      <w:pPr>
        <w:ind w:left="20" w:firstLine="596"/>
        <w:spacing w:after="0" w:line="231" w:lineRule="auto"/>
        <w:tabs>
          <w:tab w:leader="none" w:pos="909" w:val="left"/>
        </w:tabs>
        <w:numPr>
          <w:ilvl w:val="1"/>
          <w:numId w:val="205"/>
        </w:numPr>
        <w:rPr>
          <w:rFonts w:ascii="Arial" w:cs="Arial" w:eastAsia="Arial" w:hAnsi="Arial"/>
          <w:sz w:val="15"/>
          <w:szCs w:val="15"/>
          <w:color w:val="010101"/>
        </w:rPr>
      </w:pPr>
      <w:r>
        <w:rPr>
          <w:rFonts w:ascii="Arial" w:cs="Arial" w:eastAsia="Arial" w:hAnsi="Arial"/>
          <w:sz w:val="15"/>
          <w:szCs w:val="15"/>
          <w:color w:val="010101"/>
        </w:rPr>
        <w:t>Each Credit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Applicable Law. Nothing in this Agreement or in any other Loan Document shall affect any right that the Administrative Agent or any Lender may otherwise have to bring any action or proceeding relating to this Agreement or any other Loan Document against any Credit Party or its properties in the courts of any jurisdiction.</w:t>
      </w:r>
    </w:p>
    <w:p>
      <w:pPr>
        <w:spacing w:after="0" w:line="142" w:lineRule="exact"/>
        <w:rPr>
          <w:rFonts w:ascii="Arial" w:cs="Arial" w:eastAsia="Arial" w:hAnsi="Arial"/>
          <w:sz w:val="15"/>
          <w:szCs w:val="15"/>
          <w:color w:val="010101"/>
        </w:rPr>
      </w:pPr>
    </w:p>
    <w:p>
      <w:pPr>
        <w:jc w:val="both"/>
        <w:ind w:left="20" w:right="80" w:firstLine="487"/>
        <w:spacing w:after="0" w:line="225" w:lineRule="auto"/>
        <w:tabs>
          <w:tab w:leader="none" w:pos="909" w:val="left"/>
        </w:tabs>
        <w:numPr>
          <w:ilvl w:val="0"/>
          <w:numId w:val="206"/>
        </w:numPr>
        <w:rPr>
          <w:rFonts w:ascii="Arial" w:cs="Arial" w:eastAsia="Arial" w:hAnsi="Arial"/>
          <w:sz w:val="16"/>
          <w:szCs w:val="16"/>
          <w:color w:val="auto"/>
        </w:rPr>
      </w:pPr>
      <w:r>
        <w:rPr>
          <w:rFonts w:ascii="Arial" w:cs="Arial" w:eastAsia="Arial" w:hAnsi="Arial"/>
          <w:sz w:val="16"/>
          <w:szCs w:val="16"/>
          <w:color w:val="010101"/>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New York State or federal court. Each of the parties hereto hereby irrevocably waives, to the fullest extent permitted by Applicable Law, the defense of an inconvenient forum to the maintenance of such action or proceeding in any such court.</w:t>
      </w:r>
    </w:p>
    <w:p>
      <w:pPr>
        <w:spacing w:after="0" w:line="148" w:lineRule="exact"/>
        <w:rPr>
          <w:rFonts w:ascii="Arial" w:cs="Arial" w:eastAsia="Arial" w:hAnsi="Arial"/>
          <w:sz w:val="16"/>
          <w:szCs w:val="16"/>
          <w:color w:val="auto"/>
        </w:rPr>
      </w:pPr>
    </w:p>
    <w:p>
      <w:pPr>
        <w:ind w:left="20" w:right="80" w:firstLine="487"/>
        <w:spacing w:after="0" w:line="239" w:lineRule="auto"/>
        <w:tabs>
          <w:tab w:leader="none" w:pos="910" w:val="left"/>
        </w:tabs>
        <w:numPr>
          <w:ilvl w:val="0"/>
          <w:numId w:val="206"/>
        </w:numPr>
        <w:rPr>
          <w:rFonts w:ascii="Arial" w:cs="Arial" w:eastAsia="Arial" w:hAnsi="Arial"/>
          <w:sz w:val="16"/>
          <w:szCs w:val="16"/>
          <w:color w:val="auto"/>
        </w:rPr>
      </w:pPr>
      <w:r>
        <w:rPr>
          <w:rFonts w:ascii="Arial" w:cs="Arial" w:eastAsia="Arial" w:hAnsi="Arial"/>
          <w:sz w:val="16"/>
          <w:szCs w:val="16"/>
          <w:color w:val="010101"/>
        </w:rPr>
        <w:t>Each party hereto irrevocably consents to service of process in the manner provided for notices in Section 9.02. Nothing in this Agreement will affect the right of any party hereto to serve process in any other manner permitted by Applicable Law.</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9.12.</w:t>
      </w:r>
      <w:r>
        <w:rPr>
          <w:sz w:val="20"/>
          <w:szCs w:val="20"/>
          <w:color w:val="auto"/>
        </w:rPr>
        <w:tab/>
      </w:r>
      <w:r>
        <w:rPr>
          <w:rFonts w:ascii="Arial" w:cs="Arial" w:eastAsia="Arial" w:hAnsi="Arial"/>
          <w:sz w:val="15"/>
          <w:szCs w:val="15"/>
          <w:u w:val="single" w:color="auto"/>
          <w:color w:val="010101"/>
        </w:rPr>
        <w:t>Patriot Act Notice</w:t>
      </w:r>
    </w:p>
    <w:p>
      <w:pPr>
        <w:spacing w:after="0" w:line="160" w:lineRule="exact"/>
        <w:rPr>
          <w:sz w:val="20"/>
          <w:szCs w:val="20"/>
          <w:color w:val="auto"/>
        </w:rPr>
      </w:pPr>
    </w:p>
    <w:p>
      <w:pPr>
        <w:jc w:val="both"/>
        <w:ind w:left="20" w:right="80" w:firstLine="487"/>
        <w:spacing w:after="0" w:line="230" w:lineRule="auto"/>
        <w:tabs>
          <w:tab w:leader="none" w:pos="586" w:val="left"/>
        </w:tabs>
        <w:numPr>
          <w:ilvl w:val="0"/>
          <w:numId w:val="207"/>
        </w:numPr>
        <w:rPr>
          <w:rFonts w:ascii="Arial" w:cs="Arial" w:eastAsia="Arial" w:hAnsi="Arial"/>
          <w:sz w:val="16"/>
          <w:szCs w:val="16"/>
          <w:color w:val="010101"/>
        </w:rPr>
      </w:pPr>
      <w:r>
        <w:rPr>
          <w:rFonts w:ascii="Arial" w:cs="Arial" w:eastAsia="Arial" w:hAnsi="Arial"/>
          <w:sz w:val="16"/>
          <w:szCs w:val="16"/>
          <w:color w:val="010101"/>
        </w:rPr>
        <w:t>Each Lender that is subject to the Patriot Act (as hereinafter defined) and the Administrative Agent (for itself and not on behalf of any Lender) hereby notifies the Borrowers that, pursuant to the requirements of the USA Patriot Act (Title III of Pub. L. 107-56 (signed into law October 26, 2001)) (the “</w:t>
      </w:r>
      <w:r>
        <w:rPr>
          <w:rFonts w:ascii="Arial" w:cs="Arial" w:eastAsia="Arial" w:hAnsi="Arial"/>
          <w:sz w:val="16"/>
          <w:szCs w:val="16"/>
          <w:u w:val="single" w:color="auto"/>
          <w:color w:val="010101"/>
        </w:rPr>
        <w:t>Patriot Act</w:t>
      </w:r>
      <w:r>
        <w:rPr>
          <w:rFonts w:ascii="Arial" w:cs="Arial" w:eastAsia="Arial" w:hAnsi="Arial"/>
          <w:sz w:val="16"/>
          <w:szCs w:val="16"/>
          <w:color w:val="010101"/>
        </w:rPr>
        <w:t>”), it is required to obtain, verify and record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100"/>
          </w:cols>
          <w:pgMar w:left="360" w:top="1265" w:right="439" w:bottom="1440" w:gutter="0" w:footer="0" w:header="0"/>
        </w:sectPr>
      </w:pPr>
    </w:p>
    <w:bookmarkStart w:id="176" w:name="page177"/>
    <w:bookmarkEnd w:id="176"/>
    <w:p>
      <w:pPr>
        <w:ind w:left="20"/>
        <w:spacing w:after="0" w:line="239" w:lineRule="auto"/>
        <w:rPr>
          <w:sz w:val="20"/>
          <w:szCs w:val="20"/>
          <w:color w:val="auto"/>
        </w:rPr>
      </w:pPr>
      <w:r>
        <w:rPr>
          <w:rFonts w:ascii="Arial" w:cs="Arial" w:eastAsia="Arial" w:hAnsi="Arial"/>
          <w:sz w:val="16"/>
          <w:szCs w:val="16"/>
          <w:color w:val="010101"/>
        </w:rPr>
        <w:t>that identifies each Credit Party, which information includes the name and address of each Credit Party and other information that will allow such Lender or the Administrative Agent, as applicable, to identify each Credit Party in accordance with the Patriot Act.</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9.13.</w:t>
      </w:r>
      <w:r>
        <w:rPr>
          <w:sz w:val="20"/>
          <w:szCs w:val="20"/>
          <w:color w:val="auto"/>
        </w:rPr>
        <w:tab/>
      </w:r>
      <w:r>
        <w:rPr>
          <w:rFonts w:ascii="Arial" w:cs="Arial" w:eastAsia="Arial" w:hAnsi="Arial"/>
          <w:sz w:val="15"/>
          <w:szCs w:val="15"/>
          <w:u w:val="single" w:color="auto"/>
          <w:color w:val="010101"/>
        </w:rPr>
        <w:t>Waiver of Jury Trial</w:t>
      </w:r>
    </w:p>
    <w:p>
      <w:pPr>
        <w:spacing w:after="0" w:line="170" w:lineRule="exact"/>
        <w:rPr>
          <w:sz w:val="20"/>
          <w:szCs w:val="20"/>
          <w:color w:val="auto"/>
        </w:rPr>
      </w:pPr>
    </w:p>
    <w:p>
      <w:pPr>
        <w:jc w:val="both"/>
        <w:ind w:left="20" w:right="20" w:firstLine="487"/>
        <w:spacing w:after="0" w:line="230" w:lineRule="auto"/>
        <w:tabs>
          <w:tab w:leader="none" w:pos="621" w:val="left"/>
        </w:tabs>
        <w:numPr>
          <w:ilvl w:val="0"/>
          <w:numId w:val="208"/>
        </w:numPr>
        <w:rPr>
          <w:rFonts w:ascii="Arial" w:cs="Arial" w:eastAsia="Arial" w:hAnsi="Arial"/>
          <w:sz w:val="16"/>
          <w:szCs w:val="16"/>
          <w:color w:val="010101"/>
        </w:rPr>
      </w:pPr>
      <w:r>
        <w:rPr>
          <w:rFonts w:ascii="Arial" w:cs="Arial" w:eastAsia="Arial" w:hAnsi="Arial"/>
          <w:sz w:val="16"/>
          <w:szCs w:val="16"/>
          <w:color w:val="010101"/>
        </w:rPr>
        <w:t>Each of the Credit Parties, the Administrative Agent and the Lenders hereby irrevocably waives all right to trial by jury in any action, proceeding or counterclaim (whether based on contract, tort or otherwise) arising out of or relating to this Agreement or any other Loan Document or the actions of the Administrative Agent or any Lender in the negotiation, administration, performance or enforcement thereof.</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010101"/>
        </w:rPr>
        <w:t>Acknowledgement and Consent to Bail-In of Affected Financial Institutions</w:t>
      </w:r>
    </w:p>
    <w:p>
      <w:pPr>
        <w:spacing w:after="0" w:line="170" w:lineRule="exact"/>
        <w:rPr>
          <w:sz w:val="20"/>
          <w:szCs w:val="20"/>
          <w:color w:val="auto"/>
        </w:rPr>
      </w:pPr>
    </w:p>
    <w:p>
      <w:pPr>
        <w:jc w:val="both"/>
        <w:ind w:left="20" w:right="20" w:firstLine="487"/>
        <w:spacing w:after="0" w:line="248" w:lineRule="auto"/>
        <w:tabs>
          <w:tab w:leader="none" w:pos="595" w:val="left"/>
        </w:tabs>
        <w:numPr>
          <w:ilvl w:val="0"/>
          <w:numId w:val="209"/>
        </w:numPr>
        <w:rPr>
          <w:rFonts w:ascii="Arial" w:cs="Arial" w:eastAsia="Arial" w:hAnsi="Arial"/>
          <w:sz w:val="15"/>
          <w:szCs w:val="15"/>
          <w:color w:val="010101"/>
        </w:rPr>
      </w:pPr>
      <w:r>
        <w:rPr>
          <w:rFonts w:ascii="Arial" w:cs="Arial" w:eastAsia="Arial" w:hAnsi="Arial"/>
          <w:sz w:val="15"/>
          <w:szCs w:val="15"/>
          <w:color w:val="010101"/>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2" w:lineRule="exact"/>
        <w:rPr>
          <w:sz w:val="20"/>
          <w:szCs w:val="20"/>
          <w:color w:val="auto"/>
        </w:rPr>
      </w:pPr>
    </w:p>
    <w:p>
      <w:pPr>
        <w:ind w:left="20" w:right="20" w:firstLine="487"/>
        <w:spacing w:after="0" w:line="239" w:lineRule="auto"/>
        <w:tabs>
          <w:tab w:leader="none" w:pos="910" w:val="left"/>
        </w:tabs>
        <w:numPr>
          <w:ilvl w:val="0"/>
          <w:numId w:val="210"/>
        </w:numPr>
        <w:rPr>
          <w:rFonts w:ascii="Arial" w:cs="Arial" w:eastAsia="Arial" w:hAnsi="Arial"/>
          <w:sz w:val="16"/>
          <w:szCs w:val="16"/>
          <w:color w:val="auto"/>
        </w:rPr>
      </w:pPr>
      <w:r>
        <w:rPr>
          <w:rFonts w:ascii="Arial" w:cs="Arial" w:eastAsia="Arial" w:hAnsi="Arial"/>
          <w:sz w:val="16"/>
          <w:szCs w:val="16"/>
          <w:color w:val="010101"/>
        </w:rPr>
        <w:t>the application of any Write-Down and Conversion Powers by the applicable Resolution Authority to any such liabilities arising hereunder which may be payable to it by any party hereto that is an Affected Financial Institution; and</w:t>
      </w:r>
    </w:p>
    <w:p>
      <w:pPr>
        <w:spacing w:after="0" w:line="138" w:lineRule="exact"/>
        <w:rPr>
          <w:rFonts w:ascii="Arial" w:cs="Arial" w:eastAsia="Arial" w:hAnsi="Arial"/>
          <w:sz w:val="16"/>
          <w:szCs w:val="16"/>
          <w:color w:val="auto"/>
        </w:rPr>
      </w:pPr>
    </w:p>
    <w:p>
      <w:pPr>
        <w:ind w:left="1000" w:hanging="493"/>
        <w:spacing w:after="0"/>
        <w:tabs>
          <w:tab w:leader="none" w:pos="1000" w:val="left"/>
        </w:tabs>
        <w:numPr>
          <w:ilvl w:val="0"/>
          <w:numId w:val="210"/>
        </w:numPr>
        <w:rPr>
          <w:rFonts w:ascii="Arial" w:cs="Arial" w:eastAsia="Arial" w:hAnsi="Arial"/>
          <w:sz w:val="16"/>
          <w:szCs w:val="16"/>
          <w:color w:val="auto"/>
        </w:rPr>
      </w:pPr>
      <w:r>
        <w:rPr>
          <w:rFonts w:ascii="Arial" w:cs="Arial" w:eastAsia="Arial" w:hAnsi="Arial"/>
          <w:sz w:val="16"/>
          <w:szCs w:val="16"/>
          <w:color w:val="010101"/>
        </w:rPr>
        <w:t>the effects of any Bail-In Action on any such liability, including, if applicable:</w:t>
      </w:r>
    </w:p>
    <w:p>
      <w:pPr>
        <w:spacing w:after="0" w:line="169" w:lineRule="exact"/>
        <w:rPr>
          <w:rFonts w:ascii="Arial" w:cs="Arial" w:eastAsia="Arial" w:hAnsi="Arial"/>
          <w:sz w:val="16"/>
          <w:szCs w:val="16"/>
          <w:color w:val="auto"/>
        </w:rPr>
      </w:pPr>
    </w:p>
    <w:p>
      <w:pPr>
        <w:ind w:left="1480" w:hanging="488"/>
        <w:spacing w:after="0"/>
        <w:tabs>
          <w:tab w:leader="none" w:pos="1480" w:val="left"/>
        </w:tabs>
        <w:numPr>
          <w:ilvl w:val="1"/>
          <w:numId w:val="210"/>
        </w:numPr>
        <w:rPr>
          <w:rFonts w:ascii="Arial" w:cs="Arial" w:eastAsia="Arial" w:hAnsi="Arial"/>
          <w:sz w:val="16"/>
          <w:szCs w:val="16"/>
          <w:color w:val="auto"/>
        </w:rPr>
      </w:pPr>
      <w:r>
        <w:rPr>
          <w:rFonts w:ascii="Arial" w:cs="Arial" w:eastAsia="Arial" w:hAnsi="Arial"/>
          <w:sz w:val="16"/>
          <w:szCs w:val="16"/>
          <w:color w:val="010101"/>
        </w:rPr>
        <w:t>a reduction in full or in part or cancellation of any such liability;</w:t>
      </w:r>
    </w:p>
    <w:p>
      <w:pPr>
        <w:spacing w:after="0" w:line="169" w:lineRule="exact"/>
        <w:rPr>
          <w:rFonts w:ascii="Arial" w:cs="Arial" w:eastAsia="Arial" w:hAnsi="Arial"/>
          <w:sz w:val="16"/>
          <w:szCs w:val="16"/>
          <w:color w:val="auto"/>
        </w:rPr>
      </w:pPr>
    </w:p>
    <w:p>
      <w:pPr>
        <w:jc w:val="both"/>
        <w:ind w:left="500" w:firstLine="492"/>
        <w:spacing w:after="0" w:line="230" w:lineRule="auto"/>
        <w:tabs>
          <w:tab w:leader="none" w:pos="1389" w:val="left"/>
        </w:tabs>
        <w:numPr>
          <w:ilvl w:val="1"/>
          <w:numId w:val="210"/>
        </w:numPr>
        <w:rPr>
          <w:rFonts w:ascii="Arial" w:cs="Arial" w:eastAsia="Arial" w:hAnsi="Arial"/>
          <w:sz w:val="16"/>
          <w:szCs w:val="16"/>
          <w:color w:val="auto"/>
        </w:rPr>
      </w:pPr>
      <w:r>
        <w:rPr>
          <w:rFonts w:ascii="Arial" w:cs="Arial" w:eastAsia="Arial" w:hAnsi="Arial"/>
          <w:sz w:val="16"/>
          <w:szCs w:val="16"/>
          <w:color w:val="010101"/>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37" w:lineRule="exact"/>
        <w:rPr>
          <w:rFonts w:ascii="Arial" w:cs="Arial" w:eastAsia="Arial" w:hAnsi="Arial"/>
          <w:sz w:val="16"/>
          <w:szCs w:val="16"/>
          <w:color w:val="auto"/>
        </w:rPr>
      </w:pPr>
    </w:p>
    <w:p>
      <w:pPr>
        <w:ind w:left="1400" w:hanging="408"/>
        <w:spacing w:after="0"/>
        <w:tabs>
          <w:tab w:leader="none" w:pos="1400" w:val="left"/>
        </w:tabs>
        <w:numPr>
          <w:ilvl w:val="1"/>
          <w:numId w:val="210"/>
        </w:numPr>
        <w:rPr>
          <w:rFonts w:ascii="Arial" w:cs="Arial" w:eastAsia="Arial" w:hAnsi="Arial"/>
          <w:sz w:val="15"/>
          <w:szCs w:val="15"/>
          <w:color w:val="auto"/>
        </w:rPr>
      </w:pPr>
      <w:r>
        <w:rPr>
          <w:rFonts w:ascii="Arial" w:cs="Arial" w:eastAsia="Arial" w:hAnsi="Arial"/>
          <w:sz w:val="15"/>
          <w:szCs w:val="15"/>
          <w:color w:val="010101"/>
        </w:rPr>
        <w:t>the variation of the terms of such liability in connection with the exercise of the Write-Down and Conversion Powers of the applicable Resolution</w:t>
      </w:r>
    </w:p>
    <w:p>
      <w:pPr>
        <w:spacing w:after="0" w:line="3"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010101"/>
        </w:rPr>
        <w:t>Authority.</w:t>
      </w:r>
    </w:p>
    <w:p>
      <w:pPr>
        <w:spacing w:after="0" w:line="156"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9.15.</w:t>
      </w:r>
      <w:r>
        <w:rPr>
          <w:sz w:val="20"/>
          <w:szCs w:val="20"/>
          <w:color w:val="auto"/>
        </w:rPr>
        <w:tab/>
      </w:r>
      <w:r>
        <w:rPr>
          <w:rFonts w:ascii="Arial" w:cs="Arial" w:eastAsia="Arial" w:hAnsi="Arial"/>
          <w:sz w:val="14"/>
          <w:szCs w:val="14"/>
          <w:u w:val="single" w:color="auto"/>
          <w:color w:val="010101"/>
        </w:rPr>
        <w:t>Amendment and Restatement</w:t>
      </w:r>
    </w:p>
    <w:p>
      <w:pPr>
        <w:spacing w:after="0" w:line="170" w:lineRule="exact"/>
        <w:rPr>
          <w:sz w:val="20"/>
          <w:szCs w:val="20"/>
          <w:color w:val="auto"/>
        </w:rPr>
      </w:pPr>
    </w:p>
    <w:p>
      <w:pPr>
        <w:jc w:val="both"/>
        <w:ind w:left="20" w:right="20" w:firstLine="487"/>
        <w:spacing w:after="0" w:line="263" w:lineRule="auto"/>
        <w:tabs>
          <w:tab w:leader="none" w:pos="586" w:val="left"/>
        </w:tabs>
        <w:numPr>
          <w:ilvl w:val="0"/>
          <w:numId w:val="211"/>
        </w:numPr>
        <w:rPr>
          <w:rFonts w:ascii="Arial" w:cs="Arial" w:eastAsia="Arial" w:hAnsi="Arial"/>
          <w:sz w:val="14"/>
          <w:szCs w:val="14"/>
          <w:color w:val="010101"/>
        </w:rPr>
      </w:pPr>
      <w:r>
        <w:rPr>
          <w:rFonts w:ascii="Arial" w:cs="Arial" w:eastAsia="Arial" w:hAnsi="Arial"/>
          <w:sz w:val="14"/>
          <w:szCs w:val="14"/>
          <w:color w:val="010101"/>
        </w:rPr>
        <w:t>This Agreement is intended to amend and restate the Existing Credit Agreement, without novation, with the Commitments set forth herein and the Lenders party hereto. The applicable Credit Parties hereby ratify, affirm and acknowledge all of their obligations in respect of the Existing Credit Agreement and the related documents and agreements delivered by them thereunder, as amended by this Agreement. The Lenders hereby agree that the commitments with respect to the Existing Credit Agreement are amended and restated to be the Commitments of this Agreement and hereby waive, on the Effective Date only, any pro rata payment provisions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77" w:name="page178"/>
    <w:bookmarkEnd w:id="177"/>
    <w:p>
      <w:pPr>
        <w:jc w:val="both"/>
        <w:ind w:left="20"/>
        <w:spacing w:after="0" w:line="225" w:lineRule="auto"/>
        <w:rPr>
          <w:sz w:val="20"/>
          <w:szCs w:val="20"/>
          <w:color w:val="auto"/>
        </w:rPr>
      </w:pPr>
      <w:r>
        <w:rPr>
          <w:rFonts w:ascii="Arial" w:cs="Arial" w:eastAsia="Arial" w:hAnsi="Arial"/>
          <w:sz w:val="16"/>
          <w:szCs w:val="16"/>
          <w:color w:val="010101"/>
        </w:rPr>
        <w:t xml:space="preserve">of this Agreement to the extent any such payments are required to repay any obligations owing to any lender under the Existing Credit Agreement that will not continue as a Lender under this Agreement. On the Effective Date, all loans of the Credit Parties outstanding as of such date under the Existing Credit Agreement, as amended, shall be deemed to be Advances under the corresponding facilities described herein without any further action by any Person; </w:t>
      </w:r>
      <w:r>
        <w:rPr>
          <w:rFonts w:ascii="Arial" w:cs="Arial" w:eastAsia="Arial" w:hAnsi="Arial"/>
          <w:sz w:val="16"/>
          <w:szCs w:val="16"/>
          <w:u w:val="single" w:color="auto"/>
          <w:color w:val="010101"/>
        </w:rPr>
        <w:t>provided</w:t>
      </w:r>
      <w:r>
        <w:rPr>
          <w:rFonts w:ascii="Arial" w:cs="Arial" w:eastAsia="Arial" w:hAnsi="Arial"/>
          <w:sz w:val="16"/>
          <w:szCs w:val="16"/>
          <w:color w:val="010101"/>
        </w:rPr>
        <w:t xml:space="preserve"> that such continued loans will be reallocated, if necessary, among the Lenders in accordance with their Commitments hereunder.</w:t>
      </w:r>
    </w:p>
    <w:p>
      <w:pPr>
        <w:spacing w:after="0" w:line="14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9.16.</w:t>
      </w:r>
      <w:r>
        <w:rPr>
          <w:sz w:val="20"/>
          <w:szCs w:val="20"/>
          <w:color w:val="auto"/>
        </w:rPr>
        <w:tab/>
      </w:r>
      <w:r>
        <w:rPr>
          <w:rFonts w:ascii="Arial" w:cs="Arial" w:eastAsia="Arial" w:hAnsi="Arial"/>
          <w:sz w:val="14"/>
          <w:szCs w:val="14"/>
          <w:u w:val="single" w:color="auto"/>
          <w:color w:val="010101"/>
        </w:rPr>
        <w:t>Judgment Currency</w:t>
      </w:r>
    </w:p>
    <w:p>
      <w:pPr>
        <w:spacing w:after="0" w:line="170" w:lineRule="exact"/>
        <w:rPr>
          <w:sz w:val="20"/>
          <w:szCs w:val="20"/>
          <w:color w:val="auto"/>
        </w:rPr>
      </w:pPr>
    </w:p>
    <w:p>
      <w:pPr>
        <w:jc w:val="both"/>
        <w:ind w:left="20" w:right="20" w:firstLine="487"/>
        <w:spacing w:after="0" w:line="230" w:lineRule="auto"/>
        <w:tabs>
          <w:tab w:leader="none" w:pos="593" w:val="left"/>
        </w:tabs>
        <w:numPr>
          <w:ilvl w:val="0"/>
          <w:numId w:val="212"/>
        </w:numPr>
        <w:rPr>
          <w:rFonts w:ascii="Arial" w:cs="Arial" w:eastAsia="Arial" w:hAnsi="Arial"/>
          <w:sz w:val="15"/>
          <w:szCs w:val="15"/>
          <w:color w:val="010101"/>
        </w:rPr>
      </w:pPr>
      <w:r>
        <w:rPr>
          <w:rFonts w:ascii="Arial" w:cs="Arial" w:eastAsia="Arial" w:hAnsi="Arial"/>
          <w:sz w:val="15"/>
          <w:szCs w:val="15"/>
          <w:color w:val="010101"/>
        </w:rPr>
        <w:t>If, for the purposes of obtaining judgment in any court, it is necessary to convert a sum due hereunder or under any other Loan Document in one currency into another currency, the rate of exchange used shall be the Spot Rate. The obligation of any Credit Party in respect of any such sum due from it to the Administrative Agent or any Lender hereunder or under the other Loan Documents shall, notwithstanding any judgment in a currency (the “</w:t>
      </w:r>
      <w:r>
        <w:rPr>
          <w:rFonts w:ascii="Arial" w:cs="Arial" w:eastAsia="Arial" w:hAnsi="Arial"/>
          <w:sz w:val="15"/>
          <w:szCs w:val="15"/>
          <w:u w:val="single" w:color="auto"/>
          <w:color w:val="010101"/>
        </w:rPr>
        <w:t>Judgment Currency</w:t>
      </w:r>
      <w:r>
        <w:rPr>
          <w:rFonts w:ascii="Arial" w:cs="Arial" w:eastAsia="Arial" w:hAnsi="Arial"/>
          <w:sz w:val="15"/>
          <w:szCs w:val="15"/>
          <w:color w:val="010101"/>
        </w:rPr>
        <w:t>”) other than that in which such sum is denominated in accordance with the applicable provisions of this Agreement (the “</w:t>
      </w:r>
      <w:r>
        <w:rPr>
          <w:rFonts w:ascii="Arial" w:cs="Arial" w:eastAsia="Arial" w:hAnsi="Arial"/>
          <w:sz w:val="15"/>
          <w:szCs w:val="15"/>
          <w:u w:val="single" w:color="auto"/>
          <w:color w:val="010101"/>
        </w:rPr>
        <w:t>Agreement Currency</w:t>
      </w:r>
      <w:r>
        <w:rPr>
          <w:rFonts w:ascii="Arial" w:cs="Arial" w:eastAsia="Arial" w:hAnsi="Arial"/>
          <w:sz w:val="15"/>
          <w:szCs w:val="15"/>
          <w:color w:val="010101"/>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each Credit Party agrees, as a separate obligation and notwithstanding any such judgment, to indemnify the Administrative Agent or such Lender or 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Company, for itself or another Borrower (or to any other Person who may be entitled thereto under Applicable Law).</w:t>
      </w:r>
    </w:p>
    <w:p>
      <w:pPr>
        <w:spacing w:after="0" w:line="142"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9.17.</w:t>
      </w:r>
      <w:r>
        <w:rPr>
          <w:sz w:val="20"/>
          <w:szCs w:val="20"/>
          <w:color w:val="auto"/>
        </w:rPr>
        <w:tab/>
      </w:r>
      <w:r>
        <w:rPr>
          <w:rFonts w:ascii="Arial" w:cs="Arial" w:eastAsia="Arial" w:hAnsi="Arial"/>
          <w:sz w:val="14"/>
          <w:szCs w:val="14"/>
          <w:u w:val="single" w:color="auto"/>
          <w:color w:val="010101"/>
        </w:rPr>
        <w:t>Appointment of the Company</w:t>
      </w:r>
    </w:p>
    <w:p>
      <w:pPr>
        <w:spacing w:after="0" w:line="170" w:lineRule="exact"/>
        <w:rPr>
          <w:sz w:val="20"/>
          <w:szCs w:val="20"/>
          <w:color w:val="auto"/>
        </w:rPr>
      </w:pPr>
    </w:p>
    <w:p>
      <w:pPr>
        <w:jc w:val="both"/>
        <w:ind w:left="20" w:right="20" w:firstLine="487"/>
        <w:spacing w:after="0" w:line="220" w:lineRule="auto"/>
        <w:tabs>
          <w:tab w:leader="none" w:pos="590" w:val="left"/>
        </w:tabs>
        <w:numPr>
          <w:ilvl w:val="0"/>
          <w:numId w:val="213"/>
        </w:numPr>
        <w:rPr>
          <w:rFonts w:ascii="Arial" w:cs="Arial" w:eastAsia="Arial" w:hAnsi="Arial"/>
          <w:sz w:val="16"/>
          <w:szCs w:val="16"/>
          <w:color w:val="010101"/>
        </w:rPr>
      </w:pPr>
      <w:r>
        <w:rPr>
          <w:rFonts w:ascii="Arial" w:cs="Arial" w:eastAsia="Arial" w:hAnsi="Arial"/>
          <w:sz w:val="16"/>
          <w:szCs w:val="16"/>
          <w:color w:val="010101"/>
        </w:rPr>
        <w:t>Each Foreign Borrower hereby irrevocably appoints the Company as its agent to act as specified in the Loan Documents, and the Company hereby accepts such appointment. Each Foreign Borrower hereby irrevocably authorizes and directs the Company to take on its behalf all actions required of such Person under the Loan Documents, and to exercise all powers and to perform all duties of such Person thereunder, including, (a) to submit and receive all certificates, notices, elections and communications and (b) to receive and disburse the proceeds of all Advances. Any of the foregoing taken or received by the Company on behalf of any Foreign Borrower will be deemed for all purposes to have been taken or received by such Foreign Borrower and will be binding on such Person to the same extent as if directly taken or received by such Foreign Borrower.</w:t>
      </w:r>
    </w:p>
    <w:p>
      <w:pPr>
        <w:spacing w:after="0" w:line="15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9.18.</w:t>
      </w:r>
      <w:r>
        <w:rPr>
          <w:sz w:val="20"/>
          <w:szCs w:val="20"/>
          <w:color w:val="auto"/>
        </w:rPr>
        <w:tab/>
      </w:r>
      <w:r>
        <w:rPr>
          <w:rFonts w:ascii="Arial" w:cs="Arial" w:eastAsia="Arial" w:hAnsi="Arial"/>
          <w:sz w:val="14"/>
          <w:szCs w:val="14"/>
          <w:u w:val="single" w:color="auto"/>
          <w:color w:val="010101"/>
        </w:rPr>
        <w:t>[reserved]</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9.19.</w:t>
      </w:r>
      <w:r>
        <w:rPr>
          <w:sz w:val="20"/>
          <w:szCs w:val="20"/>
          <w:color w:val="auto"/>
        </w:rPr>
        <w:tab/>
      </w:r>
      <w:r>
        <w:rPr>
          <w:rFonts w:ascii="Arial" w:cs="Arial" w:eastAsia="Arial" w:hAnsi="Arial"/>
          <w:sz w:val="14"/>
          <w:szCs w:val="14"/>
          <w:u w:val="single" w:color="auto"/>
          <w:color w:val="010101"/>
        </w:rPr>
        <w:t>Australian Code of Banking Practice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78" w:name="page179"/>
    <w:bookmarkEnd w:id="178"/>
    <w:p>
      <w:pPr>
        <w:ind w:left="500" w:right="1700" w:firstLine="7"/>
        <w:spacing w:after="0" w:line="461" w:lineRule="auto"/>
        <w:tabs>
          <w:tab w:leader="none" w:pos="578" w:val="left"/>
        </w:tabs>
        <w:numPr>
          <w:ilvl w:val="0"/>
          <w:numId w:val="214"/>
        </w:numPr>
        <w:rPr>
          <w:rFonts w:ascii="Arial" w:cs="Arial" w:eastAsia="Arial" w:hAnsi="Arial"/>
          <w:sz w:val="16"/>
          <w:szCs w:val="16"/>
          <w:color w:val="010101"/>
        </w:rPr>
      </w:pPr>
      <w:r>
        <w:rPr>
          <w:rFonts w:ascii="Arial" w:cs="Arial" w:eastAsia="Arial" w:hAnsi="Arial"/>
          <w:sz w:val="16"/>
          <w:szCs w:val="16"/>
          <w:color w:val="010101"/>
        </w:rPr>
        <w:t xml:space="preserve">The Australian Bankers' Association Code of Banking Practice does not apply to the Loan Documents and the transactions under them. </w:t>
      </w:r>
      <w:r>
        <w:rPr>
          <w:rFonts w:ascii="Arial" w:cs="Arial" w:eastAsia="Arial" w:hAnsi="Arial"/>
          <w:sz w:val="16"/>
          <w:szCs w:val="16"/>
          <w:color w:val="000000"/>
        </w:rPr>
        <w:t xml:space="preserve">SECTION 9.20. </w:t>
      </w:r>
      <w:r>
        <w:rPr>
          <w:rFonts w:ascii="Arial" w:cs="Arial" w:eastAsia="Arial" w:hAnsi="Arial"/>
          <w:sz w:val="16"/>
          <w:szCs w:val="16"/>
          <w:u w:val="single" w:color="auto"/>
          <w:color w:val="010101"/>
        </w:rPr>
        <w:t>Acknowledgement Regarding Any Supported QFCs</w:t>
      </w:r>
    </w:p>
    <w:p>
      <w:pPr>
        <w:jc w:val="both"/>
        <w:ind w:left="20" w:firstLine="487"/>
        <w:spacing w:after="0" w:line="220" w:lineRule="auto"/>
        <w:tabs>
          <w:tab w:leader="none" w:pos="588" w:val="left"/>
        </w:tabs>
        <w:numPr>
          <w:ilvl w:val="0"/>
          <w:numId w:val="215"/>
        </w:numPr>
        <w:rPr>
          <w:rFonts w:ascii="Arial" w:cs="Arial" w:eastAsia="Arial" w:hAnsi="Arial"/>
          <w:sz w:val="16"/>
          <w:szCs w:val="16"/>
          <w:color w:val="010101"/>
        </w:rPr>
      </w:pPr>
      <w:r>
        <w:rPr>
          <w:rFonts w:ascii="Arial" w:cs="Arial" w:eastAsia="Arial" w:hAnsi="Arial"/>
          <w:sz w:val="16"/>
          <w:szCs w:val="16"/>
          <w:color w:val="010101"/>
        </w:rPr>
        <w:t xml:space="preserve">To the extent that the Loan Documents </w:t>
      </w:r>
      <w:r>
        <w:rPr>
          <w:rFonts w:ascii="Arial" w:cs="Arial" w:eastAsia="Arial" w:hAnsi="Arial"/>
          <w:sz w:val="16"/>
          <w:szCs w:val="16"/>
          <w:u w:val="single" w:color="auto"/>
          <w:color w:val="010101"/>
        </w:rPr>
        <w:t>provide</w:t>
      </w:r>
      <w:r>
        <w:rPr>
          <w:rFonts w:ascii="Arial" w:cs="Arial" w:eastAsia="Arial" w:hAnsi="Arial"/>
          <w:sz w:val="16"/>
          <w:szCs w:val="16"/>
          <w:color w:val="010101"/>
        </w:rPr>
        <w:t xml:space="preserve"> support, through a guarantee or otherwise, for Hedge Agreements or any other agreement or instrument that is a QFC (such support, “</w:t>
      </w:r>
      <w:r>
        <w:rPr>
          <w:rFonts w:ascii="Arial" w:cs="Arial" w:eastAsia="Arial" w:hAnsi="Arial"/>
          <w:sz w:val="16"/>
          <w:szCs w:val="16"/>
          <w:u w:val="single" w:color="auto"/>
          <w:color w:val="010101"/>
        </w:rPr>
        <w:t>QFC Credit Support</w:t>
      </w:r>
      <w:r>
        <w:rPr>
          <w:rFonts w:ascii="Arial" w:cs="Arial" w:eastAsia="Arial" w:hAnsi="Arial"/>
          <w:sz w:val="16"/>
          <w:szCs w:val="16"/>
          <w:color w:val="010101"/>
        </w:rPr>
        <w:t>” and, each such QFC, a “</w:t>
      </w:r>
      <w:r>
        <w:rPr>
          <w:rFonts w:ascii="Arial" w:cs="Arial" w:eastAsia="Arial" w:hAnsi="Arial"/>
          <w:sz w:val="16"/>
          <w:szCs w:val="16"/>
          <w:u w:val="single" w:color="auto"/>
          <w:color w:val="010101"/>
        </w:rPr>
        <w:t>Supported QFC</w:t>
      </w:r>
      <w:r>
        <w:rPr>
          <w:rFonts w:ascii="Arial" w:cs="Arial" w:eastAsia="Arial" w:hAnsi="Arial"/>
          <w:sz w:val="16"/>
          <w:szCs w:val="16"/>
          <w:color w:val="010101"/>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010101"/>
        </w:rPr>
        <w:t>U.S. Special Resolution Regimes</w:t>
      </w:r>
      <w:r>
        <w:rPr>
          <w:rFonts w:ascii="Arial" w:cs="Arial" w:eastAsia="Arial" w:hAnsi="Arial"/>
          <w:sz w:val="16"/>
          <w:szCs w:val="16"/>
          <w:color w:val="010101"/>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0" w:lineRule="exact"/>
        <w:rPr>
          <w:sz w:val="20"/>
          <w:szCs w:val="20"/>
          <w:color w:val="auto"/>
        </w:rPr>
      </w:pPr>
    </w:p>
    <w:p>
      <w:pPr>
        <w:jc w:val="both"/>
        <w:ind w:left="20" w:firstLine="487"/>
        <w:spacing w:after="0" w:line="250" w:lineRule="auto"/>
        <w:tabs>
          <w:tab w:leader="none" w:pos="910" w:val="left"/>
        </w:tabs>
        <w:numPr>
          <w:ilvl w:val="0"/>
          <w:numId w:val="216"/>
        </w:numPr>
        <w:rPr>
          <w:rFonts w:ascii="Arial" w:cs="Arial" w:eastAsia="Arial" w:hAnsi="Arial"/>
          <w:sz w:val="14"/>
          <w:szCs w:val="14"/>
          <w:color w:val="auto"/>
        </w:rPr>
      </w:pPr>
      <w:r>
        <w:rPr>
          <w:rFonts w:ascii="Arial" w:cs="Arial" w:eastAsia="Arial" w:hAnsi="Arial"/>
          <w:sz w:val="14"/>
          <w:szCs w:val="14"/>
          <w:color w:val="010101"/>
        </w:rPr>
        <w:t>In the event a Covered Entity that is party to a Supported QFC (each, a “</w:t>
      </w:r>
      <w:r>
        <w:rPr>
          <w:rFonts w:ascii="Arial" w:cs="Arial" w:eastAsia="Arial" w:hAnsi="Arial"/>
          <w:sz w:val="14"/>
          <w:szCs w:val="14"/>
          <w:u w:val="single" w:color="auto"/>
          <w:color w:val="010101"/>
        </w:rPr>
        <w:t>Covered Party</w:t>
      </w:r>
      <w:r>
        <w:rPr>
          <w:rFonts w:ascii="Arial" w:cs="Arial" w:eastAsia="Arial" w:hAnsi="Arial"/>
          <w:sz w:val="14"/>
          <w:szCs w:val="14"/>
          <w:color w:val="010101"/>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83" w:lineRule="exact"/>
        <w:rPr>
          <w:rFonts w:ascii="Arial" w:cs="Arial" w:eastAsia="Arial" w:hAnsi="Arial"/>
          <w:sz w:val="14"/>
          <w:szCs w:val="14"/>
          <w:color w:val="auto"/>
        </w:rPr>
      </w:pPr>
    </w:p>
    <w:p>
      <w:pPr>
        <w:ind w:left="1000" w:hanging="493"/>
        <w:spacing w:after="0"/>
        <w:tabs>
          <w:tab w:leader="none" w:pos="1000" w:val="left"/>
        </w:tabs>
        <w:numPr>
          <w:ilvl w:val="0"/>
          <w:numId w:val="216"/>
        </w:numPr>
        <w:rPr>
          <w:rFonts w:ascii="Arial" w:cs="Arial" w:eastAsia="Arial" w:hAnsi="Arial"/>
          <w:sz w:val="15"/>
          <w:szCs w:val="15"/>
          <w:color w:val="auto"/>
        </w:rPr>
      </w:pPr>
      <w:r>
        <w:rPr>
          <w:rFonts w:ascii="Arial" w:cs="Arial" w:eastAsia="Arial" w:hAnsi="Arial"/>
          <w:sz w:val="15"/>
          <w:szCs w:val="15"/>
          <w:color w:val="010101"/>
        </w:rPr>
        <w:t xml:space="preserve">As used in this </w:t>
      </w:r>
      <w:r>
        <w:rPr>
          <w:rFonts w:ascii="Arial" w:cs="Arial" w:eastAsia="Arial" w:hAnsi="Arial"/>
          <w:sz w:val="15"/>
          <w:szCs w:val="15"/>
          <w:u w:val="single" w:color="auto"/>
          <w:color w:val="010101"/>
        </w:rPr>
        <w:t>Section 9.20</w:t>
      </w:r>
      <w:r>
        <w:rPr>
          <w:rFonts w:ascii="Arial" w:cs="Arial" w:eastAsia="Arial" w:hAnsi="Arial"/>
          <w:sz w:val="15"/>
          <w:szCs w:val="15"/>
          <w:color w:val="010101"/>
        </w:rPr>
        <w:t>, the following terms have the following meanings: “</w:t>
      </w:r>
      <w:r>
        <w:rPr>
          <w:rFonts w:ascii="Arial" w:cs="Arial" w:eastAsia="Arial" w:hAnsi="Arial"/>
          <w:sz w:val="15"/>
          <w:szCs w:val="15"/>
          <w:u w:val="single" w:color="auto"/>
          <w:color w:val="010101"/>
        </w:rPr>
        <w:t>BHC Act Affiliate</w:t>
      </w:r>
      <w:r>
        <w:rPr>
          <w:rFonts w:ascii="Arial" w:cs="Arial" w:eastAsia="Arial" w:hAnsi="Arial"/>
          <w:sz w:val="15"/>
          <w:szCs w:val="15"/>
          <w:color w:val="010101"/>
        </w:rPr>
        <w:t>” of a party means an “affiliate” (as such term is</w:t>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6"/>
          <w:szCs w:val="16"/>
          <w:color w:val="010101"/>
        </w:rPr>
        <w:t>defined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under, and interpreted in accordance with, 12 U.S.C. 1841(k)) of such party. “</w:t>
      </w:r>
      <w:r>
        <w:rPr>
          <w:rFonts w:ascii="Arial" w:cs="Arial" w:eastAsia="Arial" w:hAnsi="Arial"/>
          <w:sz w:val="16"/>
          <w:szCs w:val="16"/>
          <w:u w:val="single" w:color="auto"/>
          <w:color w:val="010101"/>
        </w:rPr>
        <w:t>Covered Entity</w:t>
      </w:r>
      <w:r>
        <w:rPr>
          <w:rFonts w:ascii="Arial" w:cs="Arial" w:eastAsia="Arial" w:hAnsi="Arial"/>
          <w:sz w:val="16"/>
          <w:szCs w:val="16"/>
          <w:color w:val="010101"/>
        </w:rPr>
        <w:t>” means any of the following:</w:t>
      </w:r>
    </w:p>
    <w:p>
      <w:pPr>
        <w:spacing w:after="0" w:line="79" w:lineRule="exact"/>
        <w:rPr>
          <w:sz w:val="20"/>
          <w:szCs w:val="20"/>
          <w:color w:val="auto"/>
        </w:rPr>
      </w:pPr>
    </w:p>
    <w:p>
      <w:pPr>
        <w:ind w:left="1880" w:hanging="342"/>
        <w:spacing w:after="0"/>
        <w:tabs>
          <w:tab w:leader="none" w:pos="1880" w:val="left"/>
        </w:tabs>
        <w:numPr>
          <w:ilvl w:val="0"/>
          <w:numId w:val="217"/>
        </w:numPr>
        <w:rPr>
          <w:rFonts w:ascii="Arial" w:cs="Arial" w:eastAsia="Arial" w:hAnsi="Arial"/>
          <w:sz w:val="16"/>
          <w:szCs w:val="16"/>
          <w:color w:val="auto"/>
        </w:rPr>
      </w:pPr>
      <w:r>
        <w:rPr>
          <w:rFonts w:ascii="Arial" w:cs="Arial" w:eastAsia="Arial" w:hAnsi="Arial"/>
          <w:sz w:val="16"/>
          <w:szCs w:val="16"/>
          <w:color w:val="010101"/>
        </w:rPr>
        <w:t>a “covered entity” as that term is defined in, and interpreted in accordance with, 12 C.F.R. § 252.82(b);</w:t>
      </w:r>
    </w:p>
    <w:p>
      <w:pPr>
        <w:spacing w:after="0" w:line="159" w:lineRule="exact"/>
        <w:rPr>
          <w:rFonts w:ascii="Arial" w:cs="Arial" w:eastAsia="Arial" w:hAnsi="Arial"/>
          <w:sz w:val="16"/>
          <w:szCs w:val="16"/>
          <w:color w:val="auto"/>
        </w:rPr>
      </w:pPr>
    </w:p>
    <w:p>
      <w:pPr>
        <w:ind w:left="1880" w:hanging="342"/>
        <w:spacing w:after="0"/>
        <w:tabs>
          <w:tab w:leader="none" w:pos="1880" w:val="left"/>
        </w:tabs>
        <w:numPr>
          <w:ilvl w:val="0"/>
          <w:numId w:val="217"/>
        </w:numPr>
        <w:rPr>
          <w:rFonts w:ascii="Arial" w:cs="Arial" w:eastAsia="Arial" w:hAnsi="Arial"/>
          <w:sz w:val="16"/>
          <w:szCs w:val="16"/>
          <w:color w:val="auto"/>
        </w:rPr>
      </w:pPr>
      <w:r>
        <w:rPr>
          <w:rFonts w:ascii="Arial" w:cs="Arial" w:eastAsia="Arial" w:hAnsi="Arial"/>
          <w:sz w:val="16"/>
          <w:szCs w:val="16"/>
          <w:color w:val="010101"/>
        </w:rPr>
        <w:t>a “covered bank” as that term is defined in, and interpreted in accordance with, 12 C.F.R. § 47.3(b); or</w:t>
      </w:r>
    </w:p>
    <w:p>
      <w:pPr>
        <w:spacing w:after="0" w:line="169" w:lineRule="exact"/>
        <w:rPr>
          <w:rFonts w:ascii="Arial" w:cs="Arial" w:eastAsia="Arial" w:hAnsi="Arial"/>
          <w:sz w:val="16"/>
          <w:szCs w:val="16"/>
          <w:color w:val="auto"/>
        </w:rPr>
      </w:pPr>
    </w:p>
    <w:p>
      <w:pPr>
        <w:ind w:left="1880" w:hanging="342"/>
        <w:spacing w:after="0"/>
        <w:tabs>
          <w:tab w:leader="none" w:pos="1880" w:val="left"/>
        </w:tabs>
        <w:numPr>
          <w:ilvl w:val="0"/>
          <w:numId w:val="217"/>
        </w:numPr>
        <w:rPr>
          <w:rFonts w:ascii="Arial" w:cs="Arial" w:eastAsia="Arial" w:hAnsi="Arial"/>
          <w:sz w:val="16"/>
          <w:szCs w:val="16"/>
          <w:color w:val="auto"/>
        </w:rPr>
      </w:pPr>
      <w:r>
        <w:rPr>
          <w:rFonts w:ascii="Arial" w:cs="Arial" w:eastAsia="Arial" w:hAnsi="Arial"/>
          <w:sz w:val="16"/>
          <w:szCs w:val="16"/>
          <w:color w:val="010101"/>
        </w:rPr>
        <w:t>a “covered FSI” as that term is defined in, and interpreted in accordance with, 12 C.F.R. § 382.2(b).</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79" w:name="page180"/>
    <w:bookmarkEnd w:id="179"/>
    <w:p>
      <w:pPr>
        <w:ind w:left="1000"/>
        <w:spacing w:after="0"/>
        <w:rPr>
          <w:sz w:val="20"/>
          <w:szCs w:val="20"/>
          <w:color w:val="auto"/>
        </w:rPr>
      </w:pPr>
      <w:r>
        <w:rPr>
          <w:rFonts w:ascii="Arial" w:cs="Arial" w:eastAsia="Arial" w:hAnsi="Arial"/>
          <w:sz w:val="14"/>
          <w:szCs w:val="14"/>
          <w:color w:val="010101"/>
        </w:rPr>
        <w:t>“</w:t>
      </w:r>
      <w:r>
        <w:rPr>
          <w:rFonts w:ascii="Arial" w:cs="Arial" w:eastAsia="Arial" w:hAnsi="Arial"/>
          <w:sz w:val="14"/>
          <w:szCs w:val="14"/>
          <w:u w:val="single" w:color="auto"/>
          <w:color w:val="010101"/>
        </w:rPr>
        <w:t>Default Right</w:t>
      </w:r>
      <w:r>
        <w:rPr>
          <w:rFonts w:ascii="Arial" w:cs="Arial" w:eastAsia="Arial" w:hAnsi="Arial"/>
          <w:sz w:val="14"/>
          <w:szCs w:val="14"/>
          <w:color w:val="010101"/>
        </w:rPr>
        <w:t>” has the meaning assigned to that term in, and shall be interpreted in accordance with, 12 C.F.R. §§ 252.81, 47.2 or 382.1, as applicable.</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5"/>
          <w:szCs w:val="15"/>
          <w:color w:val="010101"/>
        </w:rPr>
        <w:t>“</w:t>
      </w:r>
      <w:r>
        <w:rPr>
          <w:rFonts w:ascii="Arial" w:cs="Arial" w:eastAsia="Arial" w:hAnsi="Arial"/>
          <w:sz w:val="15"/>
          <w:szCs w:val="15"/>
          <w:u w:val="single" w:color="auto"/>
          <w:color w:val="010101"/>
        </w:rPr>
        <w:t>QFC</w:t>
      </w:r>
      <w:r>
        <w:rPr>
          <w:rFonts w:ascii="Arial" w:cs="Arial" w:eastAsia="Arial" w:hAnsi="Arial"/>
          <w:sz w:val="15"/>
          <w:szCs w:val="15"/>
          <w:color w:val="010101"/>
        </w:rPr>
        <w:t>” has the meaning assigned to the term “qualified financial contract” in, and shall be interpreted in accordance with, 12 U.S.C. 5390(c)(8)(D).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SECTION 9.21. </w:t>
      </w:r>
      <w:r>
        <w:rPr>
          <w:rFonts w:ascii="Arial" w:cs="Arial" w:eastAsia="Arial" w:hAnsi="Arial"/>
          <w:sz w:val="16"/>
          <w:szCs w:val="16"/>
          <w:u w:val="single" w:color="auto"/>
          <w:color w:val="010101"/>
        </w:rPr>
        <w:t>Crediting of Payments and Proceeds</w:t>
      </w:r>
    </w:p>
    <w:p>
      <w:pPr>
        <w:spacing w:after="0" w:line="160" w:lineRule="exact"/>
        <w:rPr>
          <w:sz w:val="20"/>
          <w:szCs w:val="20"/>
          <w:color w:val="auto"/>
        </w:rPr>
      </w:pPr>
    </w:p>
    <w:p>
      <w:pPr>
        <w:jc w:val="both"/>
        <w:ind w:left="20" w:right="20" w:firstLine="487"/>
        <w:spacing w:after="0" w:line="225" w:lineRule="auto"/>
        <w:tabs>
          <w:tab w:leader="none" w:pos="587" w:val="left"/>
        </w:tabs>
        <w:numPr>
          <w:ilvl w:val="0"/>
          <w:numId w:val="218"/>
        </w:numPr>
        <w:rPr>
          <w:rFonts w:ascii="Arial" w:cs="Arial" w:eastAsia="Arial" w:hAnsi="Arial"/>
          <w:sz w:val="16"/>
          <w:szCs w:val="16"/>
          <w:color w:val="010101"/>
        </w:rPr>
      </w:pPr>
      <w:r>
        <w:rPr>
          <w:rFonts w:ascii="Arial" w:cs="Arial" w:eastAsia="Arial" w:hAnsi="Arial"/>
          <w:sz w:val="16"/>
          <w:szCs w:val="16"/>
          <w:color w:val="010101"/>
        </w:rPr>
        <w:t xml:space="preserve">In the event that the Obligations have been accelerated pursuant to </w:t>
      </w:r>
      <w:r>
        <w:rPr>
          <w:rFonts w:ascii="Arial" w:cs="Arial" w:eastAsia="Arial" w:hAnsi="Arial"/>
          <w:sz w:val="16"/>
          <w:szCs w:val="16"/>
          <w:u w:val="single" w:color="auto"/>
          <w:color w:val="010101"/>
        </w:rPr>
        <w:t>Section 6.01</w:t>
      </w:r>
      <w:r>
        <w:rPr>
          <w:rFonts w:ascii="Arial" w:cs="Arial" w:eastAsia="Arial" w:hAnsi="Arial"/>
          <w:sz w:val="16"/>
          <w:szCs w:val="16"/>
          <w:color w:val="010101"/>
        </w:rPr>
        <w:t xml:space="preserve"> or the Administrative Agent or any Lender has exercised any remedy set forth in this Agreement or any other Loan Document, all payments received on account of the Borrower Obligations and Guaranteed Obligations and all net proceeds from the enforcement of the Borrower Obligations and Guaranteed Obligations shall, subject to the provisions of </w:t>
      </w:r>
      <w:r>
        <w:rPr>
          <w:rFonts w:ascii="Arial" w:cs="Arial" w:eastAsia="Arial" w:hAnsi="Arial"/>
          <w:sz w:val="16"/>
          <w:szCs w:val="16"/>
          <w:u w:val="single" w:color="auto"/>
          <w:color w:val="010101"/>
        </w:rPr>
        <w:t>Sections 2.18</w:t>
      </w:r>
      <w:r>
        <w:rPr>
          <w:rFonts w:ascii="Arial" w:cs="Arial" w:eastAsia="Arial" w:hAnsi="Arial"/>
          <w:sz w:val="16"/>
          <w:szCs w:val="16"/>
          <w:color w:val="010101"/>
        </w:rPr>
        <w:t xml:space="preserve">, </w:t>
      </w:r>
      <w:r>
        <w:rPr>
          <w:rFonts w:ascii="Arial" w:cs="Arial" w:eastAsia="Arial" w:hAnsi="Arial"/>
          <w:sz w:val="16"/>
          <w:szCs w:val="16"/>
          <w:u w:val="single" w:color="auto"/>
          <w:color w:val="010101"/>
        </w:rPr>
        <w:t>2.21</w:t>
      </w:r>
      <w:r>
        <w:rPr>
          <w:rFonts w:ascii="Arial" w:cs="Arial" w:eastAsia="Arial" w:hAnsi="Arial"/>
          <w:sz w:val="16"/>
          <w:szCs w:val="16"/>
          <w:color w:val="010101"/>
        </w:rPr>
        <w:t xml:space="preserve"> and </w:t>
      </w:r>
      <w:r>
        <w:rPr>
          <w:rFonts w:ascii="Arial" w:cs="Arial" w:eastAsia="Arial" w:hAnsi="Arial"/>
          <w:sz w:val="16"/>
          <w:szCs w:val="16"/>
          <w:u w:val="single" w:color="auto"/>
          <w:color w:val="010101"/>
        </w:rPr>
        <w:t>10.12</w:t>
      </w:r>
      <w:r>
        <w:rPr>
          <w:rFonts w:ascii="Arial" w:cs="Arial" w:eastAsia="Arial" w:hAnsi="Arial"/>
          <w:sz w:val="16"/>
          <w:szCs w:val="16"/>
          <w:color w:val="010101"/>
        </w:rPr>
        <w:t>, be applied by the Administrative Agent as follows:</w:t>
      </w:r>
    </w:p>
    <w:p>
      <w:pPr>
        <w:spacing w:after="0" w:line="149" w:lineRule="exact"/>
        <w:rPr>
          <w:sz w:val="20"/>
          <w:szCs w:val="20"/>
          <w:color w:val="auto"/>
        </w:rPr>
      </w:pPr>
    </w:p>
    <w:p>
      <w:pPr>
        <w:ind w:left="500"/>
        <w:spacing w:after="0" w:line="239" w:lineRule="auto"/>
        <w:rPr>
          <w:sz w:val="20"/>
          <w:szCs w:val="20"/>
          <w:color w:val="auto"/>
        </w:rPr>
      </w:pPr>
      <w:r>
        <w:rPr>
          <w:rFonts w:ascii="Arial" w:cs="Arial" w:eastAsia="Arial" w:hAnsi="Arial"/>
          <w:sz w:val="16"/>
          <w:szCs w:val="16"/>
          <w:u w:val="single" w:color="auto"/>
          <w:color w:val="010101"/>
        </w:rPr>
        <w:t>First</w:t>
      </w:r>
      <w:r>
        <w:rPr>
          <w:rFonts w:ascii="Arial" w:cs="Arial" w:eastAsia="Arial" w:hAnsi="Arial"/>
          <w:sz w:val="16"/>
          <w:szCs w:val="16"/>
          <w:color w:val="010101"/>
        </w:rPr>
        <w:t>, to payment of that portion of the Obligations constituting fees, indemnities, expenses and other amounts, including attorney fees, payable to the Administrative Agent in its capacity as such;</w:t>
      </w:r>
    </w:p>
    <w:p>
      <w:pPr>
        <w:spacing w:after="0" w:line="149" w:lineRule="exact"/>
        <w:rPr>
          <w:sz w:val="20"/>
          <w:szCs w:val="20"/>
          <w:color w:val="auto"/>
        </w:rPr>
      </w:pPr>
    </w:p>
    <w:p>
      <w:pPr>
        <w:jc w:val="both"/>
        <w:ind w:left="500" w:right="20"/>
        <w:spacing w:after="0" w:line="248" w:lineRule="auto"/>
        <w:rPr>
          <w:sz w:val="20"/>
          <w:szCs w:val="20"/>
          <w:color w:val="auto"/>
        </w:rPr>
      </w:pPr>
      <w:r>
        <w:rPr>
          <w:rFonts w:ascii="Arial" w:cs="Arial" w:eastAsia="Arial" w:hAnsi="Arial"/>
          <w:sz w:val="15"/>
          <w:szCs w:val="15"/>
          <w:u w:val="single" w:color="auto"/>
          <w:color w:val="010101"/>
        </w:rPr>
        <w:t>Second</w:t>
      </w:r>
      <w:r>
        <w:rPr>
          <w:rFonts w:ascii="Arial" w:cs="Arial" w:eastAsia="Arial" w:hAnsi="Arial"/>
          <w:sz w:val="15"/>
          <w:szCs w:val="15"/>
          <w:color w:val="010101"/>
        </w:rPr>
        <w:t xml:space="preserve">, to payment of that portion of the Obligations constituting fees (other than Commitment Fees and Letter of Credit fees payable to the Lenders), indemnities and other amounts (other than principal and interest) payable to the Lenders and the Issuing Lenders under the Loan Documents, including attorney fees, ratably among the Lenders and the Issuing Lenders in proportion to the respective amounts described in this clause </w:t>
      </w:r>
      <w:r>
        <w:rPr>
          <w:rFonts w:ascii="Arial" w:cs="Arial" w:eastAsia="Arial" w:hAnsi="Arial"/>
          <w:sz w:val="15"/>
          <w:szCs w:val="15"/>
          <w:u w:val="single" w:color="auto"/>
          <w:color w:val="010101"/>
        </w:rPr>
        <w:t>Second</w:t>
      </w:r>
      <w:r>
        <w:rPr>
          <w:rFonts w:ascii="Arial" w:cs="Arial" w:eastAsia="Arial" w:hAnsi="Arial"/>
          <w:sz w:val="15"/>
          <w:szCs w:val="15"/>
          <w:color w:val="010101"/>
        </w:rPr>
        <w:t xml:space="preserve"> payable to them;</w:t>
      </w:r>
    </w:p>
    <w:p>
      <w:pPr>
        <w:spacing w:after="0" w:line="132" w:lineRule="exact"/>
        <w:rPr>
          <w:sz w:val="20"/>
          <w:szCs w:val="20"/>
          <w:color w:val="auto"/>
        </w:rPr>
      </w:pPr>
    </w:p>
    <w:p>
      <w:pPr>
        <w:jc w:val="both"/>
        <w:ind w:left="500" w:right="20"/>
        <w:spacing w:after="0" w:line="230" w:lineRule="auto"/>
        <w:rPr>
          <w:sz w:val="20"/>
          <w:szCs w:val="20"/>
          <w:color w:val="auto"/>
        </w:rPr>
      </w:pPr>
      <w:r>
        <w:rPr>
          <w:rFonts w:ascii="Arial" w:cs="Arial" w:eastAsia="Arial" w:hAnsi="Arial"/>
          <w:sz w:val="16"/>
          <w:szCs w:val="16"/>
          <w:u w:val="single" w:color="auto"/>
          <w:color w:val="010101"/>
        </w:rPr>
        <w:t>Third</w:t>
      </w:r>
      <w:r>
        <w:rPr>
          <w:rFonts w:ascii="Arial" w:cs="Arial" w:eastAsia="Arial" w:hAnsi="Arial"/>
          <w:sz w:val="16"/>
          <w:szCs w:val="16"/>
          <w:color w:val="010101"/>
        </w:rPr>
        <w:t xml:space="preserve">, to payment of that portion of the Obligations constituting accrued and unpaid Commitment Fees, Letter of Credit fees payable to the Lenders and interest on the Advances and Reimbursement Obligations, ratably among the Lenders and the Issuing Lenders in proportion to the respective amounts described in this clause </w:t>
      </w:r>
      <w:r>
        <w:rPr>
          <w:rFonts w:ascii="Arial" w:cs="Arial" w:eastAsia="Arial" w:hAnsi="Arial"/>
          <w:sz w:val="16"/>
          <w:szCs w:val="16"/>
          <w:u w:val="single" w:color="auto"/>
          <w:color w:val="010101"/>
        </w:rPr>
        <w:t>Third</w:t>
      </w:r>
      <w:r>
        <w:rPr>
          <w:rFonts w:ascii="Arial" w:cs="Arial" w:eastAsia="Arial" w:hAnsi="Arial"/>
          <w:sz w:val="16"/>
          <w:szCs w:val="16"/>
          <w:color w:val="010101"/>
        </w:rPr>
        <w:t xml:space="preserve"> payable to them;</w:t>
      </w:r>
    </w:p>
    <w:p>
      <w:pPr>
        <w:spacing w:after="0" w:line="148" w:lineRule="exact"/>
        <w:rPr>
          <w:sz w:val="20"/>
          <w:szCs w:val="20"/>
          <w:color w:val="auto"/>
        </w:rPr>
      </w:pPr>
    </w:p>
    <w:p>
      <w:pPr>
        <w:jc w:val="both"/>
        <w:ind w:left="500" w:right="20"/>
        <w:spacing w:after="0" w:line="248" w:lineRule="auto"/>
        <w:rPr>
          <w:sz w:val="20"/>
          <w:szCs w:val="20"/>
          <w:color w:val="auto"/>
        </w:rPr>
      </w:pPr>
      <w:r>
        <w:rPr>
          <w:rFonts w:ascii="Arial" w:cs="Arial" w:eastAsia="Arial" w:hAnsi="Arial"/>
          <w:sz w:val="15"/>
          <w:szCs w:val="15"/>
          <w:u w:val="single" w:color="auto"/>
          <w:color w:val="010101"/>
        </w:rPr>
        <w:t>Fourth</w:t>
      </w:r>
      <w:r>
        <w:rPr>
          <w:rFonts w:ascii="Arial" w:cs="Arial" w:eastAsia="Arial" w:hAnsi="Arial"/>
          <w:sz w:val="15"/>
          <w:szCs w:val="15"/>
          <w:color w:val="010101"/>
        </w:rPr>
        <w:t xml:space="preserve">, to payment of that portion of the Borrower Obligations and Guaranteed Obligations constituting unpaid principal of the Advances and Reimbursement Obligations, Guaranteed Hedge Obligations and Guaranteed Cash Management Obligations then owing and to Cash Collateralize any L/C Obligations then outstanding, ratably among the holders of such obligations in proportion to the respective amounts described in this clause </w:t>
      </w:r>
      <w:r>
        <w:rPr>
          <w:rFonts w:ascii="Arial" w:cs="Arial" w:eastAsia="Arial" w:hAnsi="Arial"/>
          <w:sz w:val="15"/>
          <w:szCs w:val="15"/>
          <w:u w:val="single" w:color="auto"/>
          <w:color w:val="010101"/>
        </w:rPr>
        <w:t>Fourth</w:t>
      </w:r>
      <w:r>
        <w:rPr>
          <w:rFonts w:ascii="Arial" w:cs="Arial" w:eastAsia="Arial" w:hAnsi="Arial"/>
          <w:sz w:val="15"/>
          <w:szCs w:val="15"/>
          <w:color w:val="010101"/>
        </w:rPr>
        <w:t xml:space="preserve"> payable to them; and</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6"/>
          <w:szCs w:val="16"/>
          <w:u w:val="single" w:color="auto"/>
          <w:color w:val="010101"/>
        </w:rPr>
        <w:t>Last</w:t>
      </w:r>
      <w:r>
        <w:rPr>
          <w:rFonts w:ascii="Arial" w:cs="Arial" w:eastAsia="Arial" w:hAnsi="Arial"/>
          <w:sz w:val="16"/>
          <w:szCs w:val="16"/>
          <w:color w:val="010101"/>
        </w:rPr>
        <w:t>, the balance, if any, after all of the Obligations have been paid in full, to the Company or as otherwise required by Applicable Law.</w:t>
      </w:r>
    </w:p>
    <w:p>
      <w:pPr>
        <w:spacing w:after="0" w:line="160" w:lineRule="exact"/>
        <w:rPr>
          <w:sz w:val="20"/>
          <w:szCs w:val="20"/>
          <w:color w:val="auto"/>
        </w:rPr>
      </w:pPr>
    </w:p>
    <w:p>
      <w:pPr>
        <w:jc w:val="both"/>
        <w:ind w:left="20" w:right="20" w:firstLine="485"/>
        <w:spacing w:after="0" w:line="225" w:lineRule="auto"/>
        <w:rPr>
          <w:sz w:val="20"/>
          <w:szCs w:val="20"/>
          <w:color w:val="auto"/>
        </w:rPr>
      </w:pPr>
      <w:r>
        <w:rPr>
          <w:rFonts w:ascii="Arial" w:cs="Arial" w:eastAsia="Arial" w:hAnsi="Arial"/>
          <w:sz w:val="16"/>
          <w:szCs w:val="16"/>
          <w:color w:val="010101"/>
        </w:rPr>
        <w:t>Notwithstanding the foregoing, Guaranteed Cash Management Obligations and Guaranteed Hedge Obligations shall be excluded from the application described above if the Administrative Agent has not received written notice thereof, together with such supporting documentation as the Administrative Agent may request, from the applicable holders thereof following such acceleration or exercise of remedies and at least three (3) Business Days prior to the application of the proceeds thereof. Each holder of Guaranteed Cash Management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80" w:name="page181"/>
    <w:bookmarkEnd w:id="180"/>
    <w:p>
      <w:pPr>
        <w:jc w:val="both"/>
        <w:ind w:left="20" w:right="20"/>
        <w:spacing w:after="0" w:line="230" w:lineRule="auto"/>
        <w:rPr>
          <w:sz w:val="20"/>
          <w:szCs w:val="20"/>
          <w:color w:val="auto"/>
        </w:rPr>
      </w:pPr>
      <w:r>
        <w:rPr>
          <w:rFonts w:ascii="Arial" w:cs="Arial" w:eastAsia="Arial" w:hAnsi="Arial"/>
          <w:sz w:val="16"/>
          <w:szCs w:val="16"/>
          <w:color w:val="010101"/>
        </w:rPr>
        <w:t xml:space="preserve">Obligations or Guaranteed Hedge Obligations that, in either case, is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6"/>
          <w:szCs w:val="16"/>
          <w:u w:val="single" w:color="auto"/>
          <w:color w:val="010101"/>
        </w:rPr>
        <w:t>Article VII</w:t>
      </w:r>
      <w:r>
        <w:rPr>
          <w:rFonts w:ascii="Arial" w:cs="Arial" w:eastAsia="Arial" w:hAnsi="Arial"/>
          <w:sz w:val="16"/>
          <w:szCs w:val="16"/>
          <w:color w:val="010101"/>
        </w:rPr>
        <w:t xml:space="preserve"> for itself and its Affiliates as if a “Lender” party hereto.</w:t>
      </w:r>
    </w:p>
    <w:p>
      <w:pPr>
        <w:spacing w:after="0" w:line="199" w:lineRule="exact"/>
        <w:rPr>
          <w:sz w:val="20"/>
          <w:szCs w:val="20"/>
          <w:color w:val="auto"/>
        </w:rPr>
      </w:pPr>
    </w:p>
    <w:p>
      <w:pPr>
        <w:ind w:left="500"/>
        <w:spacing w:after="0"/>
        <w:tabs>
          <w:tab w:leader="none" w:pos="1700" w:val="left"/>
        </w:tabs>
        <w:rPr>
          <w:sz w:val="20"/>
          <w:szCs w:val="20"/>
          <w:color w:val="auto"/>
        </w:rPr>
      </w:pPr>
      <w:r>
        <w:rPr>
          <w:rFonts w:ascii="Arial" w:cs="Arial" w:eastAsia="Arial" w:hAnsi="Arial"/>
          <w:sz w:val="16"/>
          <w:szCs w:val="16"/>
          <w:color w:val="auto"/>
        </w:rPr>
        <w:t>SECTION 9.22.</w:t>
      </w:r>
      <w:r>
        <w:rPr>
          <w:sz w:val="20"/>
          <w:szCs w:val="20"/>
          <w:color w:val="auto"/>
        </w:rPr>
        <w:tab/>
      </w:r>
      <w:r>
        <w:rPr>
          <w:rFonts w:ascii="Arial" w:cs="Arial" w:eastAsia="Arial" w:hAnsi="Arial"/>
          <w:sz w:val="15"/>
          <w:szCs w:val="15"/>
          <w:u w:val="single" w:color="auto"/>
          <w:color w:val="010101"/>
        </w:rPr>
        <w:t>No Advisory or Fiduciary Responsibility</w:t>
      </w:r>
      <w:r>
        <w:rPr>
          <w:rFonts w:ascii="Arial" w:cs="Arial" w:eastAsia="Arial" w:hAnsi="Arial"/>
          <w:sz w:val="15"/>
          <w:szCs w:val="15"/>
          <w:color w:val="010101"/>
        </w:rPr>
        <w:t>.</w:t>
      </w:r>
    </w:p>
    <w:p>
      <w:pPr>
        <w:spacing w:after="0" w:line="200" w:lineRule="exact"/>
        <w:rPr>
          <w:sz w:val="20"/>
          <w:szCs w:val="20"/>
          <w:color w:val="auto"/>
        </w:rPr>
      </w:pPr>
    </w:p>
    <w:p>
      <w:pPr>
        <w:spacing w:after="0" w:line="253" w:lineRule="exact"/>
        <w:rPr>
          <w:sz w:val="20"/>
          <w:szCs w:val="20"/>
          <w:color w:val="auto"/>
        </w:rPr>
      </w:pPr>
    </w:p>
    <w:p>
      <w:pPr>
        <w:jc w:val="both"/>
        <w:ind w:left="20" w:firstLine="487"/>
        <w:spacing w:after="0" w:line="228" w:lineRule="auto"/>
        <w:tabs>
          <w:tab w:leader="none" w:pos="910" w:val="left"/>
        </w:tabs>
        <w:numPr>
          <w:ilvl w:val="0"/>
          <w:numId w:val="219"/>
        </w:numPr>
        <w:rPr>
          <w:rFonts w:ascii="Arial" w:cs="Arial" w:eastAsia="Arial" w:hAnsi="Arial"/>
          <w:sz w:val="15"/>
          <w:szCs w:val="15"/>
          <w:color w:val="auto"/>
        </w:rPr>
      </w:pPr>
      <w:r>
        <w:rPr>
          <w:rFonts w:ascii="Arial" w:cs="Arial" w:eastAsia="Arial" w:hAnsi="Arial"/>
          <w:sz w:val="15"/>
          <w:szCs w:val="15"/>
          <w:color w:val="010101"/>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Company and its Affiliates, on the one hand, and the Administrative Agent and the Lenders, on the other hand, and the Company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and the Lenders is and has been acting solely as a principal and is not the financial advisor, agent or fiduciary, for the Company or any of its Affiliates, stockholders, creditors or employees or any other Person, (iii) none of the Administrative Agent or the Lenders has assumed or will assume an advisory, agency or fiduciary responsibility in favor of the Company with respect to any of the transactions contemplated hereby or the process leading thereto, including with respect to any amendment, waiver or other modification hereof or of any other Loan Document (irrespective of whether the Lender has advised or is currently advising the Company or any of its Affiliates on other matters) and none of the Administrative Agent or the Lenders has any obligation to the Company or any of its Affiliates with respect to the financing transactions contemplated hereby except those obligations expressly set forth herein and in the other Loan Documents, (iv) the Lenders and their respective Affiliates may be engaged in a broad range of transactions that involve interests that differ from, and may conflict with, those of the Company and its Affiliates, and none of the Administrative Agent or the Lenders has any obligation to disclose any of such interests by virtue of any advisory, agency or fiduciary relationship and (v) the Administrative Agent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54" w:lineRule="exact"/>
        <w:rPr>
          <w:rFonts w:ascii="Arial" w:cs="Arial" w:eastAsia="Arial" w:hAnsi="Arial"/>
          <w:sz w:val="15"/>
          <w:szCs w:val="15"/>
          <w:color w:val="auto"/>
        </w:rPr>
      </w:pPr>
    </w:p>
    <w:p>
      <w:pPr>
        <w:jc w:val="both"/>
        <w:ind w:left="20" w:right="20" w:firstLine="487"/>
        <w:spacing w:after="0" w:line="263" w:lineRule="auto"/>
        <w:tabs>
          <w:tab w:leader="none" w:pos="909" w:val="left"/>
        </w:tabs>
        <w:numPr>
          <w:ilvl w:val="0"/>
          <w:numId w:val="219"/>
        </w:numPr>
        <w:rPr>
          <w:rFonts w:ascii="Arial" w:cs="Arial" w:eastAsia="Arial" w:hAnsi="Arial"/>
          <w:sz w:val="14"/>
          <w:szCs w:val="14"/>
          <w:color w:val="auto"/>
        </w:rPr>
      </w:pPr>
      <w:r>
        <w:rPr>
          <w:rFonts w:ascii="Arial" w:cs="Arial" w:eastAsia="Arial" w:hAnsi="Arial"/>
          <w:sz w:val="14"/>
          <w:szCs w:val="14"/>
          <w:color w:val="010101"/>
        </w:rPr>
        <w:t>Each Credit Party acknowledges and agrees that each Lender and any Affiliate thereof may lend money to, invest in, and generally engage in any kind of business with, any of the Company, any Affiliate thereof or any other person or entity that may do business with or own securities of any of the foregoing, all as if such Lender or such Affiliate thereof were not a Lender or an Affiliate thereof (or an agent or any other person with any similar role under the Credit Facilities) and without any duty to account therefor to any other Lender, the Company or any Affiliate of the foregoing. Each Lender and any Affiliate thereof may accept fees and other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119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81" w:name="page182"/>
    <w:bookmarkEnd w:id="181"/>
    <w:p>
      <w:pPr>
        <w:ind w:left="20"/>
        <w:spacing w:after="0" w:line="239" w:lineRule="auto"/>
        <w:rPr>
          <w:sz w:val="20"/>
          <w:szCs w:val="20"/>
          <w:color w:val="auto"/>
        </w:rPr>
      </w:pPr>
      <w:r>
        <w:rPr>
          <w:rFonts w:ascii="Arial" w:cs="Arial" w:eastAsia="Arial" w:hAnsi="Arial"/>
          <w:sz w:val="16"/>
          <w:szCs w:val="16"/>
          <w:color w:val="010101"/>
        </w:rPr>
        <w:t>consideration from the Company or any Affiliate thereof for services in connection with this Agreement, the Credit Facilities or otherwise without having to account for the same to any other Lender, the Company or any Affiliate of the foregoing.</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X</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010101"/>
        </w:rPr>
        <w:t>LETTER OF CREDIT FACILITY</w:t>
      </w:r>
    </w:p>
    <w:p>
      <w:pPr>
        <w:spacing w:after="0" w:line="170"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10.01.</w:t>
      </w:r>
      <w:r>
        <w:rPr>
          <w:sz w:val="20"/>
          <w:szCs w:val="20"/>
          <w:color w:val="auto"/>
        </w:rPr>
        <w:tab/>
      </w:r>
      <w:r>
        <w:rPr>
          <w:rFonts w:ascii="Arial" w:cs="Arial" w:eastAsia="Arial" w:hAnsi="Arial"/>
          <w:sz w:val="15"/>
          <w:szCs w:val="15"/>
          <w:u w:val="single" w:color="auto"/>
          <w:color w:val="010101"/>
        </w:rPr>
        <w:t>L/C Facility</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firstLine="487"/>
        <w:spacing w:after="0" w:line="231" w:lineRule="auto"/>
        <w:tabs>
          <w:tab w:leader="none" w:pos="910" w:val="left"/>
        </w:tabs>
        <w:numPr>
          <w:ilvl w:val="0"/>
          <w:numId w:val="220"/>
        </w:numPr>
        <w:rPr>
          <w:rFonts w:ascii="Arial" w:cs="Arial" w:eastAsia="Arial" w:hAnsi="Arial"/>
          <w:sz w:val="15"/>
          <w:szCs w:val="15"/>
          <w:color w:val="auto"/>
        </w:rPr>
      </w:pPr>
      <w:r>
        <w:rPr>
          <w:rFonts w:ascii="Arial" w:cs="Arial" w:eastAsia="Arial" w:hAnsi="Arial"/>
          <w:sz w:val="15"/>
          <w:szCs w:val="15"/>
          <w:u w:val="single" w:color="auto"/>
          <w:color w:val="010101"/>
        </w:rPr>
        <w:t>Availability</w:t>
      </w:r>
      <w:r>
        <w:rPr>
          <w:rFonts w:ascii="Arial" w:cs="Arial" w:eastAsia="Arial" w:hAnsi="Arial"/>
          <w:sz w:val="15"/>
          <w:szCs w:val="15"/>
          <w:color w:val="010101"/>
        </w:rPr>
        <w:t xml:space="preserve">. Subject to the terms and conditions hereof, each Issuing Lender, in reliance on the agreements of the Lenders set forth in </w:t>
      </w:r>
      <w:r>
        <w:rPr>
          <w:rFonts w:ascii="Arial" w:cs="Arial" w:eastAsia="Arial" w:hAnsi="Arial"/>
          <w:sz w:val="15"/>
          <w:szCs w:val="15"/>
          <w:u w:val="single" w:color="auto"/>
          <w:color w:val="010101"/>
        </w:rPr>
        <w:t>Section 10.04(a)</w:t>
      </w:r>
      <w:r>
        <w:rPr>
          <w:rFonts w:ascii="Arial" w:cs="Arial" w:eastAsia="Arial" w:hAnsi="Arial"/>
          <w:sz w:val="15"/>
          <w:szCs w:val="15"/>
          <w:color w:val="010101"/>
        </w:rPr>
        <w:t xml:space="preserve">, agrees to issue standby Letters of Credit in US Dollars or one or more Foreign Currencies in the Dollar Equivalent of an aggregate amount not to exceed its L/C Commitment for the account of the Company or, subject to </w:t>
      </w:r>
      <w:r>
        <w:rPr>
          <w:rFonts w:ascii="Arial" w:cs="Arial" w:eastAsia="Arial" w:hAnsi="Arial"/>
          <w:sz w:val="15"/>
          <w:szCs w:val="15"/>
          <w:u w:val="single" w:color="auto"/>
          <w:color w:val="010101"/>
        </w:rPr>
        <w:t>Section 10.10</w:t>
      </w:r>
      <w:r>
        <w:rPr>
          <w:rFonts w:ascii="Arial" w:cs="Arial" w:eastAsia="Arial" w:hAnsi="Arial"/>
          <w:sz w:val="15"/>
          <w:szCs w:val="15"/>
          <w:color w:val="010101"/>
        </w:rPr>
        <w:t>, any Subsidiary thereof, provided, that an Issuing Lender may designate an Applicable Lending Office as the issuing lender for all or a portion of its L/C Commitment under this Agreement. Letters of Credit may be issued on any Business Day from the Effective Date to, but not including the fifth (5</w:t>
      </w:r>
      <w:r>
        <w:rPr>
          <w:rFonts w:ascii="Arial" w:cs="Arial" w:eastAsia="Arial" w:hAnsi="Arial"/>
          <w:sz w:val="9"/>
          <w:szCs w:val="9"/>
          <w:color w:val="010101"/>
        </w:rPr>
        <w:t>th</w:t>
      </w:r>
      <w:r>
        <w:rPr>
          <w:rFonts w:ascii="Arial" w:cs="Arial" w:eastAsia="Arial" w:hAnsi="Arial"/>
          <w:sz w:val="15"/>
          <w:szCs w:val="15"/>
          <w:color w:val="010101"/>
        </w:rPr>
        <w:t xml:space="preserve">) Business Day prior to the Termination Date in such form as may be approved from time to time by the applicable Issuing Lender; </w:t>
      </w:r>
      <w:r>
        <w:rPr>
          <w:rFonts w:ascii="Arial" w:cs="Arial" w:eastAsia="Arial" w:hAnsi="Arial"/>
          <w:sz w:val="15"/>
          <w:szCs w:val="15"/>
          <w:u w:val="single" w:color="auto"/>
          <w:color w:val="010101"/>
        </w:rPr>
        <w:t>provided</w:t>
      </w:r>
      <w:r>
        <w:rPr>
          <w:rFonts w:ascii="Arial" w:cs="Arial" w:eastAsia="Arial" w:hAnsi="Arial"/>
          <w:sz w:val="15"/>
          <w:szCs w:val="15"/>
          <w:color w:val="010101"/>
        </w:rPr>
        <w:t>, that no Issuing Lender shall be required to issue any Letter of Credit if, after giving effect to such issuance, (i) the Dollar Equivalent of the aggregate amount of the outstanding Letters of Credit issued by such Issuing Lender would exceed its L/C Commitment, (ii) the Dollar Equivalent of the L/C Obligations would exceed the L/C Sublimit or (iii) the Dollar Equivalent of the Revolving Credit Outstandings would exceed the total Commitments. Letters of Credit issued hereunder shall constitute utilization of the Commitments measured based on the Dollar Equivalent of the issued and outstanding Letters of Credit.</w:t>
      </w:r>
    </w:p>
    <w:p>
      <w:pPr>
        <w:spacing w:after="0" w:line="142" w:lineRule="exact"/>
        <w:rPr>
          <w:rFonts w:ascii="Arial" w:cs="Arial" w:eastAsia="Arial" w:hAnsi="Arial"/>
          <w:sz w:val="15"/>
          <w:szCs w:val="15"/>
          <w:color w:val="auto"/>
        </w:rPr>
      </w:pPr>
    </w:p>
    <w:p>
      <w:pPr>
        <w:jc w:val="both"/>
        <w:ind w:left="20" w:right="20" w:firstLine="487"/>
        <w:spacing w:after="0" w:line="230" w:lineRule="auto"/>
        <w:tabs>
          <w:tab w:leader="none" w:pos="909" w:val="left"/>
        </w:tabs>
        <w:numPr>
          <w:ilvl w:val="0"/>
          <w:numId w:val="220"/>
        </w:numPr>
        <w:rPr>
          <w:rFonts w:ascii="Arial" w:cs="Arial" w:eastAsia="Arial" w:hAnsi="Arial"/>
          <w:sz w:val="15"/>
          <w:szCs w:val="15"/>
          <w:color w:val="auto"/>
        </w:rPr>
      </w:pPr>
      <w:r>
        <w:rPr>
          <w:rFonts w:ascii="Arial" w:cs="Arial" w:eastAsia="Arial" w:hAnsi="Arial"/>
          <w:sz w:val="15"/>
          <w:szCs w:val="15"/>
          <w:u w:val="single" w:color="auto"/>
          <w:color w:val="010101"/>
        </w:rPr>
        <w:t>Terms of Letters of Credit</w:t>
      </w:r>
      <w:r>
        <w:rPr>
          <w:rFonts w:ascii="Arial" w:cs="Arial" w:eastAsia="Arial" w:hAnsi="Arial"/>
          <w:sz w:val="15"/>
          <w:szCs w:val="15"/>
          <w:color w:val="010101"/>
        </w:rPr>
        <w:t xml:space="preserve">. Each Letter of Credit shall (i) be denominated in US Dollars or in any Foreign Currency in a minimum amount of $10,000 or the Foreign Currency Equivalent thereof (or such other amount as agreed to by the applicable Issuing Lender and the Administrative Agent), (ii) expire on a date no more than twelve (12) months after the date of issuance or last renewal or extension of such Letter of Credit (subject to automatic renewal or extension for additional one (1) year periods (but not to a date later than the date set forth below) pursuant to the terms of the Letter of Credit Documents or other documentation acceptable to the applicable Issuing Lender), which date shall be no later than the fifth (5th) Business Day prior to the Termination Date; </w:t>
      </w:r>
      <w:r>
        <w:rPr>
          <w:rFonts w:ascii="Arial" w:cs="Arial" w:eastAsia="Arial" w:hAnsi="Arial"/>
          <w:sz w:val="15"/>
          <w:szCs w:val="15"/>
          <w:u w:val="single" w:color="auto"/>
          <w:color w:val="010101"/>
        </w:rPr>
        <w:t>provided</w:t>
      </w:r>
      <w:r>
        <w:rPr>
          <w:rFonts w:ascii="Arial" w:cs="Arial" w:eastAsia="Arial" w:hAnsi="Arial"/>
          <w:sz w:val="15"/>
          <w:szCs w:val="15"/>
          <w:color w:val="010101"/>
        </w:rPr>
        <w:t xml:space="preserve"> that any Letter of Credit may expire after such date, including as a result of customary “evergreen” provisions (each such Letter of Credit, an “</w:t>
      </w:r>
      <w:r>
        <w:rPr>
          <w:rFonts w:ascii="Arial" w:cs="Arial" w:eastAsia="Arial" w:hAnsi="Arial"/>
          <w:sz w:val="15"/>
          <w:szCs w:val="15"/>
          <w:u w:val="single" w:color="auto"/>
          <w:color w:val="010101"/>
        </w:rPr>
        <w:t>Extended Letter of Credit</w:t>
      </w:r>
      <w:r>
        <w:rPr>
          <w:rFonts w:ascii="Arial" w:cs="Arial" w:eastAsia="Arial" w:hAnsi="Arial"/>
          <w:sz w:val="15"/>
          <w:szCs w:val="15"/>
          <w:color w:val="010101"/>
        </w:rPr>
        <w:t xml:space="preserve">”), with the consent of the applicable Issuing Lender and subject to the requirements of </w:t>
      </w:r>
      <w:r>
        <w:rPr>
          <w:rFonts w:ascii="Arial" w:cs="Arial" w:eastAsia="Arial" w:hAnsi="Arial"/>
          <w:sz w:val="15"/>
          <w:szCs w:val="15"/>
          <w:u w:val="single" w:color="auto"/>
          <w:color w:val="010101"/>
        </w:rPr>
        <w:t>Section 10.12</w:t>
      </w:r>
      <w:r>
        <w:rPr>
          <w:rFonts w:ascii="Arial" w:cs="Arial" w:eastAsia="Arial" w:hAnsi="Arial"/>
          <w:sz w:val="15"/>
          <w:szCs w:val="15"/>
          <w:color w:val="010101"/>
        </w:rPr>
        <w:t>, and (iii) unless otherwise expressly agreed by the applicable Issuing Lender and the Company when a Letter of Credit is issued by it (including any such agreement applicable to an Existing Letter of Credit), be subject to the ISP as set forth in the Letter of Credit Documents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shall by its terms purport to enjoin or restrain such Issuing Lender from issuing such Letter of</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82" w:name="page183"/>
    <w:bookmarkEnd w:id="182"/>
    <w:p>
      <w:pPr>
        <w:jc w:val="both"/>
        <w:ind w:left="20"/>
        <w:spacing w:after="0" w:line="213" w:lineRule="auto"/>
        <w:rPr>
          <w:sz w:val="20"/>
          <w:szCs w:val="20"/>
          <w:color w:val="auto"/>
        </w:rPr>
      </w:pPr>
      <w:r>
        <w:rPr>
          <w:rFonts w:ascii="Arial" w:cs="Arial" w:eastAsia="Arial" w:hAnsi="Arial"/>
          <w:sz w:val="16"/>
          <w:szCs w:val="16"/>
          <w:color w:val="010101"/>
        </w:rPr>
        <w:t xml:space="preserve">Credit, or request that such Issuing Lender refrain from, or any Applicable Law applicable to such Issuing Lender or any request or directive (whether or not having the force of law) from any Governmental Authority with jurisdiction over such Issuing Lender shall prohibit,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Effective Date, or any unreimbursed loss, cost or expense that was not applicable, in effect or known to such Issuing Lender as of the Effective Date and that such Issuing Lender in good faith deems material to it, (B) the conditions set forth in </w:t>
      </w:r>
      <w:r>
        <w:rPr>
          <w:rFonts w:ascii="Arial" w:cs="Arial" w:eastAsia="Arial" w:hAnsi="Arial"/>
          <w:sz w:val="16"/>
          <w:szCs w:val="16"/>
          <w:u w:val="single" w:color="auto"/>
          <w:color w:val="010101"/>
        </w:rPr>
        <w:t>Section</w:t>
      </w:r>
    </w:p>
    <w:p>
      <w:pPr>
        <w:spacing w:after="0" w:line="4" w:lineRule="exact"/>
        <w:rPr>
          <w:sz w:val="20"/>
          <w:szCs w:val="20"/>
          <w:color w:val="auto"/>
        </w:rPr>
      </w:pPr>
    </w:p>
    <w:p>
      <w:pPr>
        <w:jc w:val="both"/>
        <w:ind w:left="20" w:right="40"/>
        <w:spacing w:after="0" w:line="224" w:lineRule="auto"/>
        <w:rPr>
          <w:sz w:val="20"/>
          <w:szCs w:val="20"/>
          <w:color w:val="auto"/>
        </w:rPr>
      </w:pPr>
      <w:r>
        <w:rPr>
          <w:rFonts w:ascii="Arial" w:cs="Arial" w:eastAsia="Arial" w:hAnsi="Arial"/>
          <w:sz w:val="15"/>
          <w:szCs w:val="15"/>
          <w:u w:val="single" w:color="auto"/>
          <w:color w:val="010101"/>
        </w:rPr>
        <w:t>3.02</w:t>
      </w:r>
      <w:r>
        <w:rPr>
          <w:rFonts w:ascii="Arial" w:cs="Arial" w:eastAsia="Arial" w:hAnsi="Arial"/>
          <w:sz w:val="15"/>
          <w:szCs w:val="15"/>
          <w:color w:val="010101"/>
        </w:rPr>
        <w:t xml:space="preserve"> are not satisfied, (C) the issuance of such Letter of Credit would violate one or more policies of such Issuing Lender applicable to letters of credit generally, (D) the proceeds of which would be made available to any Person to fund any activity or business of or with any Sanctioned Person, or in any Sanctioned Country, in each case, in violation of Sanctions or in any manner that would result in a violation of any Sanctions by any party to this Agreement or</w:t>
      </w:r>
    </w:p>
    <w:p>
      <w:pPr>
        <w:spacing w:after="0" w:line="2" w:lineRule="exact"/>
        <w:rPr>
          <w:sz w:val="20"/>
          <w:szCs w:val="20"/>
          <w:color w:val="auto"/>
        </w:rPr>
      </w:pPr>
    </w:p>
    <w:p>
      <w:pPr>
        <w:jc w:val="both"/>
        <w:ind w:left="20" w:right="20" w:firstLine="2"/>
        <w:spacing w:after="0" w:line="230" w:lineRule="auto"/>
        <w:tabs>
          <w:tab w:leader="none" w:pos="272" w:val="left"/>
        </w:tabs>
        <w:numPr>
          <w:ilvl w:val="0"/>
          <w:numId w:val="221"/>
        </w:numPr>
        <w:rPr>
          <w:rFonts w:ascii="Arial" w:cs="Arial" w:eastAsia="Arial" w:hAnsi="Arial"/>
          <w:sz w:val="15"/>
          <w:szCs w:val="15"/>
          <w:color w:val="010101"/>
        </w:rPr>
      </w:pPr>
      <w:r>
        <w:rPr>
          <w:rFonts w:ascii="Arial" w:cs="Arial" w:eastAsia="Arial" w:hAnsi="Arial"/>
          <w:sz w:val="15"/>
          <w:szCs w:val="15"/>
          <w:color w:val="010101"/>
        </w:rPr>
        <w:t>any Lender is at that time a Defaulting Lender, unless (1) no Fronting Exposure exists as a result of the application of Section 2.18(c) or (2) such Issuing Lender has entered into arrangements, including the delivery of Cash Collateral, satisfactory to such Issuing Lender (in its sole discretion) with the Company or such Lender to eliminate such Issuing Lender’s actual or potential Fronting Exposure. An Issuing Lender shall be under no obligation to amend any Letter of Credit if (x) such Issuing Lender would have no obligation at such time to issue the Letter of Credit in its amended form under the terms hereof or (y) the beneficiary of the Letter of Credit does not accept the proposed amendment to the Letter of Credit. References herein to “issue” and derivations thereof with respect to Letters of Credit shall also include extensions or modifications of any outstanding Letters of Credit, unless the context otherwise requires. As of the Effective Date, each of the Existing Letters of Credit shall constitute, for all purposes of this Agreement and the other Loan Documents, a Letter of Credit issued and outstanding hereunder.</w:t>
      </w:r>
    </w:p>
    <w:p>
      <w:pPr>
        <w:spacing w:after="0" w:line="152" w:lineRule="exact"/>
        <w:rPr>
          <w:rFonts w:ascii="Arial" w:cs="Arial" w:eastAsia="Arial" w:hAnsi="Arial"/>
          <w:sz w:val="15"/>
          <w:szCs w:val="15"/>
          <w:color w:val="010101"/>
        </w:rPr>
      </w:pPr>
    </w:p>
    <w:p>
      <w:pPr>
        <w:ind w:left="920" w:hanging="413"/>
        <w:spacing w:after="0"/>
        <w:tabs>
          <w:tab w:leader="none" w:pos="920" w:val="left"/>
        </w:tabs>
        <w:numPr>
          <w:ilvl w:val="1"/>
          <w:numId w:val="221"/>
        </w:numPr>
        <w:rPr>
          <w:rFonts w:ascii="Arial" w:cs="Arial" w:eastAsia="Arial" w:hAnsi="Arial"/>
          <w:sz w:val="14"/>
          <w:szCs w:val="14"/>
          <w:color w:val="auto"/>
        </w:rPr>
      </w:pPr>
      <w:r>
        <w:rPr>
          <w:rFonts w:ascii="Arial" w:cs="Arial" w:eastAsia="Arial" w:hAnsi="Arial"/>
          <w:sz w:val="14"/>
          <w:szCs w:val="14"/>
          <w:u w:val="single" w:color="auto"/>
          <w:color w:val="010101"/>
        </w:rPr>
        <w:t>Defaulting Lenders</w:t>
      </w:r>
      <w:r>
        <w:rPr>
          <w:rFonts w:ascii="Arial" w:cs="Arial" w:eastAsia="Arial" w:hAnsi="Arial"/>
          <w:sz w:val="14"/>
          <w:szCs w:val="14"/>
          <w:color w:val="010101"/>
        </w:rPr>
        <w:t xml:space="preserve">. Notwithstanding anything to the contrary contained in this Agreement, </w:t>
      </w:r>
      <w:r>
        <w:rPr>
          <w:rFonts w:ascii="Arial" w:cs="Arial" w:eastAsia="Arial" w:hAnsi="Arial"/>
          <w:sz w:val="14"/>
          <w:szCs w:val="14"/>
          <w:u w:val="single" w:color="auto"/>
          <w:color w:val="010101"/>
        </w:rPr>
        <w:t>Article X</w:t>
      </w:r>
      <w:r>
        <w:rPr>
          <w:rFonts w:ascii="Arial" w:cs="Arial" w:eastAsia="Arial" w:hAnsi="Arial"/>
          <w:sz w:val="14"/>
          <w:szCs w:val="14"/>
          <w:color w:val="010101"/>
        </w:rPr>
        <w:t xml:space="preserve"> shall be subject to the terms and conditions of </w:t>
      </w:r>
      <w:r>
        <w:rPr>
          <w:rFonts w:ascii="Arial" w:cs="Arial" w:eastAsia="Arial" w:hAnsi="Arial"/>
          <w:sz w:val="14"/>
          <w:szCs w:val="14"/>
          <w:u w:val="single" w:color="auto"/>
          <w:color w:val="010101"/>
        </w:rPr>
        <w:t>Section</w:t>
      </w:r>
    </w:p>
    <w:p>
      <w:pPr>
        <w:spacing w:after="0" w:line="14"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6"/>
          <w:szCs w:val="16"/>
          <w:u w:val="single" w:color="auto"/>
          <w:color w:val="010101"/>
        </w:rPr>
        <w:t>2.18</w:t>
      </w:r>
      <w:r>
        <w:rPr>
          <w:rFonts w:ascii="Arial" w:cs="Arial" w:eastAsia="Arial" w:hAnsi="Arial"/>
          <w:sz w:val="16"/>
          <w:szCs w:val="16"/>
          <w:color w:val="010101"/>
        </w:rPr>
        <w:t>.</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265" w:right="479" w:bottom="1440" w:gutter="0" w:footer="0" w:header="0"/>
        </w:sectPr>
      </w:pPr>
    </w:p>
    <w:bookmarkStart w:id="183" w:name="page184"/>
    <w:bookmarkEnd w:id="183"/>
    <w:p>
      <w:pPr>
        <w:ind w:left="500"/>
        <w:spacing w:after="0"/>
        <w:tabs>
          <w:tab w:leader="none" w:pos="1780" w:val="left"/>
        </w:tabs>
        <w:rPr>
          <w:sz w:val="20"/>
          <w:szCs w:val="20"/>
          <w:color w:val="auto"/>
        </w:rPr>
      </w:pPr>
      <w:r>
        <w:rPr>
          <w:rFonts w:ascii="Arial" w:cs="Arial" w:eastAsia="Arial" w:hAnsi="Arial"/>
          <w:sz w:val="16"/>
          <w:szCs w:val="16"/>
          <w:color w:val="auto"/>
        </w:rPr>
        <w:t>SECTION 10.02.</w:t>
      </w:r>
      <w:r>
        <w:rPr>
          <w:sz w:val="20"/>
          <w:szCs w:val="20"/>
          <w:color w:val="auto"/>
        </w:rPr>
        <w:tab/>
      </w:r>
      <w:r>
        <w:rPr>
          <w:rFonts w:ascii="Arial" w:cs="Arial" w:eastAsia="Arial" w:hAnsi="Arial"/>
          <w:sz w:val="14"/>
          <w:szCs w:val="14"/>
          <w:u w:val="single" w:color="auto"/>
          <w:color w:val="010101"/>
        </w:rPr>
        <w:t>Procedure for Issuance and Disbursement of Letters of Credit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firstLine="487"/>
        <w:spacing w:after="0" w:line="215" w:lineRule="auto"/>
        <w:tabs>
          <w:tab w:leader="none" w:pos="910" w:val="left"/>
        </w:tabs>
        <w:numPr>
          <w:ilvl w:val="1"/>
          <w:numId w:val="222"/>
        </w:numPr>
        <w:rPr>
          <w:rFonts w:ascii="Arial" w:cs="Arial" w:eastAsia="Arial" w:hAnsi="Arial"/>
          <w:sz w:val="16"/>
          <w:szCs w:val="16"/>
          <w:color w:val="auto"/>
        </w:rPr>
      </w:pPr>
      <w:r>
        <w:rPr>
          <w:rFonts w:ascii="Arial" w:cs="Arial" w:eastAsia="Arial" w:hAnsi="Arial"/>
          <w:sz w:val="16"/>
          <w:szCs w:val="16"/>
          <w:color w:val="010101"/>
        </w:rPr>
        <w:t>The Company may from time to time request that any Issuing Lender issue, amend, renew or extend a Letter of Credit by delivering to such Issuing Lender at its Applicable Lending Office (with a copy to the Administrative Agent at the Administrative Agent’s office) a Letter of Credit Application therefor, completed to the satisfaction of such Issuing Lender, and such other certificates, documents and other Letter of Credit Documents and information as such Issuing Lender or the Administrative Agent may request, not later than 11:00 a.m. at least two</w:t>
      </w:r>
    </w:p>
    <w:p>
      <w:pPr>
        <w:spacing w:after="0" w:line="1" w:lineRule="exact"/>
        <w:rPr>
          <w:rFonts w:ascii="Arial" w:cs="Arial" w:eastAsia="Arial" w:hAnsi="Arial"/>
          <w:sz w:val="16"/>
          <w:szCs w:val="16"/>
          <w:color w:val="auto"/>
        </w:rPr>
      </w:pPr>
    </w:p>
    <w:p>
      <w:pPr>
        <w:jc w:val="both"/>
        <w:ind w:left="20" w:firstLine="2"/>
        <w:spacing w:after="0" w:line="228" w:lineRule="auto"/>
        <w:tabs>
          <w:tab w:leader="none" w:pos="265" w:val="left"/>
        </w:tabs>
        <w:numPr>
          <w:ilvl w:val="0"/>
          <w:numId w:val="223"/>
        </w:numPr>
        <w:rPr>
          <w:rFonts w:ascii="Arial" w:cs="Arial" w:eastAsia="Arial" w:hAnsi="Arial"/>
          <w:sz w:val="15"/>
          <w:szCs w:val="15"/>
          <w:color w:val="010101"/>
        </w:rPr>
      </w:pPr>
      <w:r>
        <w:rPr>
          <w:rFonts w:ascii="Arial" w:cs="Arial" w:eastAsia="Arial" w:hAnsi="Arial"/>
          <w:sz w:val="15"/>
          <w:szCs w:val="15"/>
          <w:color w:val="010101"/>
        </w:rPr>
        <w:t xml:space="preserve">Business Days (or such later date and time as the Administrative Agent and such Issuing Lender may agree in their sole discretion) prior to the proposed date of issuance, amendment, renewal or extension, as the case may be. Such notice shall specify (i) the requested date of issuance, amendment, renewal or extension (which shall be a Business Day), (ii) the date on which such Letter of Credit is to expire (which shall comply with </w:t>
      </w:r>
      <w:r>
        <w:rPr>
          <w:rFonts w:ascii="Arial" w:cs="Arial" w:eastAsia="Arial" w:hAnsi="Arial"/>
          <w:sz w:val="15"/>
          <w:szCs w:val="15"/>
          <w:u w:val="single" w:color="auto"/>
          <w:color w:val="010101"/>
        </w:rPr>
        <w:t>Section 10.01(b)</w:t>
      </w:r>
      <w:r>
        <w:rPr>
          <w:rFonts w:ascii="Arial" w:cs="Arial" w:eastAsia="Arial" w:hAnsi="Arial"/>
          <w:sz w:val="15"/>
          <w:szCs w:val="15"/>
          <w:color w:val="010101"/>
        </w:rPr>
        <w:t xml:space="preserve">), (iii) the amount and Currency of such Letter of Credit, (iv) the name and address of the beneficiary thereof, (v) the purpose and nature of such Letter of Credit and (vi) such other information as shall be necessary to issue, amend, renew or extend such Letter of Credit. Upon receipt of any Letter of Credit Application, the applicable Issuing Lender shall process such Letter of Credit Application and the certificates, documents and other Letter of Credit Documents and information delivered to it in connection therewith in accordance with its customary procedures and shall, subject to </w:t>
      </w:r>
      <w:r>
        <w:rPr>
          <w:rFonts w:ascii="Arial" w:cs="Arial" w:eastAsia="Arial" w:hAnsi="Arial"/>
          <w:sz w:val="15"/>
          <w:szCs w:val="15"/>
          <w:u w:val="single" w:color="auto"/>
          <w:color w:val="010101"/>
        </w:rPr>
        <w:t>Section 10.01</w:t>
      </w:r>
      <w:r>
        <w:rPr>
          <w:rFonts w:ascii="Arial" w:cs="Arial" w:eastAsia="Arial" w:hAnsi="Arial"/>
          <w:sz w:val="15"/>
          <w:szCs w:val="15"/>
          <w:color w:val="010101"/>
        </w:rPr>
        <w:t xml:space="preserve">, promptly issue, amend, renew or extend the Letter of Credit requested thereby (subject to the timing requirements set forth in this </w:t>
      </w:r>
      <w:r>
        <w:rPr>
          <w:rFonts w:ascii="Arial" w:cs="Arial" w:eastAsia="Arial" w:hAnsi="Arial"/>
          <w:sz w:val="15"/>
          <w:szCs w:val="15"/>
          <w:u w:val="single" w:color="auto"/>
          <w:color w:val="010101"/>
        </w:rPr>
        <w:t>Section 10.02</w:t>
      </w:r>
      <w:r>
        <w:rPr>
          <w:rFonts w:ascii="Arial" w:cs="Arial" w:eastAsia="Arial" w:hAnsi="Arial"/>
          <w:sz w:val="15"/>
          <w:szCs w:val="15"/>
          <w:color w:val="010101"/>
        </w:rPr>
        <w:t>) by issuing the original of such Letter of Credit to the beneficiary thereof or as otherwise may be agreed by such Issuing Lender and the Company. The applicable Issuing Lender shall promptly furnish to the Company and the Administrative Agent a copy of such Letter of Credit and the related Letter of Credit Documents and the Administrative Agent shall promptly notify each Lender of the issuance and upon request by any Lender, furnish to such Lender a copy of such Letter of Credit and the amount of such Lender’s participation therein.</w:t>
      </w:r>
    </w:p>
    <w:p>
      <w:pPr>
        <w:spacing w:after="0" w:line="143" w:lineRule="exact"/>
        <w:rPr>
          <w:rFonts w:ascii="Arial" w:cs="Arial" w:eastAsia="Arial" w:hAnsi="Arial"/>
          <w:sz w:val="15"/>
          <w:szCs w:val="15"/>
          <w:color w:val="010101"/>
        </w:rPr>
      </w:pPr>
    </w:p>
    <w:p>
      <w:pPr>
        <w:jc w:val="both"/>
        <w:ind w:left="20" w:firstLine="487"/>
        <w:spacing w:after="0" w:line="222" w:lineRule="auto"/>
        <w:tabs>
          <w:tab w:leader="none" w:pos="909" w:val="left"/>
        </w:tabs>
        <w:numPr>
          <w:ilvl w:val="1"/>
          <w:numId w:val="223"/>
        </w:numPr>
        <w:rPr>
          <w:rFonts w:ascii="Arial" w:cs="Arial" w:eastAsia="Arial" w:hAnsi="Arial"/>
          <w:sz w:val="16"/>
          <w:szCs w:val="16"/>
          <w:color w:val="auto"/>
        </w:rPr>
      </w:pPr>
      <w:r>
        <w:rPr>
          <w:rFonts w:ascii="Arial" w:cs="Arial" w:eastAsia="Arial" w:hAnsi="Arial"/>
          <w:sz w:val="16"/>
          <w:szCs w:val="16"/>
          <w:color w:val="010101"/>
        </w:rPr>
        <w:t>The Issuing Lender for any Letter of Credit shall, within the time allowed by Applicable Laws or the specific terms of the Letter of Credit following its receipt thereof, examine all documents purporting to represent a demand for payment under such Letter of Credit. Such Issuing Lender shall promptly after such examination notify the Administrative Agent and the Company in writing of such demand for payment if such Issuing Lender has or will honor such demand for payment thereunder; provided that any failure to give or delay in giving such notice shall not relieve the Company of its obligation to reimburse such Issuing Lender and the L/C Participants with respect to such payment.</w:t>
      </w:r>
    </w:p>
    <w:p>
      <w:pPr>
        <w:spacing w:after="0" w:line="149"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10.03.</w:t>
      </w:r>
      <w:r>
        <w:rPr>
          <w:sz w:val="20"/>
          <w:szCs w:val="20"/>
          <w:color w:val="auto"/>
        </w:rPr>
        <w:tab/>
      </w:r>
      <w:r>
        <w:rPr>
          <w:rFonts w:ascii="Arial" w:cs="Arial" w:eastAsia="Arial" w:hAnsi="Arial"/>
          <w:sz w:val="14"/>
          <w:szCs w:val="14"/>
          <w:u w:val="single" w:color="auto"/>
          <w:color w:val="010101"/>
        </w:rPr>
        <w:t>Commissions and Other Charges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60" w:lineRule="exact"/>
        <w:rPr>
          <w:sz w:val="20"/>
          <w:szCs w:val="20"/>
          <w:color w:val="auto"/>
        </w:rPr>
      </w:pPr>
    </w:p>
    <w:p>
      <w:pPr>
        <w:jc w:val="both"/>
        <w:ind w:left="20" w:firstLine="487"/>
        <w:spacing w:after="0" w:line="230" w:lineRule="auto"/>
        <w:tabs>
          <w:tab w:leader="none" w:pos="910"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010101"/>
        </w:rPr>
        <w:t>Letter of Credit Commissions</w:t>
      </w:r>
      <w:r>
        <w:rPr>
          <w:rFonts w:ascii="Arial" w:cs="Arial" w:eastAsia="Arial" w:hAnsi="Arial"/>
          <w:sz w:val="16"/>
          <w:szCs w:val="16"/>
          <w:color w:val="010101"/>
        </w:rPr>
        <w:t xml:space="preserve">. Subject to </w:t>
      </w:r>
      <w:r>
        <w:rPr>
          <w:rFonts w:ascii="Arial" w:cs="Arial" w:eastAsia="Arial" w:hAnsi="Arial"/>
          <w:sz w:val="16"/>
          <w:szCs w:val="16"/>
          <w:u w:val="single" w:color="auto"/>
          <w:color w:val="010101"/>
        </w:rPr>
        <w:t>Section 2.18,</w:t>
      </w:r>
      <w:r>
        <w:rPr>
          <w:rFonts w:ascii="Arial" w:cs="Arial" w:eastAsia="Arial" w:hAnsi="Arial"/>
          <w:sz w:val="16"/>
          <w:szCs w:val="16"/>
          <w:color w:val="010101"/>
        </w:rPr>
        <w:t xml:space="preserve"> the Company shall pay to the Administrative Agent, for the account of the applicable Issuing Lender and the L/C Participants, a letter of credit commission with respect to each Letter of Credit beginning on the Effective Date in the amount equal to the Dollar Equivalent of the daily amount available to be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122</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84" w:name="page185"/>
    <w:bookmarkEnd w:id="184"/>
    <w:p>
      <w:pPr>
        <w:ind w:left="20" w:right="60"/>
        <w:spacing w:after="0" w:line="223" w:lineRule="auto"/>
        <w:rPr>
          <w:sz w:val="20"/>
          <w:szCs w:val="20"/>
          <w:color w:val="auto"/>
        </w:rPr>
      </w:pPr>
      <w:r>
        <w:rPr>
          <w:rFonts w:ascii="Arial" w:cs="Arial" w:eastAsia="Arial" w:hAnsi="Arial"/>
          <w:sz w:val="16"/>
          <w:szCs w:val="16"/>
          <w:color w:val="010101"/>
        </w:rPr>
        <w:t xml:space="preserve">drawn under such standby Letters of Credit times the Applicable Margin with respect to </w:t>
      </w:r>
      <w:r>
        <w:rPr>
          <w:rFonts w:ascii="Arial" w:cs="Arial" w:eastAsia="Arial" w:hAnsi="Arial"/>
          <w:sz w:val="16"/>
          <w:szCs w:val="16"/>
          <w:b w:val="1"/>
          <w:bCs w:val="1"/>
          <w:u w:val="single" w:color="auto"/>
          <w:color w:val="0000FF"/>
        </w:rPr>
        <w:t>Revolving</w:t>
      </w:r>
      <w:r>
        <w:rPr>
          <w:rFonts w:ascii="Arial" w:cs="Arial" w:eastAsia="Arial" w:hAnsi="Arial"/>
          <w:sz w:val="16"/>
          <w:szCs w:val="16"/>
          <w:color w:val="010101"/>
        </w:rPr>
        <w:t xml:space="preserve"> Advances that are RFR Advances (determined, in each case, on a per annum basis). Such commission shall be payable in US Dollars quarterly in arrears on the last Business Day of each calendar quarter (commencing with the first such date to occur after the issuance of such Letter of Credit), on the Termination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6"/>
          <w:szCs w:val="16"/>
          <w:u w:val="single" w:color="auto"/>
          <w:color w:val="010101"/>
        </w:rPr>
        <w:t>Section 10.03</w:t>
      </w:r>
      <w:r>
        <w:rPr>
          <w:rFonts w:ascii="Arial" w:cs="Arial" w:eastAsia="Arial" w:hAnsi="Arial"/>
          <w:sz w:val="16"/>
          <w:szCs w:val="16"/>
          <w:color w:val="010101"/>
        </w:rPr>
        <w:t xml:space="preserve"> in accordance with their respective Commitment Percentages.</w:t>
      </w:r>
    </w:p>
    <w:p>
      <w:pPr>
        <w:spacing w:after="0" w:line="150" w:lineRule="exact"/>
        <w:rPr>
          <w:sz w:val="20"/>
          <w:szCs w:val="20"/>
          <w:color w:val="auto"/>
        </w:rPr>
      </w:pPr>
    </w:p>
    <w:p>
      <w:pPr>
        <w:jc w:val="both"/>
        <w:ind w:left="20" w:firstLine="487"/>
        <w:spacing w:after="0" w:line="237" w:lineRule="auto"/>
        <w:tabs>
          <w:tab w:leader="none" w:pos="909"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010101"/>
        </w:rPr>
        <w:t>Issuance Fee</w:t>
      </w:r>
      <w:r>
        <w:rPr>
          <w:rFonts w:ascii="Arial" w:cs="Arial" w:eastAsia="Arial" w:hAnsi="Arial"/>
          <w:sz w:val="15"/>
          <w:szCs w:val="15"/>
          <w:color w:val="010101"/>
        </w:rPr>
        <w:t>. In addition to the foregoing commission, the Company shall pay directly to the applicable Issuing Lender, for its own account, an issuance fee with respect to each Letter of Credit issued by such Issuing Lender in such amount or as otherwise agreed upon between such Issuing Lender and the Company. Such issuance fee shall be payable in US Dollars quarterly in arrears on the last Business Day of each calendar quarter commencing with the first such date to occur after the issuance of such Letter of Credit, on the Termination Date and thereafter on demand of the applicable Issuing Lender. For the avoidance of doubt, such issuance fee shall be applicable to and paid upon each of the Existing Letters of Credit beginning on the Effective Date.</w:t>
      </w:r>
    </w:p>
    <w:p>
      <w:pPr>
        <w:spacing w:after="0" w:line="148" w:lineRule="exact"/>
        <w:rPr>
          <w:rFonts w:ascii="Arial" w:cs="Arial" w:eastAsia="Arial" w:hAnsi="Arial"/>
          <w:sz w:val="15"/>
          <w:szCs w:val="15"/>
          <w:color w:val="auto"/>
        </w:rPr>
      </w:pPr>
    </w:p>
    <w:p>
      <w:pPr>
        <w:jc w:val="both"/>
        <w:ind w:left="20" w:right="20" w:firstLine="487"/>
        <w:spacing w:after="0" w:line="225" w:lineRule="auto"/>
        <w:tabs>
          <w:tab w:leader="none" w:pos="91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010101"/>
        </w:rPr>
        <w:t>Other Fees, Costs, Charges and Expenses</w:t>
      </w:r>
      <w:r>
        <w:rPr>
          <w:rFonts w:ascii="Arial" w:cs="Arial" w:eastAsia="Arial" w:hAnsi="Arial"/>
          <w:sz w:val="16"/>
          <w:szCs w:val="16"/>
          <w:color w:val="010101"/>
        </w:rPr>
        <w:t>. In addition to the foregoing fees and commissions, the Company shall pay or reimburse each Issuing Lender for such normal and customary fees, costs, charges and expenses as are incurred or charged by such Issuing Lender in issuing, effecting payment under, amending or otherwise administering any Letter of Credit issued by it. Such customary fees, costs, charges and expenses are due and payable in US Dollars on demand and are nonrefundable.</w:t>
      </w:r>
    </w:p>
    <w:p>
      <w:pPr>
        <w:spacing w:after="0" w:line="139"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10.04.</w:t>
      </w:r>
      <w:r>
        <w:rPr>
          <w:sz w:val="20"/>
          <w:szCs w:val="20"/>
          <w:color w:val="auto"/>
        </w:rPr>
        <w:tab/>
      </w:r>
      <w:r>
        <w:rPr>
          <w:rFonts w:ascii="Arial" w:cs="Arial" w:eastAsia="Arial" w:hAnsi="Arial"/>
          <w:sz w:val="15"/>
          <w:szCs w:val="15"/>
          <w:u w:val="single" w:color="auto"/>
          <w:color w:val="010101"/>
        </w:rPr>
        <w:t>L/C Participations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firstLine="487"/>
        <w:spacing w:after="0" w:line="250" w:lineRule="auto"/>
        <w:tabs>
          <w:tab w:leader="none" w:pos="910" w:val="left"/>
        </w:tabs>
        <w:numPr>
          <w:ilvl w:val="0"/>
          <w:numId w:val="226"/>
        </w:numPr>
        <w:rPr>
          <w:rFonts w:ascii="Arial" w:cs="Arial" w:eastAsia="Arial" w:hAnsi="Arial"/>
          <w:sz w:val="14"/>
          <w:szCs w:val="14"/>
          <w:color w:val="auto"/>
        </w:rPr>
      </w:pPr>
      <w:r>
        <w:rPr>
          <w:rFonts w:ascii="Arial" w:cs="Arial" w:eastAsia="Arial" w:hAnsi="Arial"/>
          <w:sz w:val="14"/>
          <w:szCs w:val="14"/>
          <w:color w:val="010101"/>
        </w:rPr>
        <w:t xml:space="preserve">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Company through </w:t>
      </w:r>
      <w:r>
        <w:rPr>
          <w:rFonts w:ascii="Arial" w:cs="Arial" w:eastAsia="Arial" w:hAnsi="Arial"/>
          <w:sz w:val="14"/>
          <w:szCs w:val="14"/>
          <w:color w:val="FF0000"/>
          <w:strike w:val="1"/>
        </w:rPr>
        <w:t>an</w:t>
      </w:r>
      <w:r>
        <w:rPr>
          <w:rFonts w:ascii="Arial" w:cs="Arial" w:eastAsia="Arial" w:hAnsi="Arial"/>
          <w:sz w:val="14"/>
          <w:szCs w:val="14"/>
          <w:b w:val="1"/>
          <w:bCs w:val="1"/>
          <w:u w:val="single" w:color="auto"/>
          <w:color w:val="0000FF"/>
        </w:rPr>
        <w:t>a Revolving</w:t>
      </w:r>
      <w:r>
        <w:rPr>
          <w:rFonts w:ascii="Arial" w:cs="Arial" w:eastAsia="Arial" w:hAnsi="Arial"/>
          <w:sz w:val="14"/>
          <w:szCs w:val="14"/>
          <w:color w:val="010101"/>
        </w:rPr>
        <w:t xml:space="preserve"> Advance or otherwise in accordance with the terms of this Agreement, such L/C Participant shall pay to such Issuing Lender in the Currency of such Letter of Credit, upon demand at such Issuing Lender’s address for notices specified herein an amount equal to such L/C Participant’s Commitment Percentage of the amount of such draft, or any part thereof, which is not so reimbursed.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123</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1" w:right="519" w:bottom="1440" w:gutter="0" w:footer="0" w:header="0"/>
        </w:sectPr>
      </w:pPr>
    </w:p>
    <w:bookmarkStart w:id="185" w:name="page186"/>
    <w:bookmarkEnd w:id="185"/>
    <w:p>
      <w:pPr>
        <w:jc w:val="both"/>
        <w:ind w:left="20" w:firstLine="487"/>
        <w:spacing w:after="0" w:line="226" w:lineRule="auto"/>
        <w:tabs>
          <w:tab w:leader="none" w:pos="909" w:val="left"/>
        </w:tabs>
        <w:numPr>
          <w:ilvl w:val="0"/>
          <w:numId w:val="227"/>
        </w:numPr>
        <w:rPr>
          <w:rFonts w:ascii="Arial" w:cs="Arial" w:eastAsia="Arial" w:hAnsi="Arial"/>
          <w:sz w:val="15"/>
          <w:szCs w:val="15"/>
          <w:color w:val="auto"/>
        </w:rPr>
      </w:pPr>
      <w:r>
        <w:rPr>
          <w:rFonts w:ascii="Arial" w:cs="Arial" w:eastAsia="Arial" w:hAnsi="Arial"/>
          <w:sz w:val="15"/>
          <w:szCs w:val="15"/>
          <w:color w:val="010101"/>
        </w:rPr>
        <w:t xml:space="preserve">Upon becoming aware of any amount required to be paid by any L/C Participant to any Issuing Lender pursuant to </w:t>
      </w:r>
      <w:r>
        <w:rPr>
          <w:rFonts w:ascii="Arial" w:cs="Arial" w:eastAsia="Arial" w:hAnsi="Arial"/>
          <w:sz w:val="15"/>
          <w:szCs w:val="15"/>
          <w:u w:val="single" w:color="auto"/>
          <w:color w:val="010101"/>
        </w:rPr>
        <w:t>Section 10.04(a)</w:t>
      </w:r>
      <w:r>
        <w:rPr>
          <w:rFonts w:ascii="Arial" w:cs="Arial" w:eastAsia="Arial" w:hAnsi="Arial"/>
          <w:sz w:val="15"/>
          <w:szCs w:val="15"/>
          <w:color w:val="010101"/>
        </w:rPr>
        <w:t xml:space="preserve"> in respect of any unreimbursed portion of any payment made by such Issuing Lender under any Letter of Credit, issued by it, such Issuing Lender shall notify the Administrative Agent of such unreimbursed amount and the Currency thereof and the Administrative Agent shall notify each L/C Participant (with a copy to the applicable Issuing Lender) of the amount, Currency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the Administrative Agent, which in turn shall pay such Issuing Lender, in the applicable Currency in which such Letter of Credit is denominated, on demand, in addition to such amount, the product of (i) such amount, </w:t>
      </w:r>
      <w:r>
        <w:rPr>
          <w:rFonts w:ascii="Arial" w:cs="Arial" w:eastAsia="Arial" w:hAnsi="Arial"/>
          <w:sz w:val="15"/>
          <w:szCs w:val="15"/>
          <w:u w:val="single" w:color="auto"/>
          <w:color w:val="010101"/>
        </w:rPr>
        <w:t>times</w:t>
      </w:r>
      <w:r>
        <w:rPr>
          <w:rFonts w:ascii="Arial" w:cs="Arial" w:eastAsia="Arial" w:hAnsi="Arial"/>
          <w:sz w:val="15"/>
          <w:szCs w:val="15"/>
          <w:color w:val="010101"/>
        </w:rPr>
        <w:t xml:space="preserve"> (ii) the applicable Overnight Rate as determined by the Administrative Agent during the period from and including the date such payment is due to the date on which such payment is immediately available to such Issuing Lender, </w:t>
      </w:r>
      <w:r>
        <w:rPr>
          <w:rFonts w:ascii="Arial" w:cs="Arial" w:eastAsia="Arial" w:hAnsi="Arial"/>
          <w:sz w:val="15"/>
          <w:szCs w:val="15"/>
          <w:u w:val="single" w:color="auto"/>
          <w:color w:val="010101"/>
        </w:rPr>
        <w:t>times</w:t>
      </w:r>
      <w:r>
        <w:rPr>
          <w:rFonts w:ascii="Arial" w:cs="Arial" w:eastAsia="Arial" w:hAnsi="Arial"/>
          <w:sz w:val="15"/>
          <w:szCs w:val="15"/>
          <w:color w:val="010101"/>
        </w:rPr>
        <w:t xml:space="preserve"> (iii) a fraction the numerator of which is the number of days that elapse during such period and the denominator of which is 360, plus any administrative, processing or similar fees customarily charged by such Issuing Lender in connection with the foregoing.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w:t>
      </w:r>
    </w:p>
    <w:p>
      <w:pPr>
        <w:spacing w:after="0" w:line="4" w:lineRule="exact"/>
        <w:rPr>
          <w:rFonts w:ascii="Arial" w:cs="Arial" w:eastAsia="Arial" w:hAnsi="Arial"/>
          <w:sz w:val="15"/>
          <w:szCs w:val="15"/>
          <w:color w:val="auto"/>
        </w:rPr>
      </w:pPr>
    </w:p>
    <w:p>
      <w:pPr>
        <w:ind w:left="20"/>
        <w:spacing w:after="0" w:line="230" w:lineRule="auto"/>
        <w:rPr>
          <w:rFonts w:ascii="Arial" w:cs="Arial" w:eastAsia="Arial" w:hAnsi="Arial"/>
          <w:sz w:val="15"/>
          <w:szCs w:val="15"/>
          <w:color w:val="auto"/>
        </w:rPr>
      </w:pPr>
      <w:r>
        <w:rPr>
          <w:rFonts w:ascii="Arial" w:cs="Arial" w:eastAsia="Arial" w:hAnsi="Arial"/>
          <w:sz w:val="16"/>
          <w:szCs w:val="16"/>
          <w:color w:val="010101"/>
        </w:rPr>
        <w:t>p.m. on any Business Day, such payment shall be due that Business Day, and (B) after 1:00 p.m. on any Business Day, such payment shall be due on the following Business Day.</w:t>
      </w:r>
    </w:p>
    <w:p>
      <w:pPr>
        <w:spacing w:after="0" w:line="148" w:lineRule="exact"/>
        <w:rPr>
          <w:rFonts w:ascii="Arial" w:cs="Arial" w:eastAsia="Arial" w:hAnsi="Arial"/>
          <w:sz w:val="15"/>
          <w:szCs w:val="15"/>
          <w:color w:val="auto"/>
        </w:rPr>
      </w:pPr>
    </w:p>
    <w:p>
      <w:pPr>
        <w:jc w:val="both"/>
        <w:ind w:left="20" w:firstLine="487"/>
        <w:spacing w:after="0" w:line="257" w:lineRule="auto"/>
        <w:tabs>
          <w:tab w:leader="none" w:pos="910" w:val="left"/>
        </w:tabs>
        <w:numPr>
          <w:ilvl w:val="0"/>
          <w:numId w:val="227"/>
        </w:numPr>
        <w:rPr>
          <w:rFonts w:ascii="Arial" w:cs="Arial" w:eastAsia="Arial" w:hAnsi="Arial"/>
          <w:sz w:val="14"/>
          <w:szCs w:val="14"/>
          <w:color w:val="auto"/>
        </w:rPr>
      </w:pPr>
      <w:r>
        <w:rPr>
          <w:rFonts w:ascii="Arial" w:cs="Arial" w:eastAsia="Arial" w:hAnsi="Arial"/>
          <w:sz w:val="14"/>
          <w:szCs w:val="14"/>
          <w:color w:val="010101"/>
        </w:rPr>
        <w:t xml:space="preserve">Whenever, at any time after any Issuing Lender has made payment under any Letter of Credit issued by it and has received from any L/C Participant its Commitment Percentage of such payment in accordance with this Section, such Issuing Lender receives any payment related to such Letter of Credit (whether directly from the Administrative Agent or otherwise), or any payment of interest on account thereof, such Issuing Lender will distribute to such L/C Participant its </w:t>
      </w:r>
      <w:r>
        <w:rPr>
          <w:rFonts w:ascii="Arial" w:cs="Arial" w:eastAsia="Arial" w:hAnsi="Arial"/>
          <w:sz w:val="14"/>
          <w:szCs w:val="14"/>
          <w:u w:val="single" w:color="auto"/>
          <w:color w:val="010101"/>
        </w:rPr>
        <w:t>pro rata</w:t>
      </w:r>
      <w:r>
        <w:rPr>
          <w:rFonts w:ascii="Arial" w:cs="Arial" w:eastAsia="Arial" w:hAnsi="Arial"/>
          <w:sz w:val="14"/>
          <w:szCs w:val="14"/>
          <w:color w:val="010101"/>
        </w:rPr>
        <w:t xml:space="preserve"> share thereof; </w:t>
      </w:r>
      <w:r>
        <w:rPr>
          <w:rFonts w:ascii="Arial" w:cs="Arial" w:eastAsia="Arial" w:hAnsi="Arial"/>
          <w:sz w:val="14"/>
          <w:szCs w:val="14"/>
          <w:u w:val="single" w:color="auto"/>
          <w:color w:val="010101"/>
        </w:rPr>
        <w:t>provided</w:t>
      </w:r>
      <w:r>
        <w:rPr>
          <w:rFonts w:ascii="Arial" w:cs="Arial" w:eastAsia="Arial" w:hAnsi="Arial"/>
          <w:sz w:val="14"/>
          <w:szCs w:val="14"/>
          <w:color w:val="010101"/>
        </w:rPr>
        <w:t>, that in the event that any such payment received by such Issuing Lender shall be required to be returned by such Issuing Lender, such L/C Participant shall return to the Administrative Agent, which shall in turn pay to such Issuing Lender, the portion thereof previously distributed by such Issuing Lender to it.</w:t>
      </w:r>
    </w:p>
    <w:p>
      <w:pPr>
        <w:spacing w:after="0" w:line="134" w:lineRule="exact"/>
        <w:rPr>
          <w:rFonts w:ascii="Arial" w:cs="Arial" w:eastAsia="Arial" w:hAnsi="Arial"/>
          <w:sz w:val="14"/>
          <w:szCs w:val="14"/>
          <w:color w:val="auto"/>
        </w:rPr>
      </w:pPr>
    </w:p>
    <w:p>
      <w:pPr>
        <w:jc w:val="both"/>
        <w:ind w:left="20" w:firstLine="487"/>
        <w:spacing w:after="0" w:line="234" w:lineRule="auto"/>
        <w:tabs>
          <w:tab w:leader="none" w:pos="909" w:val="left"/>
        </w:tabs>
        <w:numPr>
          <w:ilvl w:val="0"/>
          <w:numId w:val="227"/>
        </w:numPr>
        <w:rPr>
          <w:rFonts w:ascii="Arial" w:cs="Arial" w:eastAsia="Arial" w:hAnsi="Arial"/>
          <w:sz w:val="15"/>
          <w:szCs w:val="15"/>
          <w:color w:val="auto"/>
        </w:rPr>
      </w:pPr>
      <w:r>
        <w:rPr>
          <w:rFonts w:ascii="Arial" w:cs="Arial" w:eastAsia="Arial" w:hAnsi="Arial"/>
          <w:sz w:val="15"/>
          <w:szCs w:val="15"/>
          <w:color w:val="010101"/>
        </w:rPr>
        <w:t xml:space="preserve">Each L/C Participant’s obligation to make the </w:t>
      </w:r>
      <w:r>
        <w:rPr>
          <w:rFonts w:ascii="Arial" w:cs="Arial" w:eastAsia="Arial" w:hAnsi="Arial"/>
          <w:sz w:val="15"/>
          <w:szCs w:val="15"/>
          <w:b w:val="1"/>
          <w:bCs w:val="1"/>
          <w:u w:val="single" w:color="auto"/>
          <w:color w:val="0000FF"/>
        </w:rPr>
        <w:t>Revolving</w:t>
      </w:r>
      <w:r>
        <w:rPr>
          <w:rFonts w:ascii="Arial" w:cs="Arial" w:eastAsia="Arial" w:hAnsi="Arial"/>
          <w:sz w:val="15"/>
          <w:szCs w:val="15"/>
          <w:color w:val="010101"/>
        </w:rPr>
        <w:t xml:space="preserve"> Advances and to purchase participating interests pursuant to this </w:t>
      </w:r>
      <w:r>
        <w:rPr>
          <w:rFonts w:ascii="Arial" w:cs="Arial" w:eastAsia="Arial" w:hAnsi="Arial"/>
          <w:sz w:val="15"/>
          <w:szCs w:val="15"/>
          <w:u w:val="single" w:color="auto"/>
          <w:color w:val="010101"/>
        </w:rPr>
        <w:t>Section 10.04</w:t>
      </w:r>
      <w:r>
        <w:rPr>
          <w:rFonts w:ascii="Arial" w:cs="Arial" w:eastAsia="Arial" w:hAnsi="Arial"/>
          <w:sz w:val="15"/>
          <w:szCs w:val="15"/>
          <w:color w:val="010101"/>
        </w:rPr>
        <w:t xml:space="preserve"> or </w:t>
      </w:r>
      <w:r>
        <w:rPr>
          <w:rFonts w:ascii="Arial" w:cs="Arial" w:eastAsia="Arial" w:hAnsi="Arial"/>
          <w:sz w:val="15"/>
          <w:szCs w:val="15"/>
          <w:u w:val="single" w:color="auto"/>
          <w:color w:val="010101"/>
        </w:rPr>
        <w:t>Section 10.05</w:t>
      </w:r>
      <w:r>
        <w:rPr>
          <w:rFonts w:ascii="Arial" w:cs="Arial" w:eastAsia="Arial" w:hAnsi="Arial"/>
          <w:sz w:val="15"/>
          <w:szCs w:val="15"/>
          <w:color w:val="010101"/>
        </w:rPr>
        <w:t>, as applicable, shall be absolute and unconditional and shall not be affected by any circumstance, including (i) any setoff, counterclaim, recoupment, defense or other right that such Lender or the Company may have against the Issuing Lender, the Company or any other Person for any reason whatsoever, (ii) the occurrence or continuance of a Default or an Event of Default or the failure to satisfy any of the other conditions specified in Section 3.02, (iii) any adverse change in the condition (financial or otherwise) of the Company, (iv) any breach of this Agreement or any other Loan Document by the Company, any other Credit Party or any other Lender or (v) any adverse change in the relevant exchange rates or in the availability of the relevant Foreign Currency to any L/C Participant or in the relevant currency markets generally or (vi) any other circumstance, happening or event whatsoever, whether or not similar to any of the foregoing.</w:t>
      </w:r>
    </w:p>
    <w:p>
      <w:pPr>
        <w:spacing w:after="0" w:line="140"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10.05.</w:t>
      </w:r>
      <w:r>
        <w:rPr>
          <w:sz w:val="20"/>
          <w:szCs w:val="20"/>
          <w:color w:val="auto"/>
        </w:rPr>
        <w:tab/>
      </w:r>
      <w:r>
        <w:rPr>
          <w:rFonts w:ascii="Arial" w:cs="Arial" w:eastAsia="Arial" w:hAnsi="Arial"/>
          <w:sz w:val="14"/>
          <w:szCs w:val="14"/>
          <w:u w:val="single" w:color="auto"/>
          <w:color w:val="010101"/>
        </w:rPr>
        <w:t>Reimbursement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124</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86" w:name="page187"/>
    <w:bookmarkEnd w:id="186"/>
    <w:p>
      <w:pPr>
        <w:jc w:val="both"/>
        <w:ind w:left="20" w:firstLine="487"/>
        <w:spacing w:after="0" w:line="244" w:lineRule="auto"/>
        <w:tabs>
          <w:tab w:leader="none" w:pos="589" w:val="left"/>
        </w:tabs>
        <w:numPr>
          <w:ilvl w:val="0"/>
          <w:numId w:val="228"/>
        </w:numPr>
        <w:rPr>
          <w:rFonts w:ascii="Arial" w:cs="Arial" w:eastAsia="Arial" w:hAnsi="Arial"/>
          <w:sz w:val="14"/>
          <w:szCs w:val="14"/>
          <w:color w:val="010101"/>
        </w:rPr>
      </w:pPr>
      <w:r>
        <w:rPr>
          <w:rFonts w:ascii="Arial" w:cs="Arial" w:eastAsia="Arial" w:hAnsi="Arial"/>
          <w:sz w:val="14"/>
          <w:szCs w:val="14"/>
          <w:color w:val="010101"/>
        </w:rPr>
        <w:t xml:space="preserve">In the event of any drawing under any Letter of Credit, the Company agrees to reimburse (either with the proceeds of an Advance as provided for in this Section or with funds from other sources), in same day funds, in the Currency of such Letter of Credit, the applicable Issuing Lender by paying to the Administrative Agent the amount of such drawing not later than 12:00 noon on the Business Day immediately following the day that the Company receives such notice for the amount of (x) such draft so paid and (y) any amounts referred to in </w:t>
      </w:r>
      <w:r>
        <w:rPr>
          <w:rFonts w:ascii="Arial" w:cs="Arial" w:eastAsia="Arial" w:hAnsi="Arial"/>
          <w:sz w:val="14"/>
          <w:szCs w:val="14"/>
          <w:u w:val="single" w:color="auto"/>
          <w:color w:val="010101"/>
        </w:rPr>
        <w:t>Section 10.03(c)</w:t>
      </w:r>
      <w:r>
        <w:rPr>
          <w:rFonts w:ascii="Arial" w:cs="Arial" w:eastAsia="Arial" w:hAnsi="Arial"/>
          <w:sz w:val="14"/>
          <w:szCs w:val="14"/>
          <w:color w:val="010101"/>
        </w:rPr>
        <w:t xml:space="preserve"> incurred by such Issuing Lender in connection with such payment. Unless the Company shall notify the Administrative Agent and such Issuing Lender that the Company intends to reimburse such Issuing Lender for such drawing from other sources or funds, the Company shall be deemed to have timely given a Notice of Borrowing to the Administrative Agent requesting that the Lenders make </w:t>
      </w:r>
      <w:r>
        <w:rPr>
          <w:rFonts w:ascii="Arial" w:cs="Arial" w:eastAsia="Arial" w:hAnsi="Arial"/>
          <w:sz w:val="14"/>
          <w:szCs w:val="14"/>
          <w:color w:val="FF0000"/>
          <w:strike w:val="1"/>
        </w:rPr>
        <w:t>an</w:t>
      </w:r>
      <w:r>
        <w:rPr>
          <w:rFonts w:ascii="Arial" w:cs="Arial" w:eastAsia="Arial" w:hAnsi="Arial"/>
          <w:sz w:val="14"/>
          <w:szCs w:val="14"/>
          <w:b w:val="1"/>
          <w:bCs w:val="1"/>
          <w:u w:val="single" w:color="auto"/>
          <w:color w:val="0000FF"/>
        </w:rPr>
        <w:t>a Revolving</w:t>
      </w:r>
      <w:r>
        <w:rPr>
          <w:rFonts w:ascii="Arial" w:cs="Arial" w:eastAsia="Arial" w:hAnsi="Arial"/>
          <w:sz w:val="14"/>
          <w:szCs w:val="14"/>
          <w:color w:val="010101"/>
        </w:rPr>
        <w:t xml:space="preserve"> Advance as a Base Rate Advance in US Dollars on the applicable repayment date in the amount (which, in the case of an amount denominated in a Foreign Currency, shall be the US Dollar Equivalent thereof)(without regard to the minimum and multiples specified in </w:t>
      </w:r>
      <w:r>
        <w:rPr>
          <w:rFonts w:ascii="Arial" w:cs="Arial" w:eastAsia="Arial" w:hAnsi="Arial"/>
          <w:sz w:val="14"/>
          <w:szCs w:val="14"/>
          <w:u w:val="single" w:color="auto"/>
          <w:color w:val="010101"/>
        </w:rPr>
        <w:t>Section 2.02(a)</w:t>
      </w:r>
      <w:r>
        <w:rPr>
          <w:rFonts w:ascii="Arial" w:cs="Arial" w:eastAsia="Arial" w:hAnsi="Arial"/>
          <w:sz w:val="14"/>
          <w:szCs w:val="14"/>
          <w:color w:val="010101"/>
        </w:rPr>
        <w:t xml:space="preserve">) of (i) such draft so paid and (ii) any amounts referred to in </w:t>
      </w:r>
      <w:r>
        <w:rPr>
          <w:rFonts w:ascii="Arial" w:cs="Arial" w:eastAsia="Arial" w:hAnsi="Arial"/>
          <w:sz w:val="14"/>
          <w:szCs w:val="14"/>
          <w:u w:val="single" w:color="auto"/>
          <w:color w:val="010101"/>
        </w:rPr>
        <w:t>Section</w:t>
      </w:r>
      <w:r>
        <w:rPr>
          <w:rFonts w:ascii="Arial" w:cs="Arial" w:eastAsia="Arial" w:hAnsi="Arial"/>
          <w:sz w:val="14"/>
          <w:szCs w:val="14"/>
          <w:color w:val="010101"/>
        </w:rPr>
        <w:t xml:space="preserve"> </w:t>
      </w:r>
      <w:r>
        <w:rPr>
          <w:rFonts w:ascii="Arial" w:cs="Arial" w:eastAsia="Arial" w:hAnsi="Arial"/>
          <w:sz w:val="14"/>
          <w:szCs w:val="14"/>
          <w:u w:val="single" w:color="auto"/>
          <w:color w:val="010101"/>
        </w:rPr>
        <w:t>10.03(c)</w:t>
      </w:r>
      <w:r>
        <w:rPr>
          <w:rFonts w:ascii="Arial" w:cs="Arial" w:eastAsia="Arial" w:hAnsi="Arial"/>
          <w:sz w:val="14"/>
          <w:szCs w:val="14"/>
          <w:color w:val="010101"/>
        </w:rPr>
        <w:t xml:space="preserve"> incurred by such Issuing Lender in connection with such payment (including any and all costs, fees and other expenses incurred by the applicable Issuing Lender in effecting the payment of any Letter of Credit denominated in a Foreign Currency), and the Lenders shall make </w:t>
      </w:r>
      <w:r>
        <w:rPr>
          <w:rFonts w:ascii="Arial" w:cs="Arial" w:eastAsia="Arial" w:hAnsi="Arial"/>
          <w:sz w:val="14"/>
          <w:szCs w:val="14"/>
          <w:color w:val="FF0000"/>
          <w:strike w:val="1"/>
        </w:rPr>
        <w:t>an</w:t>
      </w:r>
      <w:r>
        <w:rPr>
          <w:rFonts w:ascii="Arial" w:cs="Arial" w:eastAsia="Arial" w:hAnsi="Arial"/>
          <w:sz w:val="14"/>
          <w:szCs w:val="14"/>
          <w:b w:val="1"/>
          <w:bCs w:val="1"/>
          <w:u w:val="single" w:color="auto"/>
          <w:color w:val="0000FF"/>
        </w:rPr>
        <w:t>a Revolving</w:t>
      </w:r>
      <w:r>
        <w:rPr>
          <w:rFonts w:ascii="Arial" w:cs="Arial" w:eastAsia="Arial" w:hAnsi="Arial"/>
          <w:sz w:val="14"/>
          <w:szCs w:val="14"/>
          <w:color w:val="010101"/>
        </w:rPr>
        <w:t xml:space="preserve"> Advance as a Base Rate Advance in such amount, the proceeds of which shall be applied to reimburse such Issuing Lender for the amount of the related drawing and such fees and expenses. Each Lender acknowledges and agrees that its obligation to fund </w:t>
      </w:r>
      <w:r>
        <w:rPr>
          <w:rFonts w:ascii="Arial" w:cs="Arial" w:eastAsia="Arial" w:hAnsi="Arial"/>
          <w:sz w:val="14"/>
          <w:szCs w:val="14"/>
          <w:color w:val="FF0000"/>
          <w:strike w:val="1"/>
        </w:rPr>
        <w:t>an</w:t>
      </w:r>
      <w:r>
        <w:rPr>
          <w:rFonts w:ascii="Arial" w:cs="Arial" w:eastAsia="Arial" w:hAnsi="Arial"/>
          <w:sz w:val="14"/>
          <w:szCs w:val="14"/>
          <w:b w:val="1"/>
          <w:bCs w:val="1"/>
          <w:u w:val="single" w:color="auto"/>
          <w:color w:val="0000FF"/>
        </w:rPr>
        <w:t>a Revolving</w:t>
      </w:r>
      <w:r>
        <w:rPr>
          <w:rFonts w:ascii="Arial" w:cs="Arial" w:eastAsia="Arial" w:hAnsi="Arial"/>
          <w:sz w:val="14"/>
          <w:szCs w:val="14"/>
          <w:color w:val="010101"/>
        </w:rPr>
        <w:t xml:space="preserve"> Advance in accordance with this Section to reimburse such Issuing Lender for any draft paid under a Letter of Credit issued by it is absolute and unconditional and shall not be affected by any circumstance whatsoever, including non-satisfaction of the conditions set forth in </w:t>
      </w:r>
      <w:r>
        <w:rPr>
          <w:rFonts w:ascii="Arial" w:cs="Arial" w:eastAsia="Arial" w:hAnsi="Arial"/>
          <w:sz w:val="14"/>
          <w:szCs w:val="14"/>
          <w:u w:val="single" w:color="auto"/>
          <w:color w:val="010101"/>
        </w:rPr>
        <w:t>Section 2.02(a)</w:t>
      </w:r>
      <w:r>
        <w:rPr>
          <w:rFonts w:ascii="Arial" w:cs="Arial" w:eastAsia="Arial" w:hAnsi="Arial"/>
          <w:sz w:val="14"/>
          <w:szCs w:val="14"/>
          <w:color w:val="010101"/>
        </w:rPr>
        <w:t>. If the Company has elected to pay the amount of such drawing with funds from other sources and shall fail to reimburse such Issuing Lender in the applicable Currency as provided above, or if the amount of such drawing is not fully refunded through a Base Rate Advance as provided above, the unreimbursed amount of such drawing shall bear interest at the rate which would be payable on any outstanding Base Rate Advances which were then overdue from the date such amounts become payable (whether at stated maturity, by acceleration or otherwise) until paid in full. The Company shall, upon demand from any Issuing Lender or L/C Participant, pay to such Issuing Lender or L/C Participant, the amount of (i) any loss or cost or increased cost incurred by such Issuing Lender or L/C Participant, (ii) any reduction in any amount payable to or in the effective return on the capital to such Issuing Lender or L/C Participant and (iii) any currency exchange loss, in each case that such Issuing Lender or L/C Participant sustains as a result of the Company’s repayment in US Dollars of any Letter of Credit denominated in a Foreign Currency. A certificate of such Issuing Lender setting forth in reasonable detail the basis for determining such additional amounts or amounts necessary to compensate such Issuing Lender shall be conclusively presumed to be correct save for manifest error.</w:t>
      </w:r>
    </w:p>
    <w:p>
      <w:pPr>
        <w:spacing w:after="0" w:line="311"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10.06.</w:t>
      </w:r>
      <w:r>
        <w:rPr>
          <w:sz w:val="20"/>
          <w:szCs w:val="20"/>
          <w:color w:val="auto"/>
        </w:rPr>
        <w:tab/>
      </w:r>
      <w:r>
        <w:rPr>
          <w:rFonts w:ascii="Arial" w:cs="Arial" w:eastAsia="Arial" w:hAnsi="Arial"/>
          <w:sz w:val="14"/>
          <w:szCs w:val="14"/>
          <w:u w:val="single" w:color="auto"/>
          <w:color w:val="010101"/>
        </w:rPr>
        <w:t>Obligations Absolute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60" w:lineRule="exact"/>
        <w:rPr>
          <w:sz w:val="20"/>
          <w:szCs w:val="20"/>
          <w:color w:val="auto"/>
        </w:rPr>
      </w:pPr>
    </w:p>
    <w:p>
      <w:pPr>
        <w:ind w:left="20" w:right="20" w:firstLine="487"/>
        <w:spacing w:after="0" w:line="239" w:lineRule="auto"/>
        <w:tabs>
          <w:tab w:leader="none" w:pos="910" w:val="left"/>
        </w:tabs>
        <w:numPr>
          <w:ilvl w:val="0"/>
          <w:numId w:val="229"/>
        </w:numPr>
        <w:rPr>
          <w:rFonts w:ascii="Arial" w:cs="Arial" w:eastAsia="Arial" w:hAnsi="Arial"/>
          <w:sz w:val="16"/>
          <w:szCs w:val="16"/>
          <w:color w:val="auto"/>
        </w:rPr>
      </w:pPr>
      <w:r>
        <w:rPr>
          <w:rFonts w:ascii="Arial" w:cs="Arial" w:eastAsia="Arial" w:hAnsi="Arial"/>
          <w:sz w:val="16"/>
          <w:szCs w:val="16"/>
          <w:color w:val="010101"/>
        </w:rPr>
        <w:t xml:space="preserve">The Company’s obligations under this </w:t>
      </w:r>
      <w:r>
        <w:rPr>
          <w:rFonts w:ascii="Arial" w:cs="Arial" w:eastAsia="Arial" w:hAnsi="Arial"/>
          <w:sz w:val="16"/>
          <w:szCs w:val="16"/>
          <w:u w:val="single" w:color="auto"/>
          <w:color w:val="010101"/>
        </w:rPr>
        <w:t>Article X</w:t>
      </w:r>
      <w:r>
        <w:rPr>
          <w:rFonts w:ascii="Arial" w:cs="Arial" w:eastAsia="Arial" w:hAnsi="Arial"/>
          <w:sz w:val="16"/>
          <w:szCs w:val="16"/>
          <w:color w:val="010101"/>
        </w:rPr>
        <w:t xml:space="preserve"> (including the Reimbursement Obligation) shall be absolute, unconditional and irrevocable under any and all circumstances whatsoever, and shall be performed strictly in accordance with the terms of this Agreement, and irrespective of:</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125</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083" w:right="499" w:bottom="1440" w:gutter="0" w:footer="0" w:header="0"/>
        </w:sectPr>
      </w:pPr>
    </w:p>
    <w:bookmarkStart w:id="187" w:name="page188"/>
    <w:bookmarkEnd w:id="187"/>
    <w:p>
      <w:pPr>
        <w:ind w:left="1000"/>
        <w:spacing w:after="0"/>
        <w:tabs>
          <w:tab w:leader="none" w:pos="1380" w:val="left"/>
        </w:tabs>
        <w:rPr>
          <w:sz w:val="20"/>
          <w:szCs w:val="20"/>
          <w:color w:val="auto"/>
        </w:rPr>
      </w:pPr>
      <w:r>
        <w:rPr>
          <w:rFonts w:ascii="Arial" w:cs="Arial" w:eastAsia="Arial" w:hAnsi="Arial"/>
          <w:sz w:val="15"/>
          <w:szCs w:val="15"/>
          <w:color w:val="auto"/>
        </w:rPr>
        <w:t>(i)</w:t>
      </w:r>
      <w:r>
        <w:rPr>
          <w:sz w:val="20"/>
          <w:szCs w:val="20"/>
          <w:color w:val="auto"/>
        </w:rPr>
        <w:tab/>
      </w:r>
      <w:r>
        <w:rPr>
          <w:rFonts w:ascii="Arial" w:cs="Arial" w:eastAsia="Arial" w:hAnsi="Arial"/>
          <w:sz w:val="15"/>
          <w:szCs w:val="15"/>
          <w:color w:val="010101"/>
        </w:rPr>
        <w:t>any lack of validity or enforceability of any Letter of Credit, any Letter of Credit Document or this Agreement, or any term or provision therein or</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herein;</w:t>
      </w:r>
    </w:p>
    <w:p>
      <w:pPr>
        <w:spacing w:after="0" w:line="156" w:lineRule="exact"/>
        <w:rPr>
          <w:sz w:val="20"/>
          <w:szCs w:val="20"/>
          <w:color w:val="auto"/>
        </w:rPr>
      </w:pPr>
    </w:p>
    <w:p>
      <w:pPr>
        <w:jc w:val="both"/>
        <w:ind w:left="500" w:right="40" w:firstLine="492"/>
        <w:spacing w:after="0" w:line="225" w:lineRule="auto"/>
        <w:tabs>
          <w:tab w:leader="none" w:pos="1389" w:val="left"/>
        </w:tabs>
        <w:numPr>
          <w:ilvl w:val="1"/>
          <w:numId w:val="230"/>
        </w:numPr>
        <w:rPr>
          <w:rFonts w:ascii="Arial" w:cs="Arial" w:eastAsia="Arial" w:hAnsi="Arial"/>
          <w:sz w:val="16"/>
          <w:szCs w:val="16"/>
          <w:color w:val="auto"/>
        </w:rPr>
      </w:pPr>
      <w:r>
        <w:rPr>
          <w:rFonts w:ascii="Arial" w:cs="Arial" w:eastAsia="Arial" w:hAnsi="Arial"/>
          <w:sz w:val="16"/>
          <w:szCs w:val="16"/>
          <w:color w:val="010101"/>
        </w:rPr>
        <w:t>the existence of any claim, counterclaim, setoff, defense or other right that the Company may have or have had against the applicable Issuing Lender or any beneficiary of a Letter of Credit (or any Person for whom any such beneficiary or any such transferee may be acting), the applicable Issuing Lender or any other Person, whether in connection with this Agreement, the transactions contemplated hereby or by such Letter of Credit or any agreement or instrument relating thereto, or any unrelated transaction;</w:t>
      </w:r>
    </w:p>
    <w:p>
      <w:pPr>
        <w:spacing w:after="0" w:line="148" w:lineRule="exact"/>
        <w:rPr>
          <w:rFonts w:ascii="Arial" w:cs="Arial" w:eastAsia="Arial" w:hAnsi="Arial"/>
          <w:sz w:val="16"/>
          <w:szCs w:val="16"/>
          <w:color w:val="auto"/>
        </w:rPr>
      </w:pPr>
    </w:p>
    <w:p>
      <w:pPr>
        <w:jc w:val="both"/>
        <w:ind w:left="500" w:right="40" w:firstLine="492"/>
        <w:spacing w:after="0" w:line="230" w:lineRule="auto"/>
        <w:tabs>
          <w:tab w:leader="none" w:pos="1390" w:val="left"/>
        </w:tabs>
        <w:numPr>
          <w:ilvl w:val="1"/>
          <w:numId w:val="230"/>
        </w:numPr>
        <w:rPr>
          <w:rFonts w:ascii="Arial" w:cs="Arial" w:eastAsia="Arial" w:hAnsi="Arial"/>
          <w:sz w:val="16"/>
          <w:szCs w:val="16"/>
          <w:color w:val="auto"/>
        </w:rPr>
      </w:pPr>
      <w:r>
        <w:rPr>
          <w:rFonts w:ascii="Arial" w:cs="Arial" w:eastAsia="Arial" w:hAnsi="Arial"/>
          <w:sz w:val="16"/>
          <w:szCs w:val="16"/>
          <w:color w:val="010101"/>
        </w:rPr>
        <w:t>the validity or genuineness of documents or of any endorsements thereon, even though such documents shall in fact prove to be invalid, fraudulent, forged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37" w:lineRule="exact"/>
        <w:rPr>
          <w:rFonts w:ascii="Arial" w:cs="Arial" w:eastAsia="Arial" w:hAnsi="Arial"/>
          <w:sz w:val="16"/>
          <w:szCs w:val="16"/>
          <w:color w:val="auto"/>
        </w:rPr>
      </w:pPr>
    </w:p>
    <w:p>
      <w:pPr>
        <w:ind w:left="500" w:right="40" w:firstLine="492"/>
        <w:spacing w:after="0" w:line="239" w:lineRule="auto"/>
        <w:tabs>
          <w:tab w:leader="none" w:pos="1389" w:val="left"/>
        </w:tabs>
        <w:numPr>
          <w:ilvl w:val="1"/>
          <w:numId w:val="230"/>
        </w:numPr>
        <w:rPr>
          <w:rFonts w:ascii="Arial" w:cs="Arial" w:eastAsia="Arial" w:hAnsi="Arial"/>
          <w:sz w:val="16"/>
          <w:szCs w:val="16"/>
          <w:color w:val="auto"/>
        </w:rPr>
      </w:pPr>
      <w:r>
        <w:rPr>
          <w:rFonts w:ascii="Arial" w:cs="Arial" w:eastAsia="Arial" w:hAnsi="Arial"/>
          <w:sz w:val="16"/>
          <w:szCs w:val="16"/>
          <w:color w:val="010101"/>
        </w:rPr>
        <w:t>any payment by the Issuing Lender under a Letter of Credit against presentation of a draft or other document that does not comply with the terms of such Letter of Credit;</w:t>
      </w:r>
    </w:p>
    <w:p>
      <w:pPr>
        <w:spacing w:after="0" w:line="148" w:lineRule="exact"/>
        <w:rPr>
          <w:rFonts w:ascii="Arial" w:cs="Arial" w:eastAsia="Arial" w:hAnsi="Arial"/>
          <w:sz w:val="16"/>
          <w:szCs w:val="16"/>
          <w:color w:val="auto"/>
        </w:rPr>
      </w:pPr>
    </w:p>
    <w:p>
      <w:pPr>
        <w:ind w:left="500" w:right="40" w:firstLine="492"/>
        <w:spacing w:after="0" w:line="239" w:lineRule="auto"/>
        <w:tabs>
          <w:tab w:leader="none" w:pos="1389" w:val="left"/>
        </w:tabs>
        <w:numPr>
          <w:ilvl w:val="1"/>
          <w:numId w:val="230"/>
        </w:numPr>
        <w:rPr>
          <w:rFonts w:ascii="Arial" w:cs="Arial" w:eastAsia="Arial" w:hAnsi="Arial"/>
          <w:sz w:val="16"/>
          <w:szCs w:val="16"/>
          <w:color w:val="auto"/>
        </w:rPr>
      </w:pPr>
      <w:r>
        <w:rPr>
          <w:rFonts w:ascii="Arial" w:cs="Arial" w:eastAsia="Arial" w:hAnsi="Arial"/>
          <w:sz w:val="16"/>
          <w:szCs w:val="16"/>
          <w:color w:val="010101"/>
        </w:rPr>
        <w:t>any adverse change in the relevant exchange rates or in the availability of the relevant Foreign Currency to the Company or any Subsidiary or in the relevant currency markets generally;</w:t>
      </w:r>
    </w:p>
    <w:p>
      <w:pPr>
        <w:spacing w:after="0" w:line="148" w:lineRule="exact"/>
        <w:rPr>
          <w:rFonts w:ascii="Arial" w:cs="Arial" w:eastAsia="Arial" w:hAnsi="Arial"/>
          <w:sz w:val="16"/>
          <w:szCs w:val="16"/>
          <w:color w:val="auto"/>
        </w:rPr>
      </w:pPr>
    </w:p>
    <w:p>
      <w:pPr>
        <w:ind w:left="500" w:right="40" w:firstLine="492"/>
        <w:spacing w:after="0" w:line="239" w:lineRule="auto"/>
        <w:tabs>
          <w:tab w:leader="none" w:pos="1389" w:val="left"/>
        </w:tabs>
        <w:numPr>
          <w:ilvl w:val="1"/>
          <w:numId w:val="230"/>
        </w:numPr>
        <w:rPr>
          <w:rFonts w:ascii="Arial" w:cs="Arial" w:eastAsia="Arial" w:hAnsi="Arial"/>
          <w:sz w:val="16"/>
          <w:szCs w:val="16"/>
          <w:color w:val="auto"/>
        </w:rPr>
      </w:pPr>
      <w:r>
        <w:rPr>
          <w:rFonts w:ascii="Arial" w:cs="Arial" w:eastAsia="Arial" w:hAnsi="Arial"/>
          <w:sz w:val="16"/>
          <w:szCs w:val="16"/>
          <w:color w:val="010101"/>
        </w:rPr>
        <w:t>any draft or other document presented under a Letter of Credit proving to be forged, fraudulent or invalid in any respect or any statement in such draft or other document being untrue or inaccurate in any respect; or</w:t>
      </w:r>
    </w:p>
    <w:p>
      <w:pPr>
        <w:spacing w:after="0" w:line="138" w:lineRule="exact"/>
        <w:rPr>
          <w:rFonts w:ascii="Arial" w:cs="Arial" w:eastAsia="Arial" w:hAnsi="Arial"/>
          <w:sz w:val="16"/>
          <w:szCs w:val="16"/>
          <w:color w:val="auto"/>
        </w:rPr>
      </w:pPr>
    </w:p>
    <w:p>
      <w:pPr>
        <w:ind w:left="500" w:right="40" w:firstLine="492"/>
        <w:spacing w:after="0" w:line="239" w:lineRule="auto"/>
        <w:tabs>
          <w:tab w:leader="none" w:pos="1389" w:val="left"/>
        </w:tabs>
        <w:numPr>
          <w:ilvl w:val="1"/>
          <w:numId w:val="230"/>
        </w:numPr>
        <w:rPr>
          <w:rFonts w:ascii="Arial" w:cs="Arial" w:eastAsia="Arial" w:hAnsi="Arial"/>
          <w:sz w:val="16"/>
          <w:szCs w:val="16"/>
          <w:color w:val="auto"/>
        </w:rPr>
      </w:pPr>
      <w:r>
        <w:rPr>
          <w:rFonts w:ascii="Arial" w:cs="Arial" w:eastAsia="Arial" w:hAnsi="Arial"/>
          <w:sz w:val="16"/>
          <w:szCs w:val="16"/>
          <w:color w:val="010101"/>
        </w:rPr>
        <w:t>any other event or circumstance whatsoever, whether or not similar to any of the foregoing, that might, but for the provisions of this Section, constitute a legal or equitable discharge of, or provide a right of setoff against, the Company’s obligations hereunder.</w:t>
      </w:r>
    </w:p>
    <w:p>
      <w:pPr>
        <w:spacing w:after="0" w:line="148" w:lineRule="exact"/>
        <w:rPr>
          <w:rFonts w:ascii="Arial" w:cs="Arial" w:eastAsia="Arial" w:hAnsi="Arial"/>
          <w:sz w:val="16"/>
          <w:szCs w:val="16"/>
          <w:color w:val="auto"/>
        </w:rPr>
      </w:pPr>
    </w:p>
    <w:p>
      <w:pPr>
        <w:jc w:val="both"/>
        <w:ind w:left="20" w:firstLine="487"/>
        <w:spacing w:after="0" w:line="232" w:lineRule="auto"/>
        <w:tabs>
          <w:tab w:leader="none" w:pos="909" w:val="left"/>
        </w:tabs>
        <w:numPr>
          <w:ilvl w:val="0"/>
          <w:numId w:val="231"/>
        </w:numPr>
        <w:rPr>
          <w:rFonts w:ascii="Arial" w:cs="Arial" w:eastAsia="Arial" w:hAnsi="Arial"/>
          <w:sz w:val="15"/>
          <w:szCs w:val="15"/>
          <w:color w:val="auto"/>
        </w:rPr>
      </w:pPr>
      <w:r>
        <w:rPr>
          <w:rFonts w:ascii="Arial" w:cs="Arial" w:eastAsia="Arial" w:hAnsi="Arial"/>
          <w:sz w:val="15"/>
          <w:szCs w:val="15"/>
          <w:color w:val="010101"/>
        </w:rPr>
        <w:t xml:space="preserve">The Company also agrees that the applicable Issuing Lender and the L/C Participants shall not be responsible for, and the Company’s Reimbursement Obligation under </w:t>
      </w:r>
      <w:r>
        <w:rPr>
          <w:rFonts w:ascii="Arial" w:cs="Arial" w:eastAsia="Arial" w:hAnsi="Arial"/>
          <w:sz w:val="15"/>
          <w:szCs w:val="15"/>
          <w:u w:val="single" w:color="auto"/>
          <w:color w:val="010101"/>
        </w:rPr>
        <w:t>Section 10.05</w:t>
      </w:r>
      <w:r>
        <w:rPr>
          <w:rFonts w:ascii="Arial" w:cs="Arial" w:eastAsia="Arial" w:hAnsi="Arial"/>
          <w:sz w:val="15"/>
          <w:szCs w:val="15"/>
          <w:color w:val="010101"/>
        </w:rPr>
        <w:t xml:space="preserve"> shall not be affected by, among other things, the validity or genuineness of documents or of any endorsements thereon, even though such documents shall in fact prove to be invalid, fraudulent or forged, or any dispute between or among the Company and any beneficiary of any Letter of Credit or any other party to which such Letter of Credit may be transferred or any claims whatsoever of the Company against any beneficiary of such Letter of Credit or any such transferee. The applicable Issuing Lender, the L/C Participants and their respective Related Parties shall not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126</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60"/>
          </w:cols>
          <w:pgMar w:left="360" w:top="1083" w:right="479" w:bottom="1440" w:gutter="0" w:footer="0" w:header="0"/>
        </w:sectPr>
      </w:pPr>
    </w:p>
    <w:bookmarkStart w:id="188" w:name="page189"/>
    <w:bookmarkEnd w:id="188"/>
    <w:p>
      <w:pPr>
        <w:jc w:val="both"/>
        <w:ind w:left="20"/>
        <w:spacing w:after="0" w:line="254" w:lineRule="auto"/>
        <w:rPr>
          <w:sz w:val="20"/>
          <w:szCs w:val="20"/>
          <w:color w:val="auto"/>
        </w:rPr>
      </w:pPr>
      <w:r>
        <w:rPr>
          <w:rFonts w:ascii="Arial" w:cs="Arial" w:eastAsia="Arial" w:hAnsi="Arial"/>
          <w:sz w:val="14"/>
          <w:szCs w:val="14"/>
          <w:color w:val="010101"/>
        </w:rPr>
        <w:t xml:space="preserve">make a drawing thereunder), any error in interpretation of technical terms or any consequence arising from causes beyond the control of the applicable Issuing Lender;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the foregoing shall not be construed to excuse an Issuing Lender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the applicable Issuing Lender (as finally determined by a court of competent jurisdiction), such Issuing Lender shall be deemed to have exercised care in each such determination.</w:t>
      </w:r>
    </w:p>
    <w:p>
      <w:pPr>
        <w:spacing w:after="0" w:line="140" w:lineRule="exact"/>
        <w:rPr>
          <w:sz w:val="20"/>
          <w:szCs w:val="20"/>
          <w:color w:val="auto"/>
        </w:rPr>
      </w:pPr>
    </w:p>
    <w:p>
      <w:pPr>
        <w:jc w:val="both"/>
        <w:ind w:left="20" w:right="20" w:firstLine="487"/>
        <w:spacing w:after="0" w:line="216" w:lineRule="auto"/>
        <w:tabs>
          <w:tab w:leader="none" w:pos="910" w:val="left"/>
        </w:tabs>
        <w:numPr>
          <w:ilvl w:val="0"/>
          <w:numId w:val="232"/>
        </w:numPr>
        <w:rPr>
          <w:rFonts w:ascii="Arial" w:cs="Arial" w:eastAsia="Arial" w:hAnsi="Arial"/>
          <w:sz w:val="16"/>
          <w:szCs w:val="16"/>
          <w:color w:val="auto"/>
        </w:rPr>
      </w:pPr>
      <w:r>
        <w:rPr>
          <w:rFonts w:ascii="Arial" w:cs="Arial" w:eastAsia="Arial" w:hAnsi="Arial"/>
          <w:sz w:val="16"/>
          <w:szCs w:val="16"/>
          <w:color w:val="010101"/>
        </w:rPr>
        <w:t>In furtherance of the foregoing and without limiting the generality thereof, the parties agree that (i)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(ii) an Issuing Lender may act upon any instruction or request relative to a Letter of Credit or requested Letter of Credit that such Issuing Lender in good faith believes to have been given by a Person authorized to give such instruction or request and (iii) an Issuing Lender may replace a purportedly lost, stolen, or destroyed original Letter of Credit or missing amendment thereto with a certified true copy marked as such or waive a requirement for its presentation. The responsibility of any Issuing Lender to the Company in connection with any draft presented for payment under any Letter of Credit issued by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52" w:lineRule="exact"/>
        <w:rPr>
          <w:rFonts w:ascii="Arial" w:cs="Arial" w:eastAsia="Arial" w:hAnsi="Arial"/>
          <w:sz w:val="16"/>
          <w:szCs w:val="16"/>
          <w:color w:val="auto"/>
        </w:rPr>
      </w:pPr>
    </w:p>
    <w:p>
      <w:pPr>
        <w:jc w:val="both"/>
        <w:ind w:left="20" w:right="20" w:firstLine="487"/>
        <w:spacing w:after="0" w:line="220" w:lineRule="auto"/>
        <w:tabs>
          <w:tab w:leader="none" w:pos="909" w:val="left"/>
        </w:tabs>
        <w:numPr>
          <w:ilvl w:val="0"/>
          <w:numId w:val="232"/>
        </w:numPr>
        <w:rPr>
          <w:rFonts w:ascii="Arial" w:cs="Arial" w:eastAsia="Arial" w:hAnsi="Arial"/>
          <w:sz w:val="16"/>
          <w:szCs w:val="16"/>
          <w:color w:val="auto"/>
        </w:rPr>
      </w:pPr>
      <w:r>
        <w:rPr>
          <w:rFonts w:ascii="Arial" w:cs="Arial" w:eastAsia="Arial" w:hAnsi="Arial"/>
          <w:sz w:val="16"/>
          <w:szCs w:val="16"/>
          <w:color w:val="010101"/>
        </w:rPr>
        <w:t>Notwithstanding anything to the contrary herein, no Issuing Lender shall be responsible to the Company for, and such Issuing Lender’s rights and remedies against the Company shall not be impaired by, any action or inaction of such Issuing Lender required or permitted under any law, order, or practice that is required or permitted to be applied to any Letter of Credit or this Agreement, including the Applicable Laws or any order of a jurisdiction in which such Issuing Lender or the beneficiary is located, the practice stated in the ISP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140"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10.07.</w:t>
      </w:r>
      <w:r>
        <w:rPr>
          <w:sz w:val="20"/>
          <w:szCs w:val="20"/>
          <w:color w:val="auto"/>
        </w:rPr>
        <w:tab/>
      </w:r>
      <w:r>
        <w:rPr>
          <w:rFonts w:ascii="Arial" w:cs="Arial" w:eastAsia="Arial" w:hAnsi="Arial"/>
          <w:sz w:val="14"/>
          <w:szCs w:val="14"/>
          <w:u w:val="single" w:color="auto"/>
          <w:color w:val="010101"/>
        </w:rPr>
        <w:t>Effect of Letter of Credit Documents</w:t>
      </w:r>
    </w:p>
    <w:p>
      <w:pPr>
        <w:spacing w:after="0" w:line="170" w:lineRule="exact"/>
        <w:rPr>
          <w:sz w:val="20"/>
          <w:szCs w:val="20"/>
          <w:color w:val="auto"/>
        </w:rPr>
      </w:pPr>
    </w:p>
    <w:p>
      <w:pPr>
        <w:ind w:left="20" w:right="20" w:firstLine="487"/>
        <w:spacing w:after="0" w:line="239" w:lineRule="auto"/>
        <w:tabs>
          <w:tab w:leader="none" w:pos="604" w:val="left"/>
        </w:tabs>
        <w:numPr>
          <w:ilvl w:val="0"/>
          <w:numId w:val="233"/>
        </w:numPr>
        <w:rPr>
          <w:rFonts w:ascii="Arial" w:cs="Arial" w:eastAsia="Arial" w:hAnsi="Arial"/>
          <w:sz w:val="16"/>
          <w:szCs w:val="16"/>
          <w:color w:val="010101"/>
        </w:rPr>
      </w:pPr>
      <w:r>
        <w:rPr>
          <w:rFonts w:ascii="Arial" w:cs="Arial" w:eastAsia="Arial" w:hAnsi="Arial"/>
          <w:sz w:val="16"/>
          <w:szCs w:val="16"/>
          <w:color w:val="010101"/>
        </w:rPr>
        <w:t xml:space="preserve">To the extent that any provision of any Letter of Credit Document related to any Letter of Credit is inconsistent with the provisions of this </w:t>
      </w:r>
      <w:r>
        <w:rPr>
          <w:rFonts w:ascii="Arial" w:cs="Arial" w:eastAsia="Arial" w:hAnsi="Arial"/>
          <w:sz w:val="16"/>
          <w:szCs w:val="16"/>
          <w:u w:val="single" w:color="auto"/>
          <w:color w:val="010101"/>
        </w:rPr>
        <w:t>Article X</w:t>
      </w:r>
      <w:r>
        <w:rPr>
          <w:rFonts w:ascii="Arial" w:cs="Arial" w:eastAsia="Arial" w:hAnsi="Arial"/>
          <w:sz w:val="16"/>
          <w:szCs w:val="16"/>
          <w:color w:val="010101"/>
        </w:rPr>
        <w:t xml:space="preserve">, the provisions of this </w:t>
      </w:r>
      <w:r>
        <w:rPr>
          <w:rFonts w:ascii="Arial" w:cs="Arial" w:eastAsia="Arial" w:hAnsi="Arial"/>
          <w:sz w:val="16"/>
          <w:szCs w:val="16"/>
          <w:u w:val="single" w:color="auto"/>
          <w:color w:val="010101"/>
        </w:rPr>
        <w:t>Article X</w:t>
      </w:r>
      <w:r>
        <w:rPr>
          <w:rFonts w:ascii="Arial" w:cs="Arial" w:eastAsia="Arial" w:hAnsi="Arial"/>
          <w:sz w:val="16"/>
          <w:szCs w:val="16"/>
          <w:color w:val="010101"/>
        </w:rPr>
        <w:t xml:space="preserve"> shall apply.</w:t>
      </w:r>
    </w:p>
    <w:p>
      <w:pPr>
        <w:spacing w:after="0" w:line="149"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10.08.</w:t>
      </w:r>
      <w:r>
        <w:rPr>
          <w:sz w:val="20"/>
          <w:szCs w:val="20"/>
          <w:color w:val="auto"/>
        </w:rPr>
        <w:tab/>
      </w:r>
      <w:r>
        <w:rPr>
          <w:rFonts w:ascii="Arial" w:cs="Arial" w:eastAsia="Arial" w:hAnsi="Arial"/>
          <w:sz w:val="14"/>
          <w:szCs w:val="14"/>
          <w:u w:val="single" w:color="auto"/>
          <w:color w:val="010101"/>
        </w:rPr>
        <w:t>Removal and Resignation of Issuing Lenders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127</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89" w:name="page190"/>
    <w:bookmarkEnd w:id="189"/>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ind w:left="20" w:right="20" w:firstLine="487"/>
        <w:spacing w:after="0" w:line="271" w:lineRule="auto"/>
        <w:tabs>
          <w:tab w:leader="none" w:pos="910" w:val="left"/>
        </w:tabs>
        <w:numPr>
          <w:ilvl w:val="0"/>
          <w:numId w:val="234"/>
        </w:numPr>
        <w:rPr>
          <w:rFonts w:ascii="Arial" w:cs="Arial" w:eastAsia="Arial" w:hAnsi="Arial"/>
          <w:sz w:val="15"/>
          <w:szCs w:val="15"/>
          <w:color w:val="auto"/>
        </w:rPr>
      </w:pPr>
      <w:r>
        <w:rPr>
          <w:rFonts w:ascii="Arial" w:cs="Arial" w:eastAsia="Arial" w:hAnsi="Arial"/>
          <w:sz w:val="15"/>
          <w:szCs w:val="15"/>
          <w:color w:val="010101"/>
        </w:rPr>
        <w:t>The Company may at any time remove any Lender from its role as an Issuing Lender hereunder upon not less than thirty (30) days prior notice to such Issuing Lender and the Administrative Agent (or such shorter period of time as may be acceptable to such Issuing Lender and the Administrative Agent).</w:t>
      </w:r>
    </w:p>
    <w:p>
      <w:pPr>
        <w:spacing w:after="0" w:line="125" w:lineRule="exact"/>
        <w:rPr>
          <w:rFonts w:ascii="Arial" w:cs="Arial" w:eastAsia="Arial" w:hAnsi="Arial"/>
          <w:sz w:val="15"/>
          <w:szCs w:val="15"/>
          <w:color w:val="auto"/>
        </w:rPr>
      </w:pPr>
    </w:p>
    <w:p>
      <w:pPr>
        <w:jc w:val="both"/>
        <w:ind w:left="20" w:right="20" w:firstLine="487"/>
        <w:spacing w:after="0" w:line="225" w:lineRule="auto"/>
        <w:tabs>
          <w:tab w:leader="none" w:pos="909" w:val="left"/>
        </w:tabs>
        <w:numPr>
          <w:ilvl w:val="0"/>
          <w:numId w:val="234"/>
        </w:numPr>
        <w:rPr>
          <w:rFonts w:ascii="Arial" w:cs="Arial" w:eastAsia="Arial" w:hAnsi="Arial"/>
          <w:sz w:val="16"/>
          <w:szCs w:val="16"/>
          <w:color w:val="auto"/>
        </w:rPr>
      </w:pPr>
      <w:r>
        <w:rPr>
          <w:rFonts w:ascii="Arial" w:cs="Arial" w:eastAsia="Arial" w:hAnsi="Arial"/>
          <w:sz w:val="16"/>
          <w:szCs w:val="16"/>
          <w:color w:val="010101"/>
        </w:rPr>
        <w:t>Any Issuing Lender may resign at any time by giving 30 days’ prior notice to the Administrative Agent, the Lenders and the Company.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the outstanding Letter of Credit.</w:t>
      </w:r>
    </w:p>
    <w:p>
      <w:pPr>
        <w:spacing w:after="0" w:line="138" w:lineRule="exact"/>
        <w:rPr>
          <w:rFonts w:ascii="Arial" w:cs="Arial" w:eastAsia="Arial" w:hAnsi="Arial"/>
          <w:sz w:val="16"/>
          <w:szCs w:val="16"/>
          <w:color w:val="auto"/>
        </w:rPr>
      </w:pPr>
    </w:p>
    <w:p>
      <w:pPr>
        <w:jc w:val="both"/>
        <w:ind w:left="20" w:right="20" w:firstLine="487"/>
        <w:spacing w:after="0" w:line="219" w:lineRule="auto"/>
        <w:tabs>
          <w:tab w:leader="none" w:pos="910" w:val="left"/>
        </w:tabs>
        <w:numPr>
          <w:ilvl w:val="0"/>
          <w:numId w:val="234"/>
        </w:numPr>
        <w:rPr>
          <w:rFonts w:ascii="Arial" w:cs="Arial" w:eastAsia="Arial" w:hAnsi="Arial"/>
          <w:sz w:val="16"/>
          <w:szCs w:val="16"/>
          <w:color w:val="auto"/>
        </w:rPr>
      </w:pPr>
      <w:r>
        <w:rPr>
          <w:rFonts w:ascii="Arial" w:cs="Arial" w:eastAsia="Arial" w:hAnsi="Arial"/>
          <w:sz w:val="16"/>
          <w:szCs w:val="16"/>
          <w:color w:val="010101"/>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the right to require the Lenders to take such actions as are required under </w:t>
      </w:r>
      <w:r>
        <w:rPr>
          <w:rFonts w:ascii="Arial" w:cs="Arial" w:eastAsia="Arial" w:hAnsi="Arial"/>
          <w:sz w:val="16"/>
          <w:szCs w:val="16"/>
          <w:u w:val="single" w:color="auto"/>
          <w:color w:val="010101"/>
        </w:rPr>
        <w:t>Section 10.04</w:t>
      </w:r>
      <w:r>
        <w:rPr>
          <w:rFonts w:ascii="Arial" w:cs="Arial" w:eastAsia="Arial" w:hAnsi="Arial"/>
          <w:sz w:val="16"/>
          <w:szCs w:val="16"/>
          <w:color w:val="010101"/>
        </w:rPr>
        <w:t>). Without limiting the foregoing, upon the removal or resignation of a Lender as an Issuing Lender hereunder, the Company may arrange for one or more of the other Issuing Lenders to issue Letters of Credit in the applicable Currency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148"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10.09.</w:t>
      </w:r>
      <w:r>
        <w:rPr>
          <w:sz w:val="20"/>
          <w:szCs w:val="20"/>
          <w:color w:val="auto"/>
        </w:rPr>
        <w:tab/>
      </w:r>
      <w:r>
        <w:rPr>
          <w:rFonts w:ascii="Arial" w:cs="Arial" w:eastAsia="Arial" w:hAnsi="Arial"/>
          <w:sz w:val="15"/>
          <w:szCs w:val="15"/>
          <w:u w:val="single" w:color="auto"/>
          <w:color w:val="010101"/>
        </w:rPr>
        <w:t>Reporting of Letter of Credit Information and L/C Commitment</w:t>
      </w:r>
    </w:p>
    <w:p>
      <w:pPr>
        <w:spacing w:after="0" w:line="170" w:lineRule="exact"/>
        <w:rPr>
          <w:sz w:val="20"/>
          <w:szCs w:val="20"/>
          <w:color w:val="auto"/>
        </w:rPr>
      </w:pPr>
    </w:p>
    <w:p>
      <w:pPr>
        <w:jc w:val="both"/>
        <w:ind w:left="20" w:firstLine="487"/>
        <w:spacing w:after="0" w:line="231" w:lineRule="auto"/>
        <w:tabs>
          <w:tab w:leader="none" w:pos="585" w:val="left"/>
        </w:tabs>
        <w:numPr>
          <w:ilvl w:val="0"/>
          <w:numId w:val="235"/>
        </w:numPr>
        <w:rPr>
          <w:rFonts w:ascii="Arial" w:cs="Arial" w:eastAsia="Arial" w:hAnsi="Arial"/>
          <w:sz w:val="15"/>
          <w:szCs w:val="15"/>
          <w:color w:val="010101"/>
        </w:rPr>
      </w:pPr>
      <w:r>
        <w:rPr>
          <w:rFonts w:ascii="Arial" w:cs="Arial" w:eastAsia="Arial" w:hAnsi="Arial"/>
          <w:sz w:val="15"/>
          <w:szCs w:val="15"/>
          <w:color w:val="010101"/>
        </w:rPr>
        <w:t xml:space="preserve">At any time that there is an Issuing Lender that is not also the financial institution acting as Administrative Agent, then (a) no later than the fifth Business Day following the last day of each calendar month, (b) on each date that a Letter of Credit is amended or terminated, by such Issuing Lender, or otherwise expires, (c) on each date that a Letter of Credit is issued or the expiry date of a Letter of Credit is extended by such Issuing Lender,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15"/>
          <w:szCs w:val="15"/>
          <w:u w:val="single" w:color="auto"/>
          <w:color w:val="010101"/>
        </w:rPr>
        <w:t>Section 10.09</w:t>
      </w:r>
      <w:r>
        <w:rPr>
          <w:rFonts w:ascii="Arial" w:cs="Arial" w:eastAsia="Arial" w:hAnsi="Arial"/>
          <w:sz w:val="15"/>
          <w:szCs w:val="15"/>
          <w:color w:val="010101"/>
        </w:rPr>
        <w:t xml:space="preserve"> shall limit the obligations of the Company or any Lender hereunder with respect to its reimbursement and participation obligations hereunder.</w:t>
      </w:r>
    </w:p>
    <w:p>
      <w:pPr>
        <w:spacing w:after="0" w:line="143"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10.10.</w:t>
      </w:r>
      <w:r>
        <w:rPr>
          <w:sz w:val="20"/>
          <w:szCs w:val="20"/>
          <w:color w:val="auto"/>
        </w:rPr>
        <w:tab/>
      </w:r>
      <w:r>
        <w:rPr>
          <w:rFonts w:ascii="Arial" w:cs="Arial" w:eastAsia="Arial" w:hAnsi="Arial"/>
          <w:sz w:val="14"/>
          <w:szCs w:val="14"/>
          <w:u w:val="single" w:color="auto"/>
          <w:color w:val="010101"/>
        </w:rPr>
        <w:t>Letters of Credit Issued for Subsidiaries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128</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90" w:name="page191"/>
    <w:bookmarkEnd w:id="190"/>
    <w:p>
      <w:pPr>
        <w:jc w:val="both"/>
        <w:ind w:left="20" w:firstLine="487"/>
        <w:spacing w:after="0" w:line="218" w:lineRule="auto"/>
        <w:tabs>
          <w:tab w:leader="none" w:pos="591" w:val="left"/>
        </w:tabs>
        <w:numPr>
          <w:ilvl w:val="0"/>
          <w:numId w:val="236"/>
        </w:numPr>
        <w:rPr>
          <w:rFonts w:ascii="Arial" w:cs="Arial" w:eastAsia="Arial" w:hAnsi="Arial"/>
          <w:sz w:val="16"/>
          <w:szCs w:val="16"/>
          <w:color w:val="010101"/>
        </w:rPr>
      </w:pPr>
      <w:r>
        <w:rPr>
          <w:rFonts w:ascii="Arial" w:cs="Arial" w:eastAsia="Arial" w:hAnsi="Arial"/>
          <w:sz w:val="16"/>
          <w:szCs w:val="16"/>
          <w:color w:val="010101"/>
        </w:rPr>
        <w:t>Notwithstanding that a Letter of Credit issued or outstanding hereunder is in support of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Company (a) shall be obligated to reimburse, or to cause the applicable Subsidiary to reimburse, the applicable Issuing Lender hereunder for any and all drawings under such Letter of Credit as if such Letter of Credit had been issued solely for the account of the Company and (b) irrevocably waives any and all defenses that might otherwise be available to it as a guarantor or surety of any or all of the obligations of such Subsidiary in respect of such Letter of Credit. The Company hereby acknowledges that the issuance of Letters of Credit for the account of any of its Subsidiaries inures to the benefit of the Company and that the Company’s business derives substantial benefits from the businesses of such Subsidiaries.</w:t>
      </w:r>
    </w:p>
    <w:p>
      <w:pPr>
        <w:spacing w:after="0" w:line="148"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16"/>
          <w:szCs w:val="16"/>
          <w:color w:val="auto"/>
        </w:rPr>
        <w:t>SECTION 10.11.</w:t>
      </w:r>
      <w:r>
        <w:rPr>
          <w:sz w:val="20"/>
          <w:szCs w:val="20"/>
          <w:color w:val="auto"/>
        </w:rPr>
        <w:tab/>
      </w:r>
      <w:r>
        <w:rPr>
          <w:rFonts w:ascii="Arial" w:cs="Arial" w:eastAsia="Arial" w:hAnsi="Arial"/>
          <w:sz w:val="15"/>
          <w:szCs w:val="15"/>
          <w:u w:val="single" w:color="auto"/>
          <w:color w:val="010101"/>
        </w:rPr>
        <w:t>Letter of Credit Amounts</w:t>
      </w:r>
    </w:p>
    <w:p>
      <w:pPr>
        <w:spacing w:after="0" w:line="170" w:lineRule="exact"/>
        <w:rPr>
          <w:sz w:val="20"/>
          <w:szCs w:val="20"/>
          <w:color w:val="auto"/>
        </w:rPr>
      </w:pPr>
    </w:p>
    <w:p>
      <w:pPr>
        <w:jc w:val="both"/>
        <w:ind w:left="20" w:firstLine="487"/>
        <w:spacing w:after="0"/>
        <w:tabs>
          <w:tab w:leader="none" w:pos="601" w:val="left"/>
        </w:tabs>
        <w:numPr>
          <w:ilvl w:val="0"/>
          <w:numId w:val="237"/>
        </w:numPr>
        <w:rPr>
          <w:rFonts w:ascii="Arial" w:cs="Arial" w:eastAsia="Arial" w:hAnsi="Arial"/>
          <w:sz w:val="15"/>
          <w:szCs w:val="15"/>
          <w:color w:val="010101"/>
        </w:rPr>
      </w:pPr>
      <w:r>
        <w:rPr>
          <w:rFonts w:ascii="Arial" w:cs="Arial" w:eastAsia="Arial" w:hAnsi="Arial"/>
          <w:sz w:val="15"/>
          <w:szCs w:val="15"/>
          <w:color w:val="010101"/>
        </w:rPr>
        <w:t>Unless otherwise specified, all references herein to the amount of a Letter of Credit at any time shall be deemed to mean the maximum face amount, or the Dollar Equivalent of the maximum face amount, if applicable,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 (b) any amount which is drawn, reimbursed and no longer available under such Letter of Credit).</w:t>
      </w:r>
    </w:p>
    <w:p>
      <w:pPr>
        <w:spacing w:after="0" w:line="139"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6"/>
          <w:szCs w:val="16"/>
          <w:color w:val="auto"/>
        </w:rPr>
        <w:t>SECTION 10.12.</w:t>
      </w:r>
      <w:r>
        <w:rPr>
          <w:sz w:val="20"/>
          <w:szCs w:val="20"/>
          <w:color w:val="auto"/>
        </w:rPr>
        <w:tab/>
      </w:r>
      <w:r>
        <w:rPr>
          <w:rFonts w:ascii="Arial" w:cs="Arial" w:eastAsia="Arial" w:hAnsi="Arial"/>
          <w:sz w:val="14"/>
          <w:szCs w:val="14"/>
          <w:u w:val="single" w:color="auto"/>
          <w:color w:val="010101"/>
        </w:rPr>
        <w:t>Cash Collateral for Extended Letters of Credit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010101"/>
        </w:rPr>
        <w:t>.</w:t>
      </w:r>
    </w:p>
    <w:p>
      <w:pPr>
        <w:spacing w:after="0" w:line="170" w:lineRule="exact"/>
        <w:rPr>
          <w:sz w:val="20"/>
          <w:szCs w:val="20"/>
          <w:color w:val="auto"/>
        </w:rPr>
      </w:pPr>
    </w:p>
    <w:p>
      <w:pPr>
        <w:jc w:val="both"/>
        <w:ind w:left="20" w:firstLine="487"/>
        <w:spacing w:after="0" w:line="248" w:lineRule="auto"/>
        <w:tabs>
          <w:tab w:leader="none" w:pos="910"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010101"/>
        </w:rPr>
        <w:t>Cash Collateralization</w:t>
      </w:r>
      <w:r>
        <w:rPr>
          <w:rFonts w:ascii="Arial" w:cs="Arial" w:eastAsia="Arial" w:hAnsi="Arial"/>
          <w:sz w:val="14"/>
          <w:szCs w:val="14"/>
          <w:color w:val="010101"/>
        </w:rPr>
        <w:t xml:space="preserve">. The Company shall provide Cash Collateral to each applicable Issuing Lender with respect to each Extended Letter of Credit issued by such Issuing Lender (in an amount equal to the Dollar Equivalent of 103% of the maximum face amount of each Extended Letter of Credit) by a date that is no later than 45 days prior to the Termination Date by depositing such amount in immediately available funds, in US Dollars, into a cash collateral account maintained at the applicable Issuing Lender and shall enter into a cash collateral agreement in form and substance reasonably satisfactory to such Issuing Lender and such other documentation as such Issuing Lender or the Administrative Agent may reasonably request; </w:t>
      </w:r>
      <w:r>
        <w:rPr>
          <w:rFonts w:ascii="Arial" w:cs="Arial" w:eastAsia="Arial" w:hAnsi="Arial"/>
          <w:sz w:val="14"/>
          <w:szCs w:val="14"/>
          <w:u w:val="single" w:color="auto"/>
          <w:color w:val="010101"/>
        </w:rPr>
        <w:t>provided</w:t>
      </w:r>
      <w:r>
        <w:rPr>
          <w:rFonts w:ascii="Arial" w:cs="Arial" w:eastAsia="Arial" w:hAnsi="Arial"/>
          <w:sz w:val="14"/>
          <w:szCs w:val="14"/>
          <w:color w:val="010101"/>
        </w:rPr>
        <w:t xml:space="preserve"> that if the Company fails to provide Cash Collateral with respect to any such Extended Letter of Credit by such time, such event shall be treated as a drawing under such Extended Letter of Credit in an amount equal to the Dollar Equivalent of 103% of the maximum face amount of each such Letter of Credit, which shall be reimbursed (or participations therein funded) in accordance with this </w:t>
      </w:r>
      <w:r>
        <w:rPr>
          <w:rFonts w:ascii="Arial" w:cs="Arial" w:eastAsia="Arial" w:hAnsi="Arial"/>
          <w:sz w:val="14"/>
          <w:szCs w:val="14"/>
          <w:u w:val="single" w:color="auto"/>
          <w:color w:val="010101"/>
        </w:rPr>
        <w:t>Article X</w:t>
      </w:r>
      <w:r>
        <w:rPr>
          <w:rFonts w:ascii="Arial" w:cs="Arial" w:eastAsia="Arial" w:hAnsi="Arial"/>
          <w:sz w:val="14"/>
          <w:szCs w:val="14"/>
          <w:color w:val="010101"/>
        </w:rPr>
        <w:t>, with the proceeds of Advances (or funded participations) being utilized to provide Cash Collateral for such Letter of Credit (provided that for purposes of determining the usage of the Commitment any such Extended Letter of Credit that has been, or will concurrently be, Cash Collateralized with proceeds of an Advance, the portion of such Extended Letter of Credit that has been (or will concurrently be) so Cash Collateralized will not be deemed to be utilization of the Commitment).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129</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91" w:name="page192"/>
    <w:bookmarkEnd w:id="191"/>
    <w:p>
      <w:pPr>
        <w:jc w:val="both"/>
        <w:ind w:left="20" w:firstLine="487"/>
        <w:spacing w:after="0" w:line="235" w:lineRule="auto"/>
        <w:tabs>
          <w:tab w:leader="none" w:pos="909"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010101"/>
        </w:rPr>
        <w:t>Grant of Security Interest</w:t>
      </w:r>
      <w:r>
        <w:rPr>
          <w:rFonts w:ascii="Arial" w:cs="Arial" w:eastAsia="Arial" w:hAnsi="Arial"/>
          <w:sz w:val="15"/>
          <w:szCs w:val="15"/>
          <w:color w:val="010101"/>
        </w:rPr>
        <w:t xml:space="preserve">. The Company, and to the extent provided by the L/C Participants, each of such L/C Participants, hereby grants to the applicable Issuing Lender of each Extended Letter of Credit, and agrees to maintain, a first priority security interest in, all Cash Collateral required to be provided by this </w:t>
      </w:r>
      <w:r>
        <w:rPr>
          <w:rFonts w:ascii="Arial" w:cs="Arial" w:eastAsia="Arial" w:hAnsi="Arial"/>
          <w:sz w:val="15"/>
          <w:szCs w:val="15"/>
          <w:u w:val="single" w:color="auto"/>
          <w:color w:val="010101"/>
        </w:rPr>
        <w:t>Section</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10.12</w:t>
      </w:r>
      <w:r>
        <w:rPr>
          <w:rFonts w:ascii="Arial" w:cs="Arial" w:eastAsia="Arial" w:hAnsi="Arial"/>
          <w:sz w:val="15"/>
          <w:szCs w:val="15"/>
          <w:color w:val="010101"/>
        </w:rPr>
        <w:t xml:space="preserve"> as security for such Issuing Lender’s obligation to fund draws under such Extended Letters of Credit, to be applied pursuant to subsection (c) below. If at any time the applicable Issuing Lender determines that the Cash Collateral is subject to any right or claim of any Person other than such Issuing Lender as herein provided, or that the total amount of such Cash Collateral is less than the amount required pursuant to subsection (a) above, the Company will, promptly upon demand by such Issuing Lender, pay or provide to such Issuing Lender additional Cash Collateral in an amount sufficient to eliminate such deficiency.</w:t>
      </w:r>
    </w:p>
    <w:p>
      <w:pPr>
        <w:spacing w:after="0" w:line="148" w:lineRule="exact"/>
        <w:rPr>
          <w:rFonts w:ascii="Arial" w:cs="Arial" w:eastAsia="Arial" w:hAnsi="Arial"/>
          <w:sz w:val="15"/>
          <w:szCs w:val="15"/>
          <w:color w:val="auto"/>
        </w:rPr>
      </w:pPr>
    </w:p>
    <w:p>
      <w:pPr>
        <w:jc w:val="both"/>
        <w:ind w:left="20" w:firstLine="487"/>
        <w:spacing w:after="0" w:line="225" w:lineRule="auto"/>
        <w:tabs>
          <w:tab w:leader="none" w:pos="910"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010101"/>
        </w:rPr>
        <w:t>Application</w:t>
      </w:r>
      <w:r>
        <w:rPr>
          <w:rFonts w:ascii="Arial" w:cs="Arial" w:eastAsia="Arial" w:hAnsi="Arial"/>
          <w:sz w:val="16"/>
          <w:szCs w:val="16"/>
          <w:color w:val="010101"/>
        </w:rPr>
        <w:t xml:space="preserve">. Notwithstanding anything to the contrary contained in this Agreement or any other Loan Document, Cash Collateral provided under this </w:t>
      </w:r>
      <w:r>
        <w:rPr>
          <w:rFonts w:ascii="Arial" w:cs="Arial" w:eastAsia="Arial" w:hAnsi="Arial"/>
          <w:sz w:val="16"/>
          <w:szCs w:val="16"/>
          <w:u w:val="single" w:color="auto"/>
          <w:color w:val="010101"/>
        </w:rPr>
        <w:t>Section 10.12</w:t>
      </w:r>
      <w:r>
        <w:rPr>
          <w:rFonts w:ascii="Arial" w:cs="Arial" w:eastAsia="Arial" w:hAnsi="Arial"/>
          <w:sz w:val="16"/>
          <w:szCs w:val="16"/>
          <w:color w:val="010101"/>
        </w:rPr>
        <w:t xml:space="preserve"> in respect of Extended Letters of Credit shall be applied to reimburse the applicable Issuing Lender for all drawings made under such Extended Letters of Credit and any and all fees, expenses and charges incurred in connection therewith, prior to any other application of such property as may otherwise be provided for herein.</w:t>
      </w:r>
    </w:p>
    <w:p>
      <w:pPr>
        <w:spacing w:after="0" w:line="148" w:lineRule="exact"/>
        <w:rPr>
          <w:rFonts w:ascii="Arial" w:cs="Arial" w:eastAsia="Arial" w:hAnsi="Arial"/>
          <w:sz w:val="16"/>
          <w:szCs w:val="16"/>
          <w:color w:val="auto"/>
        </w:rPr>
      </w:pPr>
    </w:p>
    <w:p>
      <w:pPr>
        <w:jc w:val="both"/>
        <w:ind w:left="20" w:firstLine="487"/>
        <w:spacing w:after="0" w:line="231" w:lineRule="auto"/>
        <w:tabs>
          <w:tab w:leader="none" w:pos="909"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010101"/>
        </w:rPr>
        <w:t>Cash Collateralized Letters of Credit</w:t>
      </w:r>
      <w:r>
        <w:rPr>
          <w:rFonts w:ascii="Arial" w:cs="Arial" w:eastAsia="Arial" w:hAnsi="Arial"/>
          <w:sz w:val="15"/>
          <w:szCs w:val="15"/>
          <w:color w:val="010101"/>
        </w:rPr>
        <w:t>. Subject to clause (e) below, if the Company has fully Cash Collateralized the applicable Issuing Lender with respect to any Extended Letter of Credit issued by such Issuing Lender in accordance with subsections (a) through (c) above and the Company and the applicable Issuing Lender have made arrangements between them with respect to the pricing and fees associated therewith (each such Extended Letter of Credit, a “</w:t>
      </w:r>
      <w:r>
        <w:rPr>
          <w:rFonts w:ascii="Arial" w:cs="Arial" w:eastAsia="Arial" w:hAnsi="Arial"/>
          <w:sz w:val="15"/>
          <w:szCs w:val="15"/>
          <w:u w:val="single" w:color="auto"/>
          <w:color w:val="010101"/>
        </w:rPr>
        <w:t>Cash Collateralized Letter of</w:t>
      </w:r>
      <w:r>
        <w:rPr>
          <w:rFonts w:ascii="Arial" w:cs="Arial" w:eastAsia="Arial" w:hAnsi="Arial"/>
          <w:sz w:val="15"/>
          <w:szCs w:val="15"/>
          <w:color w:val="010101"/>
        </w:rPr>
        <w:t xml:space="preserve"> </w:t>
      </w:r>
      <w:r>
        <w:rPr>
          <w:rFonts w:ascii="Arial" w:cs="Arial" w:eastAsia="Arial" w:hAnsi="Arial"/>
          <w:sz w:val="15"/>
          <w:szCs w:val="15"/>
          <w:u w:val="single" w:color="auto"/>
          <w:color w:val="010101"/>
        </w:rPr>
        <w:t>Credit</w:t>
      </w:r>
      <w:r>
        <w:rPr>
          <w:rFonts w:ascii="Arial" w:cs="Arial" w:eastAsia="Arial" w:hAnsi="Arial"/>
          <w:sz w:val="15"/>
          <w:szCs w:val="15"/>
          <w:color w:val="010101"/>
        </w:rPr>
        <w:t xml:space="preserve">”), then after the date of notice to the Administrative Agent thereof by the applicable Issuing Lender and for so long as such Cash Collateral remains in place (i) such Cash Collateralized Letter of Credit shall cease to be a “Letter of Credit” hereunder, (ii) such Cash Collateralized Letter of Credit shall not constitute utilization of the Commitment, (iii) no Lender shall have any further obligation to fund participations or Advances to reimburse any drawing under any such Cash Collateralized Letter of Credit, (iv) no Letter of Credit commissions under </w:t>
      </w:r>
      <w:r>
        <w:rPr>
          <w:rFonts w:ascii="Arial" w:cs="Arial" w:eastAsia="Arial" w:hAnsi="Arial"/>
          <w:sz w:val="15"/>
          <w:szCs w:val="15"/>
          <w:u w:val="single" w:color="auto"/>
          <w:color w:val="010101"/>
        </w:rPr>
        <w:t>Section 10.03(a)</w:t>
      </w:r>
      <w:r>
        <w:rPr>
          <w:rFonts w:ascii="Arial" w:cs="Arial" w:eastAsia="Arial" w:hAnsi="Arial"/>
          <w:sz w:val="15"/>
          <w:szCs w:val="15"/>
          <w:color w:val="010101"/>
        </w:rPr>
        <w:t xml:space="preserve"> shall be due or payable to the Lenders, or any of them, hereunder with respect to such Cash Collateralized Letter of Credit, and (v) any fronting fee, issuance fee or other fee with respect to such Cash Collateralized Letter of Credit shall be as agreed separately between the Company and such Issuing Lender.</w:t>
      </w:r>
    </w:p>
    <w:p>
      <w:pPr>
        <w:spacing w:after="0" w:line="142" w:lineRule="exact"/>
        <w:rPr>
          <w:rFonts w:ascii="Arial" w:cs="Arial" w:eastAsia="Arial" w:hAnsi="Arial"/>
          <w:sz w:val="15"/>
          <w:szCs w:val="15"/>
          <w:color w:val="auto"/>
        </w:rPr>
      </w:pPr>
    </w:p>
    <w:p>
      <w:pPr>
        <w:jc w:val="both"/>
        <w:ind w:left="20" w:firstLine="487"/>
        <w:spacing w:after="0" w:line="233" w:lineRule="auto"/>
        <w:tabs>
          <w:tab w:leader="none" w:pos="910"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010101"/>
        </w:rPr>
        <w:t>Reinstatement</w:t>
      </w:r>
      <w:r>
        <w:rPr>
          <w:rFonts w:ascii="Arial" w:cs="Arial" w:eastAsia="Arial" w:hAnsi="Arial"/>
          <w:sz w:val="15"/>
          <w:szCs w:val="15"/>
          <w:color w:val="010101"/>
        </w:rPr>
        <w:t xml:space="preserve">. The Company and each Lender agree that, if any payment or deposit made by the Company or any other Person applied to the Cash Collateral required under this </w:t>
      </w:r>
      <w:r>
        <w:rPr>
          <w:rFonts w:ascii="Arial" w:cs="Arial" w:eastAsia="Arial" w:hAnsi="Arial"/>
          <w:sz w:val="15"/>
          <w:szCs w:val="15"/>
          <w:u w:val="single" w:color="auto"/>
          <w:color w:val="010101"/>
        </w:rPr>
        <w:t>Section 10.12</w:t>
      </w:r>
      <w:r>
        <w:rPr>
          <w:rFonts w:ascii="Arial" w:cs="Arial" w:eastAsia="Arial" w:hAnsi="Arial"/>
          <w:sz w:val="15"/>
          <w:szCs w:val="15"/>
          <w:color w:val="010101"/>
        </w:rPr>
        <w:t xml:space="preserve"> is at any time avoided, annulled, set aside, rescinded, invalidated, declared to be fraudulent or preferential or otherwise required to be refunded or repaid, or is repaid in whole or in part pursuant to a good faith settlement of a pending or threatened avoidance claim, or the proceeds of any such Cash Collateral are required to be refunded by the applicable Issuing Lender to the Company or any Lender or its respective estate, trustee, receiver or any other Person, under any Applicable Law or equitable cause, then, to the extent of such payment or repayment, (i) the applicable Extended Letter of Credit shall automatically be a “Letter of Credit” hereunder in a face amount equal to such payment or repayment (each such Letter of Credit, a “</w:t>
      </w:r>
      <w:r>
        <w:rPr>
          <w:rFonts w:ascii="Arial" w:cs="Arial" w:eastAsia="Arial" w:hAnsi="Arial"/>
          <w:sz w:val="15"/>
          <w:szCs w:val="15"/>
          <w:u w:val="single" w:color="auto"/>
          <w:color w:val="010101"/>
        </w:rPr>
        <w:t>Reinstated Letter of Credit</w:t>
      </w:r>
      <w:r>
        <w:rPr>
          <w:rFonts w:ascii="Arial" w:cs="Arial" w:eastAsia="Arial" w:hAnsi="Arial"/>
          <w:sz w:val="15"/>
          <w:szCs w:val="15"/>
          <w:color w:val="010101"/>
        </w:rPr>
        <w:t>”), (ii) such Reinstated Letter of Credit shall no longer be deemed to be Cash Collateralized hereunder and shall constitute a utilization of the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130</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20"/>
          </w:cols>
          <w:pgMar w:left="360" w:top="1265" w:right="519" w:bottom="1440" w:gutter="0" w:footer="0" w:header="0"/>
        </w:sectPr>
      </w:pPr>
    </w:p>
    <w:bookmarkStart w:id="192" w:name="page193"/>
    <w:bookmarkEnd w:id="192"/>
    <w:p>
      <w:pPr>
        <w:jc w:val="both"/>
        <w:ind w:left="20"/>
        <w:spacing w:after="0" w:line="249" w:lineRule="auto"/>
        <w:rPr>
          <w:sz w:val="20"/>
          <w:szCs w:val="20"/>
          <w:color w:val="auto"/>
        </w:rPr>
      </w:pPr>
      <w:r>
        <w:rPr>
          <w:rFonts w:ascii="Arial" w:cs="Arial" w:eastAsia="Arial" w:hAnsi="Arial"/>
          <w:sz w:val="14"/>
          <w:szCs w:val="14"/>
          <w:color w:val="010101"/>
        </w:rPr>
        <w:t xml:space="preserve">Commitment, (iii) each Lender shall be obligated to fund participations or Advances to reimburse any drawing under such Reinstated Letter of Credit, (iv) Letter of Credit commissions under </w:t>
      </w:r>
      <w:r>
        <w:rPr>
          <w:rFonts w:ascii="Arial" w:cs="Arial" w:eastAsia="Arial" w:hAnsi="Arial"/>
          <w:sz w:val="14"/>
          <w:szCs w:val="14"/>
          <w:u w:val="single" w:color="auto"/>
          <w:color w:val="010101"/>
        </w:rPr>
        <w:t>Section 10.03(a)</w:t>
      </w:r>
      <w:r>
        <w:rPr>
          <w:rFonts w:ascii="Arial" w:cs="Arial" w:eastAsia="Arial" w:hAnsi="Arial"/>
          <w:sz w:val="14"/>
          <w:szCs w:val="14"/>
          <w:color w:val="010101"/>
        </w:rPr>
        <w:t xml:space="preserve"> shall accrue and be due and payable to the Lenders with respect to such Reinstated Letter of Credit and (v) the Company’s and each Lender’s liability hereunder (and any Guarantee, Lien or Collateral guaranteeing or securing such liability) shall be and remain in full force and effect, as fully as if such payment or deposit had never been made, and, if prior thereto, this Agreement shall have been canceled, terminated, paid in full or otherwise extinguished (and if any Guarantee, Lien or Collateral guaranteeing or securing such Company’s or such Lender’s) liability hereunder shall have been released or terminated by virtue of such cancellation, termination, payment or extinguishment), the provisions of this </w:t>
      </w:r>
      <w:r>
        <w:rPr>
          <w:rFonts w:ascii="Arial" w:cs="Arial" w:eastAsia="Arial" w:hAnsi="Arial"/>
          <w:sz w:val="14"/>
          <w:szCs w:val="14"/>
          <w:u w:val="single" w:color="auto"/>
          <w:color w:val="010101"/>
        </w:rPr>
        <w:t>Article X</w:t>
      </w:r>
      <w:r>
        <w:rPr>
          <w:rFonts w:ascii="Arial" w:cs="Arial" w:eastAsia="Arial" w:hAnsi="Arial"/>
          <w:sz w:val="14"/>
          <w:szCs w:val="14"/>
          <w:color w:val="010101"/>
        </w:rPr>
        <w:t xml:space="preserve"> and all other rights and duties of the applicable Issuing Lender, the L/C Participants and the Credit Parties with respect to such Reinstated Letter of Credit (and any Guarantee, Lien or Collateral guaranteeing or securing such liability) shall be reinstated in full force and effect, and such prior cancellation, termination, payment or extinguishment shall not diminish, release, discharge, impair or otherwise affect the obligations of such Persons in respect of such Reinstated Letter of Credit (and any Guarantee, Lien or Collateral guaranteeing or securing such obligation).</w:t>
      </w:r>
    </w:p>
    <w:p>
      <w:pPr>
        <w:spacing w:after="0" w:line="144" w:lineRule="exact"/>
        <w:rPr>
          <w:sz w:val="20"/>
          <w:szCs w:val="20"/>
          <w:color w:val="auto"/>
        </w:rPr>
      </w:pPr>
    </w:p>
    <w:p>
      <w:pPr>
        <w:jc w:val="both"/>
        <w:ind w:left="20" w:right="20" w:firstLine="487"/>
        <w:spacing w:after="0" w:line="225" w:lineRule="auto"/>
        <w:tabs>
          <w:tab w:leader="none" w:pos="909"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010101"/>
        </w:rPr>
        <w:t>Survival</w:t>
      </w:r>
      <w:r>
        <w:rPr>
          <w:rFonts w:ascii="Arial" w:cs="Arial" w:eastAsia="Arial" w:hAnsi="Arial"/>
          <w:sz w:val="16"/>
          <w:szCs w:val="16"/>
          <w:color w:val="010101"/>
        </w:rPr>
        <w:t xml:space="preserve">. With respect to any Extended Letter of Credit, each party’s obligations under this </w:t>
      </w:r>
      <w:r>
        <w:rPr>
          <w:rFonts w:ascii="Arial" w:cs="Arial" w:eastAsia="Arial" w:hAnsi="Arial"/>
          <w:sz w:val="16"/>
          <w:szCs w:val="16"/>
          <w:u w:val="single" w:color="auto"/>
          <w:color w:val="010101"/>
        </w:rPr>
        <w:t>Article X</w:t>
      </w:r>
      <w:r>
        <w:rPr>
          <w:rFonts w:ascii="Arial" w:cs="Arial" w:eastAsia="Arial" w:hAnsi="Arial"/>
          <w:sz w:val="16"/>
          <w:szCs w:val="16"/>
          <w:color w:val="010101"/>
        </w:rPr>
        <w:t xml:space="preserve"> and all other rights and duties of the applicable Issuing Lender of such Extended Letter of Credit, the L/C Participants and the Credit Parties with respect to such Extended Letter of Credit shall survive the resignation or replacement of the applicable Issuing Lender or any assignment of rights by the applicable Issuing Lender, the termination of the Commitments and the repayment, satisfaction or discharge of the Obligations.</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131</w:t>
      </w:r>
    </w:p>
    <w:p>
      <w:pPr>
        <w:spacing w:after="0"/>
        <w:rPr>
          <w:sz w:val="20"/>
          <w:szCs w:val="20"/>
          <w:color w:val="auto"/>
        </w:rPr>
      </w:pPr>
      <w:r>
        <w:rPr>
          <w:rFonts w:ascii="Arial" w:cs="Arial" w:eastAsia="Arial" w:hAnsi="Arial"/>
          <w:sz w:val="11"/>
          <w:szCs w:val="11"/>
          <w:color w:val="FF0000"/>
          <w:strike w:val="1"/>
        </w:rPr>
        <w:t>40380091v18</w:t>
      </w:r>
    </w:p>
    <w:p>
      <w:pPr>
        <w:sectPr>
          <w:pgSz w:w="11900" w:h="16838" w:orient="portrait"/>
          <w:cols w:equalWidth="0" w:num="1">
            <w:col w:w="11040"/>
          </w:cols>
          <w:pgMar w:left="360" w:top="1265" w:right="49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AMENDED SCHEDULES TO CREDIT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[Attached]</w:t>
      </w:r>
    </w:p>
    <w:p>
      <w:pPr>
        <w:sectPr>
          <w:pgSz w:w="11900" w:h="16838" w:orient="portrait"/>
          <w:cols w:equalWidth="0" w:num="1">
            <w:col w:w="9019"/>
          </w:cols>
          <w:pgMar w:left="1440" w:top="1083"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6"/>
          <w:szCs w:val="16"/>
          <w:b w:val="1"/>
          <w:bCs w:val="1"/>
          <w:color w:val="auto"/>
        </w:rPr>
        <w:t>SCHEDULE I(b)</w:t>
      </w: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FIRST AMENDMENT TERM LOAN COMMITMENTS</w:t>
      </w:r>
    </w:p>
    <w:p>
      <w:pPr>
        <w:spacing w:after="0" w:line="200" w:lineRule="exact"/>
        <w:rPr>
          <w:sz w:val="20"/>
          <w:szCs w:val="20"/>
          <w:color w:val="auto"/>
        </w:rPr>
      </w:pP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2480" w:type="dxa"/>
            <w:vAlign w:val="bottom"/>
            <w:tcBorders>
              <w:top w:val="single" w:sz="8" w:color="auto"/>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3"/>
                <w:szCs w:val="13"/>
                <w:color w:val="auto"/>
              </w:rPr>
              <w:t>Lenders</w:t>
            </w:r>
          </w:p>
        </w:tc>
        <w:tc>
          <w:tcPr>
            <w:tcW w:w="24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3"/>
                <w:szCs w:val="13"/>
                <w:color w:val="auto"/>
              </w:rPr>
              <w:t>Commitment</w:t>
            </w:r>
          </w:p>
        </w:tc>
        <w:tc>
          <w:tcPr>
            <w:tcW w:w="24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3"/>
                <w:szCs w:val="13"/>
                <w:color w:val="auto"/>
              </w:rPr>
              <w:t>Commitment Percentage</w:t>
            </w:r>
          </w:p>
        </w:tc>
        <w:tc>
          <w:tcPr>
            <w:tcW w:w="0" w:type="dxa"/>
            <w:vAlign w:val="bottom"/>
          </w:tcPr>
          <w:p>
            <w:pPr>
              <w:spacing w:after="0"/>
              <w:rPr>
                <w:sz w:val="1"/>
                <w:szCs w:val="1"/>
                <w:color w:val="auto"/>
              </w:rPr>
            </w:pPr>
          </w:p>
        </w:tc>
      </w:tr>
      <w:tr>
        <w:trPr>
          <w:trHeight w:val="162"/>
        </w:trPr>
        <w:tc>
          <w:tcPr>
            <w:tcW w:w="2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Wells Fargo Bank, N.A.</w:t>
            </w:r>
          </w:p>
        </w:tc>
        <w:tc>
          <w:tcPr>
            <w:tcW w:w="2460" w:type="dxa"/>
            <w:vAlign w:val="bottom"/>
            <w:tcBorders>
              <w:right w:val="single" w:sz="8" w:color="auto"/>
            </w:tcBorders>
          </w:tcPr>
          <w:p>
            <w:pPr>
              <w:jc w:val="center"/>
              <w:ind w:left="793"/>
              <w:spacing w:after="0"/>
              <w:rPr>
                <w:sz w:val="20"/>
                <w:szCs w:val="20"/>
                <w:color w:val="auto"/>
              </w:rPr>
            </w:pPr>
            <w:r>
              <w:rPr>
                <w:rFonts w:ascii="Arial" w:cs="Arial" w:eastAsia="Arial" w:hAnsi="Arial"/>
                <w:sz w:val="13"/>
                <w:szCs w:val="13"/>
                <w:color w:val="auto"/>
                <w:w w:val="92"/>
              </w:rPr>
              <w:t>$37,500,000.00</w:t>
            </w: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25.00%</w:t>
            </w:r>
          </w:p>
        </w:tc>
        <w:tc>
          <w:tcPr>
            <w:tcW w:w="0" w:type="dxa"/>
            <w:vAlign w:val="bottom"/>
          </w:tcPr>
          <w:p>
            <w:pPr>
              <w:spacing w:after="0"/>
              <w:rPr>
                <w:sz w:val="1"/>
                <w:szCs w:val="1"/>
                <w:color w:val="auto"/>
              </w:rPr>
            </w:pPr>
          </w:p>
        </w:tc>
      </w:tr>
      <w:tr>
        <w:trPr>
          <w:trHeight w:val="43"/>
        </w:trPr>
        <w:tc>
          <w:tcPr>
            <w:tcW w:w="2480" w:type="dxa"/>
            <w:vAlign w:val="bottom"/>
            <w:tcBorders>
              <w:left w:val="single" w:sz="8" w:color="auto"/>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JPMorgan Chase Bank, N.A.</w:t>
            </w:r>
          </w:p>
        </w:tc>
        <w:tc>
          <w:tcPr>
            <w:tcW w:w="2460" w:type="dxa"/>
            <w:vAlign w:val="bottom"/>
            <w:tcBorders>
              <w:right w:val="single" w:sz="8" w:color="auto"/>
            </w:tcBorders>
          </w:tcPr>
          <w:p>
            <w:pPr>
              <w:jc w:val="center"/>
              <w:ind w:left="793"/>
              <w:spacing w:after="0"/>
              <w:rPr>
                <w:sz w:val="20"/>
                <w:szCs w:val="20"/>
                <w:color w:val="auto"/>
              </w:rPr>
            </w:pPr>
            <w:r>
              <w:rPr>
                <w:rFonts w:ascii="Arial" w:cs="Arial" w:eastAsia="Arial" w:hAnsi="Arial"/>
                <w:sz w:val="13"/>
                <w:szCs w:val="13"/>
                <w:color w:val="auto"/>
                <w:w w:val="92"/>
              </w:rPr>
              <w:t>$32,500,000.00</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21.67%</w:t>
            </w:r>
          </w:p>
        </w:tc>
        <w:tc>
          <w:tcPr>
            <w:tcW w:w="0" w:type="dxa"/>
            <w:vAlign w:val="bottom"/>
          </w:tcPr>
          <w:p>
            <w:pPr>
              <w:spacing w:after="0"/>
              <w:rPr>
                <w:sz w:val="1"/>
                <w:szCs w:val="1"/>
                <w:color w:val="auto"/>
              </w:rPr>
            </w:pPr>
          </w:p>
        </w:tc>
      </w:tr>
      <w:tr>
        <w:trPr>
          <w:trHeight w:val="179"/>
        </w:trPr>
        <w:tc>
          <w:tcPr>
            <w:tcW w:w="248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HSBC Bank USA,</w:t>
            </w:r>
          </w:p>
        </w:tc>
        <w:tc>
          <w:tcPr>
            <w:tcW w:w="2460" w:type="dxa"/>
            <w:vAlign w:val="bottom"/>
            <w:tcBorders>
              <w:right w:val="single" w:sz="8" w:color="auto"/>
            </w:tcBorders>
          </w:tcPr>
          <w:p>
            <w:pPr>
              <w:jc w:val="center"/>
              <w:ind w:left="793"/>
              <w:spacing w:after="0"/>
              <w:rPr>
                <w:sz w:val="20"/>
                <w:szCs w:val="20"/>
                <w:color w:val="auto"/>
              </w:rPr>
            </w:pPr>
            <w:r>
              <w:rPr>
                <w:rFonts w:ascii="Arial" w:cs="Arial" w:eastAsia="Arial" w:hAnsi="Arial"/>
                <w:sz w:val="13"/>
                <w:szCs w:val="13"/>
                <w:color w:val="auto"/>
                <w:w w:val="92"/>
              </w:rPr>
              <w:t>$28,750,000.00</w:t>
            </w: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National Association</w:t>
            </w:r>
          </w:p>
        </w:tc>
        <w:tc>
          <w:tcPr>
            <w:tcW w:w="246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80" w:type="dxa"/>
            <w:vAlign w:val="bottom"/>
            <w:tcBorders>
              <w:left w:val="single" w:sz="8" w:color="auto"/>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19.17%</w:t>
            </w:r>
          </w:p>
        </w:tc>
        <w:tc>
          <w:tcPr>
            <w:tcW w:w="0" w:type="dxa"/>
            <w:vAlign w:val="bottom"/>
          </w:tcPr>
          <w:p>
            <w:pPr>
              <w:spacing w:after="0"/>
              <w:rPr>
                <w:sz w:val="1"/>
                <w:szCs w:val="1"/>
                <w:color w:val="auto"/>
              </w:rPr>
            </w:pPr>
          </w:p>
        </w:tc>
      </w:tr>
      <w:tr>
        <w:trPr>
          <w:trHeight w:val="33"/>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Bank of America, N.A.</w:t>
            </w:r>
          </w:p>
        </w:tc>
        <w:tc>
          <w:tcPr>
            <w:tcW w:w="2460" w:type="dxa"/>
            <w:vAlign w:val="bottom"/>
            <w:tcBorders>
              <w:right w:val="single" w:sz="8" w:color="auto"/>
            </w:tcBorders>
          </w:tcPr>
          <w:p>
            <w:pPr>
              <w:jc w:val="center"/>
              <w:ind w:left="793"/>
              <w:spacing w:after="0"/>
              <w:rPr>
                <w:sz w:val="20"/>
                <w:szCs w:val="20"/>
                <w:color w:val="auto"/>
              </w:rPr>
            </w:pPr>
            <w:r>
              <w:rPr>
                <w:rFonts w:ascii="Arial" w:cs="Arial" w:eastAsia="Arial" w:hAnsi="Arial"/>
                <w:sz w:val="13"/>
                <w:szCs w:val="13"/>
                <w:color w:val="auto"/>
                <w:w w:val="92"/>
              </w:rPr>
              <w:t>$28,750,000.00</w:t>
            </w: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19.17%</w:t>
            </w:r>
          </w:p>
        </w:tc>
        <w:tc>
          <w:tcPr>
            <w:tcW w:w="0" w:type="dxa"/>
            <w:vAlign w:val="bottom"/>
          </w:tcPr>
          <w:p>
            <w:pPr>
              <w:spacing w:after="0"/>
              <w:rPr>
                <w:sz w:val="1"/>
                <w:szCs w:val="1"/>
                <w:color w:val="auto"/>
              </w:rPr>
            </w:pPr>
          </w:p>
        </w:tc>
      </w:tr>
      <w:tr>
        <w:trPr>
          <w:trHeight w:val="33"/>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PNC Bank, National Association</w:t>
            </w:r>
          </w:p>
        </w:tc>
        <w:tc>
          <w:tcPr>
            <w:tcW w:w="2460" w:type="dxa"/>
            <w:vAlign w:val="bottom"/>
            <w:tcBorders>
              <w:right w:val="single" w:sz="8" w:color="auto"/>
            </w:tcBorders>
          </w:tcPr>
          <w:p>
            <w:pPr>
              <w:jc w:val="center"/>
              <w:ind w:left="793"/>
              <w:spacing w:after="0"/>
              <w:rPr>
                <w:sz w:val="20"/>
                <w:szCs w:val="20"/>
                <w:color w:val="auto"/>
              </w:rPr>
            </w:pPr>
            <w:r>
              <w:rPr>
                <w:rFonts w:ascii="Arial" w:cs="Arial" w:eastAsia="Arial" w:hAnsi="Arial"/>
                <w:sz w:val="13"/>
                <w:szCs w:val="13"/>
                <w:color w:val="auto"/>
                <w:w w:val="92"/>
              </w:rPr>
              <w:t>$22,500,000.00</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15.00%</w:t>
            </w:r>
          </w:p>
        </w:tc>
        <w:tc>
          <w:tcPr>
            <w:tcW w:w="0" w:type="dxa"/>
            <w:vAlign w:val="bottom"/>
          </w:tcPr>
          <w:p>
            <w:pPr>
              <w:spacing w:after="0"/>
              <w:rPr>
                <w:sz w:val="1"/>
                <w:szCs w:val="1"/>
                <w:color w:val="auto"/>
              </w:rPr>
            </w:pPr>
          </w:p>
        </w:tc>
      </w:tr>
      <w:tr>
        <w:trPr>
          <w:trHeight w:val="179"/>
        </w:trPr>
        <w:tc>
          <w:tcPr>
            <w:tcW w:w="248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480" w:type="dxa"/>
            <w:vAlign w:val="bottom"/>
            <w:tcBorders>
              <w:left w:val="single" w:sz="8" w:color="auto"/>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Total:</w:t>
            </w:r>
          </w:p>
        </w:tc>
        <w:tc>
          <w:tcPr>
            <w:tcW w:w="2460" w:type="dxa"/>
            <w:vAlign w:val="bottom"/>
            <w:tcBorders>
              <w:bottom w:val="single" w:sz="8" w:color="auto"/>
              <w:right w:val="single" w:sz="8" w:color="auto"/>
            </w:tcBorders>
          </w:tcPr>
          <w:p>
            <w:pPr>
              <w:jc w:val="center"/>
              <w:ind w:left="793"/>
              <w:spacing w:after="0"/>
              <w:rPr>
                <w:sz w:val="20"/>
                <w:szCs w:val="20"/>
                <w:color w:val="auto"/>
              </w:rPr>
            </w:pPr>
            <w:r>
              <w:rPr>
                <w:rFonts w:ascii="Arial" w:cs="Arial" w:eastAsia="Arial" w:hAnsi="Arial"/>
                <w:sz w:val="13"/>
                <w:szCs w:val="13"/>
                <w:color w:val="auto"/>
                <w:w w:val="94"/>
              </w:rPr>
              <w:t>$150,000,000.00</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100.00%</w:t>
            </w:r>
          </w:p>
        </w:tc>
        <w:tc>
          <w:tcPr>
            <w:tcW w:w="0" w:type="dxa"/>
            <w:vAlign w:val="bottom"/>
          </w:tcPr>
          <w:p>
            <w:pPr>
              <w:spacing w:after="0"/>
              <w:rPr>
                <w:sz w:val="1"/>
                <w:szCs w:val="1"/>
                <w:color w:val="auto"/>
              </w:rPr>
            </w:pPr>
          </w:p>
        </w:tc>
      </w:tr>
    </w:tbl>
    <w:p>
      <w:pPr>
        <w:sectPr>
          <w:pgSz w:w="11900" w:h="16838" w:orient="portrait"/>
          <w:cols w:equalWidth="0" w:num="1">
            <w:col w:w="10200"/>
          </w:cols>
          <w:pgMar w:left="1220" w:top="1079" w:right="47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5"/>
          <w:szCs w:val="15"/>
          <w:b w:val="1"/>
          <w:bCs w:val="1"/>
          <w:u w:val="single" w:color="auto"/>
          <w:color w:val="auto"/>
        </w:rPr>
        <w:t>EXHIBIT 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NEW AND AMENDED EXHIBITS TO THE CREDIT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[Attached]</w:t>
      </w:r>
    </w:p>
    <w:p>
      <w:pPr>
        <w:sectPr>
          <w:pgSz w:w="11900" w:h="16838" w:orient="portrait"/>
          <w:cols w:equalWidth="0" w:num="1">
            <w:col w:w="9019"/>
          </w:cols>
          <w:pgMar w:left="1440" w:top="1083" w:right="1440" w:bottom="1440" w:gutter="0" w:footer="0" w:header="0"/>
        </w:sectPr>
      </w:pPr>
    </w:p>
    <w:bookmarkStart w:id="196" w:name="page197"/>
    <w:bookmarkEnd w:id="196"/>
    <w:p>
      <w:pPr>
        <w:jc w:val="right"/>
        <w:ind w:right="20"/>
        <w:spacing w:after="0"/>
        <w:rPr>
          <w:sz w:val="20"/>
          <w:szCs w:val="20"/>
          <w:color w:val="auto"/>
        </w:rPr>
      </w:pPr>
      <w:r>
        <w:rPr>
          <w:rFonts w:ascii="Arial" w:cs="Arial" w:eastAsia="Arial" w:hAnsi="Arial"/>
          <w:sz w:val="16"/>
          <w:szCs w:val="16"/>
          <w:color w:val="auto"/>
        </w:rPr>
        <w:t>EXHIBIT A-I - FORM OF REVOLVING NOTE</w:t>
      </w:r>
    </w:p>
    <w:p>
      <w:pPr>
        <w:spacing w:after="0" w:line="160" w:lineRule="exact"/>
        <w:rPr>
          <w:sz w:val="20"/>
          <w:szCs w:val="20"/>
          <w:color w:val="auto"/>
        </w:rPr>
      </w:pPr>
    </w:p>
    <w:p>
      <w:pPr>
        <w:jc w:val="both"/>
        <w:ind w:left="10240"/>
        <w:spacing w:after="0"/>
        <w:tabs>
          <w:tab w:leader="none" w:pos="10840" w:val="left"/>
        </w:tabs>
        <w:rPr>
          <w:sz w:val="20"/>
          <w:szCs w:val="20"/>
          <w:color w:val="auto"/>
        </w:rPr>
      </w:pPr>
      <w:r>
        <w:rPr>
          <w:rFonts w:ascii="Arial" w:cs="Arial" w:eastAsia="Arial" w:hAnsi="Arial"/>
          <w:sz w:val="16"/>
          <w:szCs w:val="16"/>
          <w:color w:val="auto"/>
        </w:rPr>
        <w:t>Dated:</w:t>
        <w:tab/>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6770370</wp:posOffset>
            </wp:positionH>
            <wp:positionV relativeFrom="paragraph">
              <wp:posOffset>-9525</wp:posOffset>
            </wp:positionV>
            <wp:extent cx="12827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128270" cy="6350"/>
                    </a:xfrm>
                    <a:prstGeom prst="rect">
                      <a:avLst/>
                    </a:prstGeom>
                    <a:noFill/>
                  </pic:spPr>
                </pic:pic>
              </a:graphicData>
            </a:graphic>
          </wp:anchor>
        </w:drawing>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VALUE RECEIVED, the undersigned, [NAME OF APPLICABLE BORROWER],</w:t>
      </w:r>
    </w:p>
    <w:p>
      <w:pPr>
        <w:jc w:val="both"/>
        <w:ind w:left="60" w:right="20"/>
        <w:spacing w:after="0" w:line="231" w:lineRule="auto"/>
        <w:rPr>
          <w:sz w:val="20"/>
          <w:szCs w:val="20"/>
          <w:color w:val="auto"/>
        </w:rPr>
      </w:pPr>
      <w:r>
        <w:rPr>
          <w:rFonts w:ascii="Arial" w:cs="Arial" w:eastAsia="Arial" w:hAnsi="Arial"/>
          <w:sz w:val="15"/>
          <w:szCs w:val="15"/>
          <w:color w:val="auto"/>
        </w:rPr>
        <w:t>a [jurisdiction] [type of entity] (the “</w:t>
      </w:r>
      <w:r>
        <w:rPr>
          <w:rFonts w:ascii="Arial" w:cs="Arial" w:eastAsia="Arial" w:hAnsi="Arial"/>
          <w:sz w:val="15"/>
          <w:szCs w:val="15"/>
          <w:u w:val="single" w:color="auto"/>
          <w:color w:val="auto"/>
        </w:rPr>
        <w:t>Borrower</w:t>
      </w:r>
      <w:r>
        <w:rPr>
          <w:rFonts w:ascii="Arial" w:cs="Arial" w:eastAsia="Arial" w:hAnsi="Arial"/>
          <w:sz w:val="15"/>
          <w:szCs w:val="15"/>
          <w:color w:val="auto"/>
        </w:rPr>
        <w:t xml:space="preserve"> ”), HEREBY PROMISES TO PAY to [ ] or its registered assigns (the “</w:t>
      </w:r>
      <w:r>
        <w:rPr>
          <w:rFonts w:ascii="Arial" w:cs="Arial" w:eastAsia="Arial" w:hAnsi="Arial"/>
          <w:sz w:val="15"/>
          <w:szCs w:val="15"/>
          <w:u w:val="single" w:color="auto"/>
          <w:color w:val="auto"/>
        </w:rPr>
        <w:t>Lender</w:t>
      </w:r>
      <w:r>
        <w:rPr>
          <w:rFonts w:ascii="Arial" w:cs="Arial" w:eastAsia="Arial" w:hAnsi="Arial"/>
          <w:sz w:val="15"/>
          <w:szCs w:val="15"/>
          <w:color w:val="auto"/>
        </w:rPr>
        <w:t>”) for the account of its Applicable Lending Office on the Termination Date (as defined in the Credit Agreement referred to below) in accordance with the provisions of the Credit Agreement (as defined below) the aggregate unpaid principal amount of the Revolving Advances made by the Lender to the Borrower pursuant to the Second Amended and Restated Five Year Credit Agreement dated as of May 3, 2022, among the Borrower, the Foreign Borrowers from time to time party thereto, the Guarantors, the Lender and certain other lenders party thereto, and Wells Fargo Bank, National Association, as Administrative Agent for the Lender and such other lenders (as amended or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the terms defined therein being used herein as therein defined),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-534035</wp:posOffset>
            </wp:positionV>
            <wp:extent cx="13335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133350" cy="6350"/>
                    </a:xfrm>
                    <a:prstGeom prst="rect">
                      <a:avLst/>
                    </a:prstGeom>
                    <a:noFill/>
                  </pic:spPr>
                </pic:pic>
              </a:graphicData>
            </a:graphic>
          </wp:anchor>
        </w:drawing>
      </w:r>
    </w:p>
    <w:p>
      <w:pPr>
        <w:spacing w:after="0" w:line="182" w:lineRule="exact"/>
        <w:rPr>
          <w:sz w:val="20"/>
          <w:szCs w:val="20"/>
          <w:color w:val="auto"/>
        </w:rPr>
      </w:pPr>
    </w:p>
    <w:p>
      <w:pPr>
        <w:jc w:val="both"/>
        <w:ind w:left="60" w:right="20" w:firstLine="485"/>
        <w:spacing w:after="0" w:line="239" w:lineRule="auto"/>
        <w:rPr>
          <w:sz w:val="20"/>
          <w:szCs w:val="20"/>
          <w:color w:val="auto"/>
        </w:rPr>
      </w:pPr>
      <w:r>
        <w:rPr>
          <w:rFonts w:ascii="Arial" w:cs="Arial" w:eastAsia="Arial" w:hAnsi="Arial"/>
          <w:sz w:val="16"/>
          <w:szCs w:val="16"/>
          <w:color w:val="auto"/>
        </w:rPr>
        <w:t>The Borrower promises to pay interest on the unpaid principal amount of each Revolving Advance from the date of such Advance until such principal amount is paid in full, at such interest rates, and payable at such times, as are specified in the Credit Agreement.</w:t>
      </w:r>
    </w:p>
    <w:p>
      <w:pPr>
        <w:spacing w:after="0" w:line="149" w:lineRule="exact"/>
        <w:rPr>
          <w:sz w:val="20"/>
          <w:szCs w:val="20"/>
          <w:color w:val="auto"/>
        </w:rPr>
      </w:pPr>
    </w:p>
    <w:p>
      <w:pPr>
        <w:jc w:val="both"/>
        <w:ind w:left="60" w:right="20" w:firstLine="485"/>
        <w:spacing w:after="0" w:line="225" w:lineRule="auto"/>
        <w:rPr>
          <w:sz w:val="20"/>
          <w:szCs w:val="20"/>
          <w:color w:val="auto"/>
        </w:rPr>
      </w:pPr>
      <w:r>
        <w:rPr>
          <w:rFonts w:ascii="Arial" w:cs="Arial" w:eastAsia="Arial" w:hAnsi="Arial"/>
          <w:sz w:val="16"/>
          <w:szCs w:val="16"/>
          <w:color w:val="auto"/>
        </w:rPr>
        <w:t>Both principal and interest are payable in lawful money of the United States of America to Wells Fargo Bank, National Association, as Administrative Agent, at Wells Fargo Bank, National Association, as Administrative Agent at 1525 W. W.T. Harris Blvd., 1st Floor, Charlotte, NC 28262-8522, in same day funds. Each Revolving Advance owing to the Lender by the Borrower pursuant to the Credit Agreement, and all payments made on account of principal thereof, shall be recorded by the Lender and, prior to any transfer hereof, endorsed on the grid attached hereto which is part of this Revolving Note.</w:t>
      </w:r>
    </w:p>
    <w:p>
      <w:pPr>
        <w:spacing w:after="0" w:line="149" w:lineRule="exact"/>
        <w:rPr>
          <w:sz w:val="20"/>
          <w:szCs w:val="20"/>
          <w:color w:val="auto"/>
        </w:rPr>
      </w:pPr>
    </w:p>
    <w:p>
      <w:pPr>
        <w:jc w:val="both"/>
        <w:ind w:left="60" w:firstLine="485"/>
        <w:spacing w:after="0" w:line="222" w:lineRule="auto"/>
        <w:rPr>
          <w:sz w:val="20"/>
          <w:szCs w:val="20"/>
          <w:color w:val="auto"/>
        </w:rPr>
      </w:pPr>
      <w:r>
        <w:rPr>
          <w:rFonts w:ascii="Arial" w:cs="Arial" w:eastAsia="Arial" w:hAnsi="Arial"/>
          <w:sz w:val="16"/>
          <w:szCs w:val="16"/>
          <w:color w:val="auto"/>
        </w:rPr>
        <w:t>This Revolving Note is one of the other Loan Documents referred to in, and is entitled to the benefits of, the Credit Agreement. The Credit Agreement, among other things, (i) provides for the making of Revolving Advances by the Lender to the Borrower from time to time in an aggregate amount not to exceed at any time outstanding the indebtedness of the Borrower resulting from each such Revolving Advance being evidenced by this Revolving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Except as provided in the Credit Agreement, this Revolving Note may not be assigned by the Lender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Arial" w:cs="Arial" w:eastAsia="Arial" w:hAnsi="Arial"/>
                <w:sz w:val="13"/>
                <w:szCs w:val="13"/>
                <w:color w:val="auto"/>
              </w:rPr>
              <w:t>A-I – 1</w:t>
            </w:r>
          </w:p>
        </w:tc>
        <w:tc>
          <w:tcPr>
            <w:tcW w:w="760" w:type="dxa"/>
            <w:vAlign w:val="bottom"/>
          </w:tcPr>
          <w:p>
            <w:pPr>
              <w:ind w:left="200"/>
              <w:spacing w:after="0"/>
              <w:rPr>
                <w:sz w:val="20"/>
                <w:szCs w:val="20"/>
                <w:color w:val="auto"/>
              </w:rPr>
            </w:pPr>
            <w:r>
              <w:rPr>
                <w:rFonts w:ascii="Arial" w:cs="Arial" w:eastAsia="Arial" w:hAnsi="Arial"/>
                <w:sz w:val="9"/>
                <w:szCs w:val="9"/>
                <w:color w:val="auto"/>
                <w:w w:val="94"/>
              </w:rPr>
              <w:t>[[6133168v.2]]</w:t>
            </w:r>
          </w:p>
        </w:tc>
      </w:tr>
    </w:tbl>
    <w:p>
      <w:pPr>
        <w:sectPr>
          <w:pgSz w:w="11900" w:h="16838" w:orient="portrait"/>
          <w:cols w:equalWidth="0" w:num="1">
            <w:col w:w="11120"/>
          </w:cols>
          <w:pgMar w:left="320" w:top="1083" w:right="459" w:bottom="1440" w:gutter="0" w:footer="0" w:header="0"/>
        </w:sectPr>
      </w:pPr>
    </w:p>
    <w:bookmarkStart w:id="197" w:name="page198"/>
    <w:bookmarkEnd w:id="197"/>
    <w:p>
      <w:pPr>
        <w:jc w:val="right"/>
        <w:ind w:right="4639"/>
        <w:spacing w:after="0"/>
        <w:rPr>
          <w:sz w:val="20"/>
          <w:szCs w:val="20"/>
          <w:color w:val="auto"/>
        </w:rPr>
      </w:pPr>
      <w:r>
        <w:rPr>
          <w:rFonts w:ascii="Arial" w:cs="Arial" w:eastAsia="Arial" w:hAnsi="Arial"/>
          <w:sz w:val="16"/>
          <w:szCs w:val="16"/>
          <w:color w:val="auto"/>
        </w:rPr>
        <w:t>[APPLICABLE BORROWER]</w:t>
      </w:r>
    </w:p>
    <w:p>
      <w:pPr>
        <w:spacing w:after="0" w:line="341" w:lineRule="exact"/>
        <w:rPr>
          <w:sz w:val="20"/>
          <w:szCs w:val="20"/>
          <w:color w:val="auto"/>
        </w:rPr>
      </w:pPr>
    </w:p>
    <w:p>
      <w:pPr>
        <w:ind w:left="3460"/>
        <w:spacing w:after="0"/>
        <w:tabs>
          <w:tab w:leader="none" w:pos="4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-9525</wp:posOffset>
            </wp:positionV>
            <wp:extent cx="20510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Arial" w:cs="Arial" w:eastAsia="Arial" w:hAnsi="Arial"/>
                <w:sz w:val="13"/>
                <w:szCs w:val="13"/>
                <w:color w:val="auto"/>
              </w:rPr>
              <w:t>A-I – 2</w:t>
            </w:r>
          </w:p>
        </w:tc>
        <w:tc>
          <w:tcPr>
            <w:tcW w:w="760" w:type="dxa"/>
            <w:vAlign w:val="bottom"/>
          </w:tcPr>
          <w:p>
            <w:pPr>
              <w:ind w:left="200"/>
              <w:spacing w:after="0"/>
              <w:rPr>
                <w:sz w:val="20"/>
                <w:szCs w:val="20"/>
                <w:color w:val="auto"/>
              </w:rPr>
            </w:pPr>
            <w:r>
              <w:rPr>
                <w:rFonts w:ascii="Arial" w:cs="Arial" w:eastAsia="Arial" w:hAnsi="Arial"/>
                <w:sz w:val="9"/>
                <w:szCs w:val="9"/>
                <w:color w:val="auto"/>
                <w:w w:val="94"/>
              </w:rPr>
              <w:t>[[6133168v.2]]</w:t>
            </w:r>
          </w:p>
        </w:tc>
      </w:tr>
    </w:tbl>
    <w:p>
      <w:pPr>
        <w:sectPr>
          <w:pgSz w:w="11900" w:h="16838" w:orient="portrait"/>
          <w:cols w:equalWidth="0" w:num="1">
            <w:col w:w="10139"/>
          </w:cols>
          <w:pgMar w:left="320" w:top="1265" w:right="1440" w:bottom="1440" w:gutter="0" w:footer="0" w:header="0"/>
        </w:sectPr>
      </w:pPr>
    </w:p>
    <w:bookmarkStart w:id="198" w:name="page199"/>
    <w:bookmarkEnd w:id="198"/>
    <w:p>
      <w:pPr>
        <w:ind w:left="3960"/>
        <w:spacing w:after="0"/>
        <w:rPr>
          <w:sz w:val="20"/>
          <w:szCs w:val="20"/>
          <w:color w:val="auto"/>
        </w:rPr>
      </w:pPr>
      <w:r>
        <w:rPr>
          <w:rFonts w:ascii="Arial" w:cs="Arial" w:eastAsia="Arial" w:hAnsi="Arial"/>
          <w:sz w:val="16"/>
          <w:szCs w:val="16"/>
          <w:b w:val="1"/>
          <w:bCs w:val="1"/>
          <w:color w:val="auto"/>
        </w:rPr>
        <w:t>ADVANCES AND PAYMENTS OF PRINCIPAL</w:t>
      </w:r>
    </w:p>
    <w:p>
      <w:pPr>
        <w:spacing w:after="0" w:line="141" w:lineRule="exact"/>
        <w:rPr>
          <w:sz w:val="20"/>
          <w:szCs w:val="20"/>
          <w:color w:val="auto"/>
        </w:rPr>
      </w:pPr>
    </w:p>
    <w:tbl>
      <w:tblPr>
        <w:tblLayout w:type="fixed"/>
        <w:tblInd w:w="2700" w:type="dxa"/>
        <w:tblCellMar>
          <w:top w:w="0" w:type="dxa"/>
          <w:left w:w="0" w:type="dxa"/>
          <w:bottom w:w="0" w:type="dxa"/>
          <w:right w:w="0" w:type="dxa"/>
        </w:tblCellMar>
      </w:tblPr>
      <w:tr>
        <w:trPr>
          <w:trHeight w:val="184"/>
        </w:trPr>
        <w:tc>
          <w:tcPr>
            <w:tcW w:w="1540" w:type="dxa"/>
            <w:vAlign w:val="bottom"/>
          </w:tcPr>
          <w:p>
            <w:pPr>
              <w:spacing w:after="0"/>
              <w:rPr>
                <w:sz w:val="20"/>
                <w:szCs w:val="20"/>
                <w:color w:val="auto"/>
              </w:rPr>
            </w:pPr>
            <w:r>
              <w:rPr>
                <w:rFonts w:ascii="Arial" w:cs="Arial" w:eastAsia="Arial" w:hAnsi="Arial"/>
                <w:sz w:val="16"/>
                <w:szCs w:val="16"/>
                <w:color w:val="auto"/>
              </w:rPr>
              <w:t>Amount of Advance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Type of Currency  Amount of</w:t>
            </w:r>
          </w:p>
        </w:tc>
        <w:tc>
          <w:tcPr>
            <w:tcW w:w="3020" w:type="dxa"/>
            <w:vAlign w:val="bottom"/>
          </w:tcPr>
          <w:p>
            <w:pPr>
              <w:ind w:left="260"/>
              <w:spacing w:after="0"/>
              <w:rPr>
                <w:sz w:val="20"/>
                <w:szCs w:val="20"/>
                <w:color w:val="auto"/>
              </w:rPr>
            </w:pPr>
            <w:r>
              <w:rPr>
                <w:rFonts w:ascii="Arial" w:cs="Arial" w:eastAsia="Arial" w:hAnsi="Arial"/>
                <w:sz w:val="16"/>
                <w:szCs w:val="16"/>
                <w:color w:val="auto"/>
              </w:rPr>
              <w:t>Unpaid Principal Balance</w:t>
            </w:r>
          </w:p>
        </w:tc>
      </w:tr>
      <w:tr>
        <w:trPr>
          <w:trHeight w:val="226"/>
        </w:trPr>
        <w:tc>
          <w:tcPr>
            <w:tcW w:w="154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Principal Paid or Prepaid</w:t>
            </w:r>
          </w:p>
        </w:tc>
        <w:tc>
          <w:tcPr>
            <w:tcW w:w="3020" w:type="dxa"/>
            <w:vAlign w:val="bottom"/>
          </w:tcPr>
          <w:p>
            <w:pPr>
              <w:ind w:left="1820"/>
              <w:spacing w:after="0"/>
              <w:rPr>
                <w:sz w:val="20"/>
                <w:szCs w:val="20"/>
                <w:color w:val="auto"/>
              </w:rPr>
            </w:pPr>
            <w:r>
              <w:rPr>
                <w:rFonts w:ascii="Arial" w:cs="Arial" w:eastAsia="Arial" w:hAnsi="Arial"/>
                <w:sz w:val="16"/>
                <w:szCs w:val="16"/>
                <w:color w:val="auto"/>
                <w:w w:val="92"/>
              </w:rPr>
              <w:t>Notation Made By</w:t>
            </w:r>
          </w:p>
        </w:tc>
      </w:tr>
    </w:tbl>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280" w:type="dxa"/>
        <w:tblCellMar>
          <w:top w:w="0" w:type="dxa"/>
          <w:left w:w="0" w:type="dxa"/>
          <w:bottom w:w="0" w:type="dxa"/>
          <w:right w:w="0" w:type="dxa"/>
        </w:tblCellMar>
      </w:tblPr>
      <w:tr>
        <w:trPr>
          <w:trHeight w:val="172"/>
        </w:trPr>
        <w:tc>
          <w:tcPr>
            <w:tcW w:w="1740" w:type="dxa"/>
            <w:vAlign w:val="bottom"/>
          </w:tcPr>
          <w:p>
            <w:pPr>
              <w:spacing w:after="0"/>
              <w:rPr>
                <w:sz w:val="20"/>
                <w:szCs w:val="20"/>
                <w:color w:val="auto"/>
              </w:rPr>
            </w:pPr>
            <w:r>
              <w:rPr>
                <w:rFonts w:ascii="Arial" w:cs="Arial" w:eastAsia="Arial" w:hAnsi="Arial"/>
                <w:sz w:val="13"/>
                <w:szCs w:val="13"/>
                <w:color w:val="auto"/>
              </w:rPr>
              <w:t>A-I</w:t>
            </w:r>
          </w:p>
        </w:tc>
        <w:tc>
          <w:tcPr>
            <w:tcW w:w="1700" w:type="dxa"/>
            <w:vAlign w:val="bottom"/>
          </w:tcPr>
          <w:p>
            <w:pPr>
              <w:ind w:left="1540"/>
              <w:spacing w:after="0"/>
              <w:rPr>
                <w:sz w:val="20"/>
                <w:szCs w:val="20"/>
                <w:color w:val="auto"/>
              </w:rPr>
            </w:pPr>
            <w:r>
              <w:rPr>
                <w:rFonts w:ascii="Arial" w:cs="Arial" w:eastAsia="Arial" w:hAnsi="Arial"/>
                <w:sz w:val="13"/>
                <w:szCs w:val="13"/>
                <w:color w:val="auto"/>
                <w:w w:val="77"/>
              </w:rPr>
              <w:t>– 3</w:t>
            </w:r>
          </w:p>
        </w:tc>
      </w:tr>
    </w:tbl>
    <w:p>
      <w:pPr>
        <w:spacing w:after="0" w:line="363" w:lineRule="exact"/>
        <w:rPr>
          <w:sz w:val="20"/>
          <w:szCs w:val="20"/>
          <w:color w:val="auto"/>
        </w:rPr>
      </w:pPr>
    </w:p>
    <w:p>
      <w:pPr>
        <w:ind w:left="20"/>
        <w:spacing w:after="0"/>
        <w:rPr>
          <w:sz w:val="20"/>
          <w:szCs w:val="20"/>
          <w:color w:val="auto"/>
        </w:rPr>
      </w:pPr>
      <w:r>
        <w:rPr>
          <w:rFonts w:ascii="Arial" w:cs="Arial" w:eastAsia="Arial" w:hAnsi="Arial"/>
          <w:sz w:val="9"/>
          <w:szCs w:val="9"/>
          <w:color w:val="auto"/>
        </w:rPr>
        <w:t>[[6133168v.2]]</w:t>
      </w:r>
    </w:p>
    <w:p>
      <w:pPr>
        <w:sectPr>
          <w:pgSz w:w="11900" w:h="16838" w:orient="portrait"/>
          <w:cols w:equalWidth="0" w:num="1">
            <w:col w:w="10159"/>
          </w:cols>
          <w:pgMar w:left="300" w:top="1079" w:right="1440" w:bottom="1440" w:gutter="0" w:footer="0" w:header="0"/>
        </w:sectPr>
      </w:pPr>
    </w:p>
    <w:bookmarkStart w:id="199" w:name="page200"/>
    <w:bookmarkEnd w:id="199"/>
    <w:p>
      <w:pPr>
        <w:ind w:left="3440"/>
        <w:spacing w:after="0"/>
        <w:rPr>
          <w:sz w:val="20"/>
          <w:szCs w:val="20"/>
          <w:color w:val="auto"/>
        </w:rPr>
      </w:pPr>
      <w:r>
        <w:rPr>
          <w:rFonts w:ascii="Arial" w:cs="Arial" w:eastAsia="Arial" w:hAnsi="Arial"/>
          <w:sz w:val="16"/>
          <w:szCs w:val="16"/>
          <w:b w:val="1"/>
          <w:bCs w:val="1"/>
          <w:u w:val="single" w:color="auto"/>
          <w:color w:val="auto"/>
        </w:rPr>
        <w:t>EXHIBIT A-II - FORM OF TERM NOTE</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u w:val="single" w:color="auto"/>
          <w:color w:val="auto"/>
        </w:rPr>
        <w:t>TERM NOTE</w:t>
      </w:r>
    </w:p>
    <w:p>
      <w:pPr>
        <w:spacing w:after="0" w:line="174" w:lineRule="exact"/>
        <w:rPr>
          <w:sz w:val="20"/>
          <w:szCs w:val="20"/>
          <w:color w:val="auto"/>
        </w:rPr>
      </w:pPr>
    </w:p>
    <w:p>
      <w:pPr>
        <w:jc w:val="center"/>
        <w:ind w:right="-139"/>
        <w:spacing w:after="0"/>
        <w:tabs>
          <w:tab w:leader="none" w:pos="180" w:val="left"/>
          <w:tab w:leader="none" w:pos="140" w:val="left"/>
          <w:tab w:leader="none" w:pos="200" w:val="left"/>
        </w:tabs>
        <w:rPr>
          <w:sz w:val="20"/>
          <w:szCs w:val="20"/>
          <w:color w:val="auto"/>
        </w:rPr>
      </w:pPr>
      <w:r>
        <w:rPr>
          <w:rFonts w:ascii="Arial" w:cs="Arial" w:eastAsia="Arial" w:hAnsi="Arial"/>
          <w:sz w:val="16"/>
          <w:szCs w:val="16"/>
          <w:color w:val="auto"/>
        </w:rPr>
        <w:t>$[</w:t>
        <w:tab/>
        <w:t>]</w:t>
        <w:tab/>
        <w:t>[</w:t>
      </w:r>
      <w:r>
        <w:rPr>
          <w:sz w:val="20"/>
          <w:szCs w:val="20"/>
          <w:color w:val="auto"/>
        </w:rPr>
        <w:tab/>
      </w:r>
      <w:r>
        <w:rPr>
          <w:rFonts w:ascii="Arial" w:cs="Arial" w:eastAsia="Arial" w:hAnsi="Arial"/>
          <w:sz w:val="15"/>
          <w:szCs w:val="15"/>
          <w:color w:val="auto"/>
        </w:rPr>
        <w:t>] [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-9525</wp:posOffset>
            </wp:positionV>
            <wp:extent cx="12827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128270" cy="6350"/>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-9525</wp:posOffset>
            </wp:positionV>
            <wp:extent cx="12827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128270" cy="63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-9525</wp:posOffset>
            </wp:positionV>
            <wp:extent cx="254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-9525</wp:posOffset>
            </wp:positionV>
            <wp:extent cx="254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VALUE RECEIVED, the undersigned, GRAHAM HOLDINGS COMPANY, a</w:t>
      </w:r>
    </w:p>
    <w:p>
      <w:pPr>
        <w:jc w:val="both"/>
        <w:ind w:left="80" w:right="20"/>
        <w:spacing w:after="0" w:line="231" w:lineRule="auto"/>
        <w:rPr>
          <w:sz w:val="20"/>
          <w:szCs w:val="20"/>
          <w:color w:val="auto"/>
        </w:rPr>
      </w:pPr>
      <w:r>
        <w:rPr>
          <w:rFonts w:ascii="Arial" w:cs="Arial" w:eastAsia="Arial" w:hAnsi="Arial"/>
          <w:sz w:val="15"/>
          <w:szCs w:val="15"/>
          <w:color w:val="auto"/>
        </w:rPr>
        <w:t>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HEREBY PROMISES TO PAY to [ ] or its registered assigns (the “</w:t>
      </w:r>
      <w:r>
        <w:rPr>
          <w:rFonts w:ascii="Arial" w:cs="Arial" w:eastAsia="Arial" w:hAnsi="Arial"/>
          <w:sz w:val="15"/>
          <w:szCs w:val="15"/>
          <w:u w:val="single" w:color="auto"/>
          <w:color w:val="auto"/>
        </w:rPr>
        <w:t>Lender</w:t>
      </w:r>
      <w:r>
        <w:rPr>
          <w:rFonts w:ascii="Arial" w:cs="Arial" w:eastAsia="Arial" w:hAnsi="Arial"/>
          <w:sz w:val="15"/>
          <w:szCs w:val="15"/>
          <w:color w:val="auto"/>
        </w:rPr>
        <w:t>”) for the account of its Applicable Lending Office on the Termination Date (as defined in the Credit Agreement referred to below) in accordance with the provisions of the Credit Agreement (as defined below) the aggregate unpaid principal amount of the Term Loan Advances made by the Lender to the Borrower pursuant to the Second Amended and Restated Five Year Credit Agreement dated as of May 3, 2022, among the Borrower, the Foreign Borrowers from time to time party thereto, the Guarantors, the Lender and certain other lenders party thereto, and Wells Fargo Bank, National Association, as Administrative Agent for the Lender and such other lenders (as amended or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the terms defined therein being used herein as therein defined),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-534035</wp:posOffset>
            </wp:positionV>
            <wp:extent cx="14605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146050" cy="6350"/>
                    </a:xfrm>
                    <a:prstGeom prst="rect">
                      <a:avLst/>
                    </a:prstGeom>
                    <a:noFill/>
                  </pic:spPr>
                </pic:pic>
              </a:graphicData>
            </a:graphic>
          </wp:anchor>
        </w:drawing>
      </w:r>
    </w:p>
    <w:p>
      <w:pPr>
        <w:spacing w:after="0" w:line="182" w:lineRule="exact"/>
        <w:rPr>
          <w:sz w:val="20"/>
          <w:szCs w:val="20"/>
          <w:color w:val="auto"/>
        </w:rPr>
      </w:pPr>
    </w:p>
    <w:p>
      <w:pPr>
        <w:jc w:val="both"/>
        <w:ind w:left="80" w:right="20" w:firstLine="485"/>
        <w:spacing w:after="0" w:line="239" w:lineRule="auto"/>
        <w:rPr>
          <w:sz w:val="20"/>
          <w:szCs w:val="20"/>
          <w:color w:val="auto"/>
        </w:rPr>
      </w:pPr>
      <w:r>
        <w:rPr>
          <w:rFonts w:ascii="Arial" w:cs="Arial" w:eastAsia="Arial" w:hAnsi="Arial"/>
          <w:sz w:val="16"/>
          <w:szCs w:val="16"/>
          <w:color w:val="auto"/>
        </w:rPr>
        <w:t>The Borrower promises to pay interest on the unpaid principal amount of each Term Loan Advance from the date of such Advance until such principal amount is paid in full, at such interest rates, and payable at such times, as are specified in the Credit Agreement.</w:t>
      </w:r>
    </w:p>
    <w:p>
      <w:pPr>
        <w:spacing w:after="0" w:line="149" w:lineRule="exact"/>
        <w:rPr>
          <w:sz w:val="20"/>
          <w:szCs w:val="20"/>
          <w:color w:val="auto"/>
        </w:rPr>
      </w:pPr>
    </w:p>
    <w:p>
      <w:pPr>
        <w:jc w:val="both"/>
        <w:ind w:left="80" w:right="20" w:firstLine="485"/>
        <w:spacing w:after="0" w:line="225" w:lineRule="auto"/>
        <w:rPr>
          <w:sz w:val="20"/>
          <w:szCs w:val="20"/>
          <w:color w:val="auto"/>
        </w:rPr>
      </w:pPr>
      <w:r>
        <w:rPr>
          <w:rFonts w:ascii="Arial" w:cs="Arial" w:eastAsia="Arial" w:hAnsi="Arial"/>
          <w:sz w:val="16"/>
          <w:szCs w:val="16"/>
          <w:color w:val="auto"/>
        </w:rPr>
        <w:t>Both principal and interest are payable in lawful money of the United States of America to Wells Fargo Bank, National Association, as Administrative Agent, at Wells Fargo Bank, National Association, as Administrative Agent at 1525 W. W.T. Harris Blvd., 1st Floor, Charlotte, NC 28262-8522, in same day funds. Each Term Loan Advance owing to the Lender by the Borrower pursuant to the Credit Agreement, and all payments made on account of principal thereof, shall be recorded by the Lender and, prior to any transfer hereof, endorsed on the grid attached hereto which is part of this Term Loan Note.</w:t>
      </w:r>
    </w:p>
    <w:p>
      <w:pPr>
        <w:spacing w:after="0" w:line="149" w:lineRule="exact"/>
        <w:rPr>
          <w:sz w:val="20"/>
          <w:szCs w:val="20"/>
          <w:color w:val="auto"/>
        </w:rPr>
      </w:pPr>
    </w:p>
    <w:p>
      <w:pPr>
        <w:jc w:val="both"/>
        <w:ind w:left="80" w:firstLine="485"/>
        <w:spacing w:after="0" w:line="222" w:lineRule="auto"/>
        <w:rPr>
          <w:sz w:val="20"/>
          <w:szCs w:val="20"/>
          <w:color w:val="auto"/>
        </w:rPr>
      </w:pPr>
      <w:r>
        <w:rPr>
          <w:rFonts w:ascii="Arial" w:cs="Arial" w:eastAsia="Arial" w:hAnsi="Arial"/>
          <w:sz w:val="16"/>
          <w:szCs w:val="16"/>
          <w:color w:val="auto"/>
        </w:rPr>
        <w:t>This Term Loan Note is one of the other Loan Documents referred to in, and is entitled to the benefits of, the Credit Agreement. The Credit Agreement, among other things, (i) provides for the making of Term Loan Advances by the Lender to the Borrower from time to time in an aggregate amount not to exceed at any time outstanding the indebtedness of the Borrower resulting from each such Term Loan Advance being evidenced by this Term Loan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Except as provided in the Credit Agreement, this Term Loan Note may not be assigned by the Lender to any Person.</w:t>
      </w: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[SIGNATURES ON FOLLOWING PAGE]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spacing w:after="0"/>
              <w:rPr>
                <w:sz w:val="20"/>
                <w:szCs w:val="20"/>
                <w:color w:val="auto"/>
              </w:rPr>
            </w:pPr>
            <w:r>
              <w:rPr>
                <w:rFonts w:ascii="Arial" w:cs="Arial" w:eastAsia="Arial" w:hAnsi="Arial"/>
                <w:sz w:val="11"/>
                <w:szCs w:val="11"/>
                <w:color w:val="auto"/>
              </w:rPr>
              <w:t>A-II</w:t>
            </w:r>
          </w:p>
        </w:tc>
        <w:tc>
          <w:tcPr>
            <w:tcW w:w="1700" w:type="dxa"/>
            <w:vAlign w:val="bottom"/>
          </w:tcPr>
          <w:p>
            <w:pPr>
              <w:ind w:left="1540"/>
              <w:spacing w:after="0"/>
              <w:rPr>
                <w:sz w:val="20"/>
                <w:szCs w:val="20"/>
                <w:color w:val="auto"/>
              </w:rPr>
            </w:pPr>
            <w:r>
              <w:rPr>
                <w:rFonts w:ascii="Arial" w:cs="Arial" w:eastAsia="Arial" w:hAnsi="Arial"/>
                <w:sz w:val="13"/>
                <w:szCs w:val="13"/>
                <w:color w:val="auto"/>
                <w:w w:val="85"/>
              </w:rPr>
              <w:t xml:space="preserve">– </w:t>
            </w:r>
            <w:r>
              <w:rPr>
                <w:rFonts w:ascii="Arial" w:cs="Arial" w:eastAsia="Arial" w:hAnsi="Arial"/>
                <w:sz w:val="10"/>
                <w:szCs w:val="10"/>
                <w:color w:val="auto"/>
                <w:w w:val="85"/>
              </w:rPr>
              <w:t>1</w:t>
            </w:r>
          </w:p>
        </w:tc>
      </w:tr>
    </w:tbl>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9"/>
          <w:szCs w:val="9"/>
          <w:color w:val="auto"/>
        </w:rPr>
        <w:t>[[6133168v.2]]</w:t>
      </w:r>
    </w:p>
    <w:p>
      <w:pPr>
        <w:sectPr>
          <w:pgSz w:w="11900" w:h="16838" w:orient="portrait"/>
          <w:cols w:equalWidth="0" w:num="1">
            <w:col w:w="11140"/>
          </w:cols>
          <w:pgMar w:left="300" w:top="1079" w:right="459" w:bottom="1440" w:gutter="0" w:footer="0" w:header="0"/>
        </w:sectPr>
      </w:pPr>
    </w:p>
    <w:bookmarkStart w:id="200" w:name="page201"/>
    <w:bookmarkEnd w:id="200"/>
    <w:p>
      <w:pPr>
        <w:jc w:val="right"/>
        <w:ind w:right="4259"/>
        <w:spacing w:after="0"/>
        <w:rPr>
          <w:sz w:val="20"/>
          <w:szCs w:val="20"/>
          <w:color w:val="auto"/>
        </w:rPr>
      </w:pPr>
      <w:r>
        <w:rPr>
          <w:rFonts w:ascii="Arial" w:cs="Arial" w:eastAsia="Arial" w:hAnsi="Arial"/>
          <w:sz w:val="16"/>
          <w:szCs w:val="16"/>
          <w:color w:val="auto"/>
        </w:rPr>
        <w:t>GRAHAM HOLDINGS COMPANY</w:t>
      </w:r>
    </w:p>
    <w:p>
      <w:pPr>
        <w:spacing w:after="0" w:line="341" w:lineRule="exact"/>
        <w:rPr>
          <w:sz w:val="20"/>
          <w:szCs w:val="20"/>
          <w:color w:val="auto"/>
        </w:rPr>
      </w:pPr>
    </w:p>
    <w:p>
      <w:pPr>
        <w:ind w:left="3460"/>
        <w:spacing w:after="0"/>
        <w:tabs>
          <w:tab w:leader="none" w:pos="4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-9525</wp:posOffset>
            </wp:positionV>
            <wp:extent cx="2051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Arial" w:cs="Arial" w:eastAsia="Arial" w:hAnsi="Arial"/>
          <w:sz w:val="11"/>
          <w:szCs w:val="11"/>
          <w:color w:val="auto"/>
        </w:rPr>
        <w:t>A-II</w:t>
      </w:r>
    </w:p>
    <w:p>
      <w:pPr>
        <w:spacing w:after="0" w:line="381" w:lineRule="exact"/>
        <w:rPr>
          <w:sz w:val="20"/>
          <w:szCs w:val="20"/>
          <w:color w:val="auto"/>
        </w:rPr>
      </w:pPr>
    </w:p>
    <w:p>
      <w:pPr>
        <w:spacing w:after="0"/>
        <w:rPr>
          <w:sz w:val="20"/>
          <w:szCs w:val="20"/>
          <w:color w:val="auto"/>
        </w:rPr>
      </w:pPr>
      <w:r>
        <w:rPr>
          <w:rFonts w:ascii="Arial" w:cs="Arial" w:eastAsia="Arial" w:hAnsi="Arial"/>
          <w:sz w:val="9"/>
          <w:szCs w:val="9"/>
          <w:color w:val="auto"/>
        </w:rPr>
        <w:t>[[6133168v.2]]</w:t>
      </w:r>
    </w:p>
    <w:p>
      <w:pPr>
        <w:sectPr>
          <w:pgSz w:w="11900" w:h="16838" w:orient="portrait"/>
          <w:cols w:equalWidth="0" w:num="1">
            <w:col w:w="10139"/>
          </w:cols>
          <w:pgMar w:left="320" w:top="1265"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6"/>
          <w:szCs w:val="16"/>
          <w:color w:val="auto"/>
        </w:rPr>
        <w:t>EXHIBIT B-1 FORM OF NOTICE OF</w:t>
      </w:r>
    </w:p>
    <w:p>
      <w:pPr>
        <w:jc w:val="right"/>
        <w:spacing w:after="0"/>
        <w:rPr>
          <w:sz w:val="20"/>
          <w:szCs w:val="20"/>
          <w:color w:val="auto"/>
        </w:rPr>
      </w:pPr>
      <w:r>
        <w:rPr>
          <w:rFonts w:ascii="Arial" w:cs="Arial" w:eastAsia="Arial" w:hAnsi="Arial"/>
          <w:sz w:val="16"/>
          <w:szCs w:val="16"/>
          <w:color w:val="auto"/>
        </w:rPr>
        <w:t>BORROWING</w:t>
      </w:r>
    </w:p>
    <w:p>
      <w:pPr>
        <w:spacing w:after="0" w:line="327" w:lineRule="exact"/>
        <w:rPr>
          <w:sz w:val="20"/>
          <w:szCs w:val="20"/>
          <w:color w:val="auto"/>
        </w:rPr>
      </w:pPr>
    </w:p>
    <w:p>
      <w:pPr>
        <w:ind w:left="540" w:right="5300" w:hanging="484"/>
        <w:spacing w:after="0" w:line="239" w:lineRule="auto"/>
        <w:rPr>
          <w:sz w:val="20"/>
          <w:szCs w:val="20"/>
          <w:color w:val="auto"/>
        </w:rPr>
      </w:pPr>
      <w:r>
        <w:rPr>
          <w:rFonts w:ascii="Arial" w:cs="Arial" w:eastAsia="Arial" w:hAnsi="Arial"/>
          <w:sz w:val="16"/>
          <w:szCs w:val="16"/>
          <w:color w:val="auto"/>
        </w:rPr>
        <w:t>Wells Fargo Bank, National Association, as Administrative Agent for the Lenders parties to the Credit Agreement referred to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[Date]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6"/>
          <w:szCs w:val="16"/>
          <w:color w:val="auto"/>
        </w:rPr>
        <w:t>Ladies and Gentlemen:</w:t>
      </w:r>
    </w:p>
    <w:p>
      <w:pPr>
        <w:spacing w:after="0" w:line="170" w:lineRule="exact"/>
        <w:rPr>
          <w:sz w:val="20"/>
          <w:szCs w:val="20"/>
          <w:color w:val="auto"/>
        </w:rPr>
      </w:pPr>
    </w:p>
    <w:p>
      <w:pPr>
        <w:jc w:val="both"/>
        <w:ind w:left="60" w:firstLine="485"/>
        <w:spacing w:after="0" w:line="220" w:lineRule="auto"/>
        <w:rPr>
          <w:sz w:val="20"/>
          <w:szCs w:val="20"/>
          <w:color w:val="auto"/>
        </w:rPr>
      </w:pPr>
      <w:r>
        <w:rPr>
          <w:rFonts w:ascii="Arial" w:cs="Arial" w:eastAsia="Arial" w:hAnsi="Arial"/>
          <w:sz w:val="16"/>
          <w:szCs w:val="16"/>
          <w:color w:val="auto"/>
        </w:rPr>
        <w:t xml:space="preserve">The undersigned, Graham Holdings Company, [on behalf of [●],] refers to the Second Amended and Restated Five Year Credit Agreement, dated as of May 3, 2022 (as amended or modified from time to time, the “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the Foreign Borrowers from time to time party thereto, the Guarantors, certain Lenders party thereto, and Wells Fargo Bank, National Association, as Administrative Agent for such Lenders, and hereby gives you notice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16"/>
          <w:szCs w:val="16"/>
          <w:u w:val="single" w:color="auto"/>
          <w:color w:val="auto"/>
        </w:rPr>
        <w:t>Proposed Borrowing</w:t>
      </w:r>
      <w:r>
        <w:rPr>
          <w:rFonts w:ascii="Arial" w:cs="Arial" w:eastAsia="Arial" w:hAnsi="Arial"/>
          <w:sz w:val="16"/>
          <w:szCs w:val="16"/>
          <w:color w:val="auto"/>
        </w:rPr>
        <w:t>”) as required by Section 2.02(a) of the Credit Agreement:</w:t>
      </w:r>
    </w:p>
    <w:p>
      <w:pPr>
        <w:spacing w:after="0" w:line="140" w:lineRule="exact"/>
        <w:rPr>
          <w:sz w:val="20"/>
          <w:szCs w:val="20"/>
          <w:color w:val="auto"/>
        </w:rPr>
      </w:pPr>
    </w:p>
    <w:p>
      <w:pPr>
        <w:ind w:left="540"/>
        <w:spacing w:after="0"/>
        <w:tabs>
          <w:tab w:leader="none" w:pos="1020" w:val="left"/>
          <w:tab w:leader="none" w:pos="4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The Business Day of the Proposed Borrowing is</w:t>
      </w:r>
      <w:r>
        <w:rPr>
          <w:sz w:val="20"/>
          <w:szCs w:val="20"/>
          <w:color w:val="auto"/>
        </w:rPr>
        <w:tab/>
      </w: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-9525</wp:posOffset>
            </wp:positionV>
            <wp:extent cx="12827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128270" cy="6350"/>
                    </a:xfrm>
                    <a:prstGeom prst="rect">
                      <a:avLst/>
                    </a:prstGeom>
                    <a:noFill/>
                  </pic:spPr>
                </pic:pic>
              </a:graphicData>
            </a:graphic>
          </wp:anchor>
        </w:drawing>
      </w:r>
    </w:p>
    <w:p>
      <w:pPr>
        <w:spacing w:after="0" w:line="150" w:lineRule="exact"/>
        <w:rPr>
          <w:sz w:val="20"/>
          <w:szCs w:val="20"/>
          <w:color w:val="auto"/>
        </w:rPr>
      </w:pPr>
    </w:p>
    <w:p>
      <w:pPr>
        <w:ind w:left="60" w:firstLine="487"/>
        <w:spacing w:after="0" w:line="239" w:lineRule="auto"/>
        <w:tabs>
          <w:tab w:leader="none" w:pos="94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Type of [Revolving Advances] [Term Loans] comprising the Proposed Borrowing is [Base Rate Advances] [Eurocurrency Rate Advances] [Daily Simple RFR Advances] [Term SOFR Advances].</w:t>
      </w:r>
    </w:p>
    <w:p>
      <w:pPr>
        <w:spacing w:after="0" w:line="209" w:lineRule="exact"/>
        <w:rPr>
          <w:sz w:val="20"/>
          <w:szCs w:val="20"/>
          <w:color w:val="auto"/>
        </w:rPr>
      </w:pPr>
    </w:p>
    <w:tbl>
      <w:tblPr>
        <w:tblLayout w:type="fixed"/>
        <w:tblInd w:w="540" w:type="dxa"/>
        <w:tblCellMar>
          <w:top w:w="0" w:type="dxa"/>
          <w:left w:w="0" w:type="dxa"/>
          <w:bottom w:w="0" w:type="dxa"/>
          <w:right w:w="0" w:type="dxa"/>
        </w:tblCellMar>
      </w:tblPr>
      <w:tr>
        <w:trPr>
          <w:trHeight w:val="206"/>
        </w:trPr>
        <w:tc>
          <w:tcPr>
            <w:tcW w:w="260" w:type="dxa"/>
            <w:vAlign w:val="bottom"/>
          </w:tcPr>
          <w:p>
            <w:pPr>
              <w:jc w:val="right"/>
              <w:ind w:right="59"/>
              <w:spacing w:after="0"/>
              <w:rPr>
                <w:sz w:val="20"/>
                <w:szCs w:val="20"/>
                <w:color w:val="auto"/>
              </w:rPr>
            </w:pPr>
            <w:r>
              <w:rPr>
                <w:rFonts w:ascii="Arial" w:cs="Arial" w:eastAsia="Arial" w:hAnsi="Arial"/>
                <w:sz w:val="16"/>
                <w:szCs w:val="16"/>
                <w:color w:val="auto"/>
                <w:w w:val="74"/>
              </w:rPr>
              <w:t>3.</w:t>
            </w:r>
          </w:p>
        </w:tc>
        <w:tc>
          <w:tcPr>
            <w:tcW w:w="9620" w:type="dxa"/>
            <w:vAlign w:val="bottom"/>
            <w:gridSpan w:val="5"/>
          </w:tcPr>
          <w:p>
            <w:pPr>
              <w:ind w:left="240"/>
              <w:spacing w:after="0"/>
              <w:rPr>
                <w:sz w:val="20"/>
                <w:szCs w:val="20"/>
                <w:color w:val="auto"/>
              </w:rPr>
            </w:pPr>
            <w:r>
              <w:rPr>
                <w:rFonts w:ascii="Arial" w:cs="Arial" w:eastAsia="Arial" w:hAnsi="Arial"/>
                <w:sz w:val="16"/>
                <w:szCs w:val="16"/>
                <w:color w:val="auto"/>
              </w:rPr>
              <w:t xml:space="preserve">The Currency and aggregate amount of the Proposed Borrowing is ________  </w:t>
            </w:r>
            <w:r>
              <w:rPr>
                <w:rFonts w:ascii="Arial" w:cs="Arial" w:eastAsia="Arial" w:hAnsi="Arial"/>
                <w:sz w:val="12"/>
                <w:szCs w:val="12"/>
                <w:color w:val="auto"/>
              </w:rPr>
              <w:t>1</w:t>
            </w:r>
            <w:r>
              <w:rPr>
                <w:rFonts w:ascii="Arial" w:cs="Arial" w:eastAsia="Arial" w:hAnsi="Arial"/>
                <w:sz w:val="16"/>
                <w:szCs w:val="16"/>
                <w:color w:val="auto"/>
              </w:rPr>
              <w:t>.</w:t>
            </w:r>
          </w:p>
        </w:tc>
      </w:tr>
      <w:tr>
        <w:trPr>
          <w:trHeight w:val="548"/>
        </w:trPr>
        <w:tc>
          <w:tcPr>
            <w:tcW w:w="260" w:type="dxa"/>
            <w:vAlign w:val="bottom"/>
          </w:tcPr>
          <w:p>
            <w:pPr>
              <w:jc w:val="right"/>
              <w:ind w:right="59"/>
              <w:spacing w:after="0"/>
              <w:rPr>
                <w:sz w:val="20"/>
                <w:szCs w:val="20"/>
                <w:color w:val="auto"/>
              </w:rPr>
            </w:pPr>
            <w:r>
              <w:rPr>
                <w:rFonts w:ascii="Arial" w:cs="Arial" w:eastAsia="Arial" w:hAnsi="Arial"/>
                <w:sz w:val="16"/>
                <w:szCs w:val="16"/>
                <w:color w:val="auto"/>
                <w:w w:val="74"/>
              </w:rPr>
              <w:t>4.</w:t>
            </w:r>
          </w:p>
        </w:tc>
        <w:tc>
          <w:tcPr>
            <w:tcW w:w="9620" w:type="dxa"/>
            <w:vAlign w:val="bottom"/>
            <w:gridSpan w:val="5"/>
          </w:tcPr>
          <w:p>
            <w:pPr>
              <w:ind w:left="160"/>
              <w:spacing w:after="0"/>
              <w:rPr>
                <w:sz w:val="20"/>
                <w:szCs w:val="20"/>
                <w:color w:val="auto"/>
              </w:rPr>
            </w:pPr>
            <w:r>
              <w:rPr>
                <w:rFonts w:ascii="Arial" w:cs="Arial" w:eastAsia="Arial" w:hAnsi="Arial"/>
                <w:sz w:val="16"/>
                <w:szCs w:val="16"/>
                <w:color w:val="auto"/>
                <w:w w:val="93"/>
              </w:rPr>
              <w:t>[The initial Interest Period for each [Eurocurrency Rate Advance] [Term SOFR Advance] made as part of the Proposed Borrowing is   month[s].]</w:t>
            </w:r>
          </w:p>
        </w:tc>
      </w:tr>
      <w:tr>
        <w:trPr>
          <w:trHeight w:val="334"/>
        </w:trPr>
        <w:tc>
          <w:tcPr>
            <w:tcW w:w="260" w:type="dxa"/>
            <w:vAlign w:val="bottom"/>
          </w:tcPr>
          <w:p>
            <w:pPr>
              <w:jc w:val="right"/>
              <w:ind w:right="59"/>
              <w:spacing w:after="0"/>
              <w:rPr>
                <w:sz w:val="20"/>
                <w:szCs w:val="20"/>
                <w:color w:val="auto"/>
              </w:rPr>
            </w:pPr>
            <w:r>
              <w:rPr>
                <w:rFonts w:ascii="Arial" w:cs="Arial" w:eastAsia="Arial" w:hAnsi="Arial"/>
                <w:sz w:val="16"/>
                <w:szCs w:val="16"/>
                <w:color w:val="auto"/>
                <w:w w:val="74"/>
              </w:rPr>
              <w:t>5.</w:t>
            </w:r>
          </w:p>
        </w:tc>
        <w:tc>
          <w:tcPr>
            <w:tcW w:w="8740" w:type="dxa"/>
            <w:vAlign w:val="bottom"/>
            <w:gridSpan w:val="3"/>
          </w:tcPr>
          <w:p>
            <w:pPr>
              <w:ind w:left="240"/>
              <w:spacing w:after="0"/>
              <w:rPr>
                <w:sz w:val="20"/>
                <w:szCs w:val="20"/>
                <w:color w:val="auto"/>
              </w:rPr>
            </w:pPr>
            <w:r>
              <w:rPr>
                <w:rFonts w:ascii="Arial" w:cs="Arial" w:eastAsia="Arial" w:hAnsi="Arial"/>
                <w:sz w:val="16"/>
                <w:szCs w:val="16"/>
                <w:color w:val="auto"/>
              </w:rPr>
              <w:t>The applicable Borrower is   .</w:t>
            </w:r>
          </w:p>
        </w:tc>
        <w:tc>
          <w:tcPr>
            <w:tcW w:w="2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6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undersigned hereby certifies that the following statements are true on the date hereof and will be true on the date of the Proposed Borrowing:</w:t>
      </w:r>
    </w:p>
    <w:p>
      <w:pPr>
        <w:spacing w:after="0" w:line="200" w:lineRule="exact"/>
        <w:rPr>
          <w:sz w:val="20"/>
          <w:szCs w:val="20"/>
          <w:color w:val="auto"/>
        </w:rPr>
      </w:pPr>
    </w:p>
    <w:p>
      <w:pPr>
        <w:spacing w:after="0" w:line="384" w:lineRule="exact"/>
        <w:rPr>
          <w:sz w:val="20"/>
          <w:szCs w:val="20"/>
          <w:color w:val="auto"/>
        </w:rPr>
      </w:pPr>
    </w:p>
    <w:p>
      <w:pPr>
        <w:ind w:left="60"/>
        <w:spacing w:after="0" w:line="219" w:lineRule="auto"/>
        <w:rPr>
          <w:sz w:val="20"/>
          <w:szCs w:val="20"/>
          <w:color w:val="auto"/>
        </w:rPr>
      </w:pPr>
      <w:r>
        <w:rPr>
          <w:rFonts w:ascii="Arial" w:cs="Arial" w:eastAsia="Arial" w:hAnsi="Arial"/>
          <w:sz w:val="12"/>
          <w:szCs w:val="12"/>
          <w:color w:val="auto"/>
        </w:rPr>
        <w:t>1 Which amount shall be, (x) with respect to Base Rate Advances, in an aggregate principal amount of $3,000,000, or a Foreign Currency Equivalent thereof, or a whole multiple of $1,000,000, or a Foreign Currency Equivalent thereof, in excess thereof and</w:t>
      </w:r>
    </w:p>
    <w:p>
      <w:pPr>
        <w:spacing w:after="0" w:line="1" w:lineRule="exact"/>
        <w:rPr>
          <w:sz w:val="20"/>
          <w:szCs w:val="20"/>
          <w:color w:val="auto"/>
        </w:rPr>
      </w:pPr>
    </w:p>
    <w:p>
      <w:pPr>
        <w:ind w:left="60" w:firstLine="1"/>
        <w:spacing w:after="0" w:line="230" w:lineRule="auto"/>
        <w:tabs>
          <w:tab w:leader="none" w:pos="465" w:val="left"/>
        </w:tabs>
        <w:numPr>
          <w:ilvl w:val="0"/>
          <w:numId w:val="242"/>
        </w:numPr>
        <w:rPr>
          <w:rFonts w:ascii="Arial" w:cs="Arial" w:eastAsia="Arial" w:hAnsi="Arial"/>
          <w:sz w:val="12"/>
          <w:szCs w:val="12"/>
          <w:color w:val="auto"/>
        </w:rPr>
      </w:pPr>
      <w:r>
        <w:rPr>
          <w:rFonts w:ascii="Arial" w:cs="Arial" w:eastAsia="Arial" w:hAnsi="Arial"/>
          <w:sz w:val="12"/>
          <w:szCs w:val="12"/>
          <w:color w:val="auto"/>
        </w:rPr>
        <w:t>with respect to Eurocurrency Rate Advances and RFR Advances, in an aggregate principal amount of $5,000,000, or a Foreign Currency Equivalent thereof, or a whole multiple of $1,000,000, or a Foreign Currency Equivalent thereof, in excess thereof. Please specify currency clearly.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color w:val="auto"/>
        </w:rPr>
        <w:t>B-1 – 1</w:t>
      </w:r>
      <w:r>
        <w:rPr>
          <w:sz w:val="20"/>
          <w:szCs w:val="20"/>
          <w:color w:val="auto"/>
        </w:rPr>
        <w:tab/>
      </w:r>
      <w:r>
        <w:rPr>
          <w:rFonts w:ascii="Arial" w:cs="Arial" w:eastAsia="Arial" w:hAnsi="Arial"/>
          <w:sz w:val="9"/>
          <w:szCs w:val="9"/>
          <w:color w:val="auto"/>
        </w:rPr>
        <w:t>[[6133168v.2]]</w:t>
      </w:r>
    </w:p>
    <w:p>
      <w:pPr>
        <w:sectPr>
          <w:pgSz w:w="11900" w:h="16838" w:orient="portrait"/>
          <w:cols w:equalWidth="0" w:num="1">
            <w:col w:w="11100"/>
          </w:cols>
          <w:pgMar w:left="320" w:top="1074" w:right="479" w:bottom="1440" w:gutter="0" w:footer="0" w:header="0"/>
        </w:sectPr>
      </w:pPr>
    </w:p>
    <w:bookmarkStart w:id="202" w:name="page203"/>
    <w:bookmarkEnd w:id="202"/>
    <w:p>
      <w:pPr>
        <w:jc w:val="both"/>
        <w:ind w:left="60" w:firstLine="487"/>
        <w:spacing w:after="0" w:line="222" w:lineRule="auto"/>
        <w:tabs>
          <w:tab w:leader="none" w:pos="95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of the Credit Agreement are (1) with respect to representations and warranties that contain a materiality qualification in such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 and</w:t>
      </w:r>
    </w:p>
    <w:p>
      <w:pPr>
        <w:spacing w:after="0" w:line="149" w:lineRule="exact"/>
        <w:rPr>
          <w:rFonts w:ascii="Arial" w:cs="Arial" w:eastAsia="Arial" w:hAnsi="Arial"/>
          <w:sz w:val="16"/>
          <w:szCs w:val="16"/>
          <w:color w:val="auto"/>
        </w:rPr>
      </w:pPr>
    </w:p>
    <w:p>
      <w:pPr>
        <w:ind w:left="60" w:right="20" w:firstLine="487"/>
        <w:spacing w:after="0" w:line="239" w:lineRule="auto"/>
        <w:tabs>
          <w:tab w:leader="none" w:pos="94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 event has occurred and is continuing, or would result from such Borrowing, such Increase Date or such Extension Date or from the application of the proceeds therefrom, that constitutes a Default.</w:t>
      </w:r>
    </w:p>
    <w:p>
      <w:pPr>
        <w:spacing w:after="0" w:line="19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Very truly yours,</w:t>
      </w:r>
    </w:p>
    <w:p>
      <w:pPr>
        <w:spacing w:after="0" w:line="16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GRAHAM HOLDINGS COMPANY</w:t>
      </w:r>
    </w:p>
    <w:p>
      <w:pPr>
        <w:spacing w:after="0" w:line="160"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-9525</wp:posOffset>
            </wp:positionV>
            <wp:extent cx="20510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color w:val="auto"/>
        </w:rPr>
        <w:t>B-1 – 2</w:t>
      </w:r>
      <w:r>
        <w:rPr>
          <w:sz w:val="20"/>
          <w:szCs w:val="20"/>
          <w:color w:val="auto"/>
        </w:rPr>
        <w:tab/>
      </w:r>
      <w:r>
        <w:rPr>
          <w:rFonts w:ascii="Arial" w:cs="Arial" w:eastAsia="Arial" w:hAnsi="Arial"/>
          <w:sz w:val="9"/>
          <w:szCs w:val="9"/>
          <w:color w:val="auto"/>
        </w:rPr>
        <w:t>[[6133168v.2]]</w:t>
      </w:r>
    </w:p>
    <w:p>
      <w:pPr>
        <w:sectPr>
          <w:pgSz w:w="11900" w:h="16838" w:orient="portrait"/>
          <w:cols w:equalWidth="0" w:num="1">
            <w:col w:w="11120"/>
          </w:cols>
          <w:pgMar w:left="320" w:top="1265" w:right="459" w:bottom="1440" w:gutter="0" w:footer="0" w:header="0"/>
        </w:sectPr>
      </w:pPr>
    </w:p>
    <w:bookmarkStart w:id="203" w:name="page204"/>
    <w:bookmarkEnd w:id="203"/>
    <w:p>
      <w:pPr>
        <w:ind w:left="3720"/>
        <w:spacing w:after="0"/>
        <w:rPr>
          <w:sz w:val="20"/>
          <w:szCs w:val="20"/>
          <w:color w:val="auto"/>
        </w:rPr>
      </w:pPr>
      <w:r>
        <w:rPr>
          <w:rFonts w:ascii="Arial" w:cs="Arial" w:eastAsia="Arial" w:hAnsi="Arial"/>
          <w:sz w:val="16"/>
          <w:szCs w:val="16"/>
          <w:color w:val="auto"/>
        </w:rPr>
        <w:t>EXHIBIT B-2 - FORM OF NOTICE OF CONTINUATION/CONVERSION</w:t>
      </w:r>
    </w:p>
    <w:p>
      <w:pPr>
        <w:spacing w:after="0" w:line="160" w:lineRule="exact"/>
        <w:rPr>
          <w:sz w:val="20"/>
          <w:szCs w:val="20"/>
          <w:color w:val="auto"/>
        </w:rPr>
      </w:pPr>
    </w:p>
    <w:p>
      <w:pPr>
        <w:ind w:left="540" w:right="5400" w:hanging="484"/>
        <w:spacing w:after="0" w:line="239" w:lineRule="auto"/>
        <w:rPr>
          <w:sz w:val="20"/>
          <w:szCs w:val="20"/>
          <w:color w:val="auto"/>
        </w:rPr>
      </w:pPr>
      <w:r>
        <w:rPr>
          <w:rFonts w:ascii="Arial" w:cs="Arial" w:eastAsia="Arial" w:hAnsi="Arial"/>
          <w:sz w:val="16"/>
          <w:szCs w:val="16"/>
          <w:color w:val="auto"/>
        </w:rPr>
        <w:t>Wells Fargo Bank, National Association, as Administrative Agent for the Lenders parties to the Credit Agreement referred to below</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[Date] Attention: [Bank Loan Syndications Department]</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Ladies and Gentlemen:</w:t>
      </w:r>
    </w:p>
    <w:p>
      <w:pPr>
        <w:spacing w:after="0" w:line="160" w:lineRule="exact"/>
        <w:rPr>
          <w:sz w:val="20"/>
          <w:szCs w:val="20"/>
          <w:color w:val="auto"/>
        </w:rPr>
      </w:pPr>
    </w:p>
    <w:p>
      <w:pPr>
        <w:jc w:val="both"/>
        <w:ind w:left="60" w:right="100" w:firstLine="485"/>
        <w:spacing w:after="0" w:line="222" w:lineRule="auto"/>
        <w:rPr>
          <w:sz w:val="20"/>
          <w:szCs w:val="20"/>
          <w:color w:val="auto"/>
        </w:rPr>
      </w:pPr>
      <w:r>
        <w:rPr>
          <w:rFonts w:ascii="Arial" w:cs="Arial" w:eastAsia="Arial" w:hAnsi="Arial"/>
          <w:sz w:val="16"/>
          <w:szCs w:val="16"/>
          <w:color w:val="auto"/>
        </w:rPr>
        <w:t xml:space="preserve">The undersigned, Graham Holdings Company, [on behalf of [●],] refers to the Second Amended and Restated Five Year Credit Agreement, dated as of May 3, 2022 (as amended or modified from time to time, the “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the Foreign Borrowers from time to time party thereto, the Guarantors, certain Lenders party thereto, and Wells Fargo Bank, National Association, as Administrative Agent for such Lenders, and hereby gives you notice pursuant to Section 2.09 of the Credit Agreement that the undersigned hereby requests a continuation or conversion of the following Borrowing according to the terms below:</w:t>
      </w:r>
    </w:p>
    <w:p>
      <w:pPr>
        <w:spacing w:after="0" w:line="134"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20" w:type="dxa"/>
            <w:vAlign w:val="bottom"/>
          </w:tcPr>
          <w:p>
            <w:pPr>
              <w:spacing w:after="0"/>
              <w:rPr>
                <w:sz w:val="20"/>
                <w:szCs w:val="20"/>
                <w:color w:val="auto"/>
              </w:rPr>
            </w:pPr>
            <w:r>
              <w:rPr>
                <w:rFonts w:ascii="Arial" w:cs="Arial" w:eastAsia="Arial" w:hAnsi="Arial"/>
                <w:sz w:val="16"/>
                <w:szCs w:val="16"/>
                <w:color w:val="auto"/>
              </w:rPr>
              <w:t>(i)</w:t>
            </w:r>
          </w:p>
        </w:tc>
        <w:tc>
          <w:tcPr>
            <w:tcW w:w="6560" w:type="dxa"/>
            <w:vAlign w:val="bottom"/>
            <w:gridSpan w:val="7"/>
          </w:tcPr>
          <w:p>
            <w:pPr>
              <w:ind w:left="100"/>
              <w:spacing w:after="0"/>
              <w:rPr>
                <w:sz w:val="20"/>
                <w:szCs w:val="20"/>
                <w:color w:val="auto"/>
              </w:rPr>
            </w:pPr>
            <w:r>
              <w:rPr>
                <w:rFonts w:ascii="Arial" w:cs="Arial" w:eastAsia="Arial" w:hAnsi="Arial"/>
                <w:sz w:val="16"/>
                <w:szCs w:val="16"/>
                <w:color w:val="auto"/>
                <w:w w:val="92"/>
              </w:rPr>
              <w:t>The date of continuation or conversion (which is the last day of the applicable Interest Period) is   .</w:t>
            </w:r>
          </w:p>
        </w:tc>
      </w:tr>
      <w:tr>
        <w:trPr>
          <w:trHeight w:val="334"/>
        </w:trPr>
        <w:tc>
          <w:tcPr>
            <w:tcW w:w="320" w:type="dxa"/>
            <w:vAlign w:val="bottom"/>
          </w:tcPr>
          <w:p>
            <w:pPr>
              <w:spacing w:after="0"/>
              <w:rPr>
                <w:sz w:val="20"/>
                <w:szCs w:val="20"/>
                <w:color w:val="auto"/>
              </w:rPr>
            </w:pPr>
            <w:r>
              <w:rPr>
                <w:rFonts w:ascii="Arial" w:cs="Arial" w:eastAsia="Arial" w:hAnsi="Arial"/>
                <w:sz w:val="16"/>
                <w:szCs w:val="16"/>
                <w:color w:val="auto"/>
              </w:rPr>
              <w:t>(ii)</w:t>
            </w:r>
          </w:p>
        </w:tc>
        <w:tc>
          <w:tcPr>
            <w:tcW w:w="6320" w:type="dxa"/>
            <w:vAlign w:val="bottom"/>
            <w:gridSpan w:val="5"/>
          </w:tcPr>
          <w:p>
            <w:pPr>
              <w:ind w:left="180"/>
              <w:spacing w:after="0"/>
              <w:rPr>
                <w:sz w:val="20"/>
                <w:szCs w:val="20"/>
                <w:color w:val="auto"/>
              </w:rPr>
            </w:pPr>
            <w:r>
              <w:rPr>
                <w:rFonts w:ascii="Arial" w:cs="Arial" w:eastAsia="Arial" w:hAnsi="Arial"/>
                <w:sz w:val="16"/>
                <w:szCs w:val="16"/>
                <w:color w:val="auto"/>
              </w:rPr>
              <w:t>The principal amount of such continuation or conversion is US$   .</w:t>
            </w:r>
            <w:r>
              <w:rPr>
                <w:rFonts w:ascii="Arial" w:cs="Arial" w:eastAsia="Arial" w:hAnsi="Arial"/>
                <w:sz w:val="12"/>
                <w:szCs w:val="12"/>
                <w:color w:val="auto"/>
              </w:rPr>
              <w:t>1</w:t>
            </w: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6"/>
                <w:szCs w:val="16"/>
                <w:color w:val="auto"/>
              </w:rPr>
              <w:t>(iii)</w:t>
            </w:r>
          </w:p>
        </w:tc>
        <w:tc>
          <w:tcPr>
            <w:tcW w:w="4320" w:type="dxa"/>
            <w:vAlign w:val="bottom"/>
            <w:gridSpan w:val="3"/>
          </w:tcPr>
          <w:p>
            <w:pPr>
              <w:ind w:left="180"/>
              <w:spacing w:after="0"/>
              <w:rPr>
                <w:sz w:val="20"/>
                <w:szCs w:val="20"/>
                <w:color w:val="auto"/>
              </w:rPr>
            </w:pPr>
            <w:r>
              <w:rPr>
                <w:rFonts w:ascii="Arial" w:cs="Arial" w:eastAsia="Arial" w:hAnsi="Arial"/>
                <w:sz w:val="16"/>
                <w:szCs w:val="16"/>
                <w:color w:val="auto"/>
              </w:rPr>
              <w:t>The applicable Borrower is   .</w:t>
            </w:r>
          </w:p>
        </w:tc>
        <w:tc>
          <w:tcPr>
            <w:tcW w:w="200" w:type="dxa"/>
            <w:vAlign w:val="bottom"/>
            <w:tcBorders>
              <w:top w:val="single" w:sz="8" w:color="auto"/>
            </w:tcBorders>
          </w:tcPr>
          <w:p>
            <w:pPr>
              <w:spacing w:after="0"/>
              <w:rPr>
                <w:sz w:val="24"/>
                <w:szCs w:val="24"/>
                <w:color w:val="auto"/>
              </w:rPr>
            </w:pPr>
          </w:p>
        </w:tc>
        <w:tc>
          <w:tcPr>
            <w:tcW w:w="2040" w:type="dxa"/>
            <w:vAlign w:val="bottom"/>
            <w:gridSpan w:val="3"/>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right="100" w:firstLine="487"/>
        <w:spacing w:after="0" w:line="239" w:lineRule="auto"/>
        <w:tabs>
          <w:tab w:leader="none" w:pos="94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[Revolving Advances] [Term Loans] to be continued or converted are [Base Rate Advances] [Eurocurrency Rate Advances] [Daily Simple RFR Advances] [Term SOFR Advances].</w:t>
      </w:r>
    </w:p>
    <w:p>
      <w:pPr>
        <w:spacing w:after="0" w:line="149" w:lineRule="exact"/>
        <w:rPr>
          <w:sz w:val="20"/>
          <w:szCs w:val="20"/>
          <w:color w:val="auto"/>
        </w:rPr>
      </w:pPr>
    </w:p>
    <w:p>
      <w:pPr>
        <w:ind w:left="60" w:right="100" w:firstLine="485"/>
        <w:spacing w:after="0" w:line="239" w:lineRule="auto"/>
        <w:rPr>
          <w:sz w:val="20"/>
          <w:szCs w:val="20"/>
          <w:color w:val="auto"/>
        </w:rPr>
      </w:pPr>
      <w:r>
        <w:rPr>
          <w:rFonts w:ascii="Arial" w:cs="Arial" w:eastAsia="Arial" w:hAnsi="Arial"/>
          <w:sz w:val="16"/>
          <w:szCs w:val="16"/>
          <w:color w:val="auto"/>
        </w:rPr>
        <w:t>[(v) The Type of [Revolving Advances][Term Loans] to which such Borrowing is to be converted is [Base Rate Advances] [Eurocurrency Rate Advances] [Daily Simple RFR Advances] [Term SOFR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right="360" w:firstLine="2"/>
        <w:spacing w:after="0" w:line="219" w:lineRule="auto"/>
        <w:tabs>
          <w:tab w:leader="none" w:pos="464" w:val="left"/>
        </w:tabs>
        <w:numPr>
          <w:ilvl w:val="0"/>
          <w:numId w:val="245"/>
        </w:numPr>
        <w:rPr>
          <w:rFonts w:ascii="Arial" w:cs="Arial" w:eastAsia="Arial" w:hAnsi="Arial"/>
          <w:sz w:val="12"/>
          <w:szCs w:val="12"/>
          <w:color w:val="auto"/>
        </w:rPr>
      </w:pPr>
      <w:r>
        <w:rPr>
          <w:rFonts w:ascii="Arial" w:cs="Arial" w:eastAsia="Arial" w:hAnsi="Arial"/>
          <w:sz w:val="12"/>
          <w:szCs w:val="12"/>
          <w:color w:val="auto"/>
        </w:rPr>
        <w:t>Which amount shall be, (x) with respect to Base Rate Advances, in an aggregate principal amount of $3,000,000, or a Foreign Currency Equivalent thereof, or a whole multiple of $1,000,000, or a Foreign Currency Equivalent thereof, in excess thereof and</w:t>
      </w:r>
    </w:p>
    <w:p>
      <w:pPr>
        <w:ind w:left="60"/>
        <w:spacing w:after="0" w:line="230" w:lineRule="auto"/>
        <w:rPr>
          <w:rFonts w:ascii="Arial" w:cs="Arial" w:eastAsia="Arial" w:hAnsi="Arial"/>
          <w:sz w:val="12"/>
          <w:szCs w:val="12"/>
          <w:color w:val="auto"/>
        </w:rPr>
      </w:pPr>
      <w:r>
        <w:rPr>
          <w:rFonts w:ascii="Arial" w:cs="Arial" w:eastAsia="Arial" w:hAnsi="Arial"/>
          <w:sz w:val="12"/>
          <w:szCs w:val="12"/>
          <w:color w:val="auto"/>
        </w:rPr>
        <w:t>(y) with respect to Eurocurrency Rate Advances and RFR Advances, in an aggregate principal amount of $5,000,000, or a Foreign Currency Equivalent thereof, or a whole multiple of $1,000,000, or a Foreign Currency Equivalent thereof, in excess thereof.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B-2 – 1</w:t>
      </w:r>
      <w:r>
        <w:rPr>
          <w:sz w:val="20"/>
          <w:szCs w:val="20"/>
          <w:color w:val="auto"/>
        </w:rPr>
        <w:tab/>
      </w:r>
      <w:r>
        <w:rPr>
          <w:rFonts w:ascii="Arial" w:cs="Arial" w:eastAsia="Arial" w:hAnsi="Arial"/>
          <w:sz w:val="8"/>
          <w:szCs w:val="8"/>
          <w:color w:val="auto"/>
        </w:rPr>
        <w:t>[[6133168v.2]]</w:t>
      </w:r>
    </w:p>
    <w:p>
      <w:pPr>
        <w:sectPr>
          <w:pgSz w:w="11900" w:h="16838" w:orient="portrait"/>
          <w:cols w:equalWidth="0" w:num="1">
            <w:col w:w="11200"/>
          </w:cols>
          <w:pgMar w:left="320" w:top="1083" w:right="379" w:bottom="1440" w:gutter="0" w:footer="0" w:header="0"/>
        </w:sectPr>
      </w:pPr>
    </w:p>
    <w:bookmarkStart w:id="204" w:name="page205"/>
    <w:bookmarkEnd w:id="204"/>
    <w:p>
      <w:pPr>
        <w:ind w:left="540"/>
        <w:spacing w:after="0"/>
        <w:tabs>
          <w:tab w:leader="none" w:pos="940" w:val="left"/>
          <w:tab w:leader="none" w:pos="4140" w:val="left"/>
        </w:tabs>
        <w:rPr>
          <w:sz w:val="20"/>
          <w:szCs w:val="20"/>
          <w:color w:val="auto"/>
        </w:rPr>
      </w:pPr>
      <w:r>
        <w:rPr>
          <w:rFonts w:ascii="Arial" w:cs="Arial" w:eastAsia="Arial" w:hAnsi="Arial"/>
          <w:sz w:val="16"/>
          <w:szCs w:val="16"/>
          <w:color w:val="auto"/>
        </w:rPr>
        <w:t>[(v)</w:t>
        <w:tab/>
        <w:t>The last day of the requested Interest Period is</w:t>
      </w:r>
      <w:r>
        <w:rPr>
          <w:sz w:val="20"/>
          <w:szCs w:val="20"/>
          <w:color w:val="auto"/>
        </w:rPr>
        <w:tab/>
      </w:r>
      <w:r>
        <w:rPr>
          <w:rFonts w:ascii="Arial" w:cs="Arial" w:eastAsia="Arial" w:hAnsi="Arial"/>
          <w:sz w:val="14"/>
          <w:szCs w:val="14"/>
          <w:color w:val="auto"/>
        </w:rPr>
        <w:t>.]</w:t>
      </w:r>
      <w:r>
        <w:rPr>
          <w:rFonts w:ascii="Arial" w:cs="Arial" w:eastAsia="Arial" w:hAnsi="Arial"/>
          <w:sz w:val="11"/>
          <w:szCs w:val="11"/>
          <w:color w:val="auto"/>
        </w:rPr>
        <w:t>2</w:t>
      </w:r>
      <w:r>
        <w:rPr>
          <w:rFonts w:ascii="Arial" w:cs="Arial" w:eastAsia="Arial" w:hAnsi="Arial"/>
          <w:sz w:val="14"/>
          <w:szCs w:val="14"/>
          <w:color w:val="auto"/>
        </w:rPr>
        <w:t xml:space="preserve"> 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-9525</wp:posOffset>
            </wp:positionV>
            <wp:extent cx="12827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128270" cy="6350"/>
                    </a:xfrm>
                    <a:prstGeom prst="rect">
                      <a:avLst/>
                    </a:prstGeom>
                    <a:noFill/>
                  </pic:spPr>
                </pic:pic>
              </a:graphicData>
            </a:graphic>
          </wp:anchor>
        </w:drawing>
      </w:r>
    </w:p>
    <w:p>
      <w:pPr>
        <w:spacing w:after="0" w:line="24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GRAHAM HOLDINGS COMPANY</w:t>
      </w:r>
    </w:p>
    <w:p>
      <w:pPr>
        <w:spacing w:after="0" w:line="160"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-9525</wp:posOffset>
            </wp:positionV>
            <wp:extent cx="2051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hanging="478"/>
        <w:spacing w:after="0"/>
        <w:tabs>
          <w:tab w:leader="none" w:pos="540" w:val="left"/>
        </w:tabs>
        <w:numPr>
          <w:ilvl w:val="0"/>
          <w:numId w:val="246"/>
        </w:numPr>
        <w:rPr>
          <w:rFonts w:ascii="Arial" w:cs="Arial" w:eastAsia="Arial" w:hAnsi="Arial"/>
          <w:sz w:val="12"/>
          <w:szCs w:val="12"/>
          <w:color w:val="auto"/>
        </w:rPr>
      </w:pPr>
      <w:r>
        <w:rPr>
          <w:rFonts w:ascii="Arial" w:cs="Arial" w:eastAsia="Arial" w:hAnsi="Arial"/>
          <w:sz w:val="12"/>
          <w:szCs w:val="12"/>
          <w:color w:val="auto"/>
        </w:rPr>
        <w:t>For Eurocurrency Rate Advances and Term SOFR Advances only.</w:t>
      </w:r>
    </w:p>
    <w:p>
      <w:pPr>
        <w:spacing w:after="0" w:line="60" w:lineRule="exact"/>
        <w:rPr>
          <w:rFonts w:ascii="Arial" w:cs="Arial" w:eastAsia="Arial" w:hAnsi="Arial"/>
          <w:sz w:val="12"/>
          <w:szCs w:val="12"/>
          <w:color w:val="auto"/>
        </w:rPr>
      </w:pPr>
    </w:p>
    <w:p>
      <w:pPr>
        <w:ind w:left="3020"/>
        <w:spacing w:after="0"/>
        <w:rPr>
          <w:rFonts w:ascii="Arial" w:cs="Arial" w:eastAsia="Arial" w:hAnsi="Arial"/>
          <w:sz w:val="12"/>
          <w:szCs w:val="12"/>
          <w:color w:val="auto"/>
        </w:rPr>
      </w:pPr>
      <w:r>
        <w:rPr>
          <w:rFonts w:ascii="Arial" w:cs="Arial" w:eastAsia="Arial" w:hAnsi="Arial"/>
          <w:sz w:val="13"/>
          <w:szCs w:val="13"/>
          <w:color w:val="auto"/>
        </w:rPr>
        <w:t>B-2 – 2</w:t>
      </w:r>
    </w:p>
    <w:p>
      <w:pPr>
        <w:spacing w:after="0" w:line="386" w:lineRule="exact"/>
        <w:rPr>
          <w:sz w:val="20"/>
          <w:szCs w:val="20"/>
          <w:color w:val="auto"/>
        </w:rPr>
      </w:pPr>
    </w:p>
    <w:p>
      <w:pPr>
        <w:spacing w:after="0"/>
        <w:rPr>
          <w:sz w:val="20"/>
          <w:szCs w:val="20"/>
          <w:color w:val="auto"/>
        </w:rPr>
      </w:pPr>
      <w:r>
        <w:rPr>
          <w:rFonts w:ascii="Arial" w:cs="Arial" w:eastAsia="Arial" w:hAnsi="Arial"/>
          <w:sz w:val="9"/>
          <w:szCs w:val="9"/>
          <w:color w:val="auto"/>
        </w:rPr>
        <w:t>[[6133168v.2]]</w:t>
      </w:r>
    </w:p>
    <w:p>
      <w:pPr>
        <w:sectPr>
          <w:pgSz w:w="11900" w:h="16838" w:orient="portrait"/>
          <w:cols w:equalWidth="0" w:num="1">
            <w:col w:w="10139"/>
          </w:cols>
          <w:pgMar w:left="320" w:top="1174"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6"/>
          <w:szCs w:val="16"/>
          <w:color w:val="auto"/>
        </w:rPr>
        <w:t>EXHIBIT C – FORM OF ASSIGNMENT AND</w:t>
      </w:r>
    </w:p>
    <w:p>
      <w:pPr>
        <w:jc w:val="right"/>
        <w:spacing w:after="0"/>
        <w:rPr>
          <w:sz w:val="20"/>
          <w:szCs w:val="20"/>
          <w:color w:val="auto"/>
        </w:rPr>
      </w:pPr>
      <w:r>
        <w:rPr>
          <w:rFonts w:ascii="Arial" w:cs="Arial" w:eastAsia="Arial" w:hAnsi="Arial"/>
          <w:sz w:val="16"/>
          <w:szCs w:val="16"/>
          <w:color w:val="auto"/>
        </w:rPr>
        <w:t>ASSUMPTION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ASSIGNMENT AND ASSUMPTION</w:t>
      </w:r>
    </w:p>
    <w:p>
      <w:pPr>
        <w:spacing w:after="0" w:line="174" w:lineRule="exact"/>
        <w:rPr>
          <w:sz w:val="20"/>
          <w:szCs w:val="20"/>
          <w:color w:val="auto"/>
        </w:rPr>
      </w:pPr>
    </w:p>
    <w:p>
      <w:pPr>
        <w:jc w:val="both"/>
        <w:ind w:left="60" w:firstLine="485"/>
        <w:spacing w:after="0" w:line="235" w:lineRule="auto"/>
        <w:rPr>
          <w:sz w:val="20"/>
          <w:szCs w:val="20"/>
          <w:color w:val="auto"/>
        </w:rPr>
      </w:pPr>
      <w:r>
        <w:rPr>
          <w:rFonts w:ascii="Arial" w:cs="Arial" w:eastAsia="Arial" w:hAnsi="Arial"/>
          <w:sz w:val="15"/>
          <w:szCs w:val="15"/>
          <w:color w:val="auto"/>
        </w:rPr>
        <w:t>This Assignment and Assumption (the “</w:t>
      </w:r>
      <w:r>
        <w:rPr>
          <w:rFonts w:ascii="Arial" w:cs="Arial" w:eastAsia="Arial" w:hAnsi="Arial"/>
          <w:sz w:val="15"/>
          <w:szCs w:val="15"/>
          <w:u w:val="single" w:color="auto"/>
          <w:color w:val="auto"/>
        </w:rPr>
        <w:t>Assignment and Assumption</w:t>
      </w:r>
      <w:r>
        <w:rPr>
          <w:rFonts w:ascii="Arial" w:cs="Arial" w:eastAsia="Arial" w:hAnsi="Arial"/>
          <w:sz w:val="15"/>
          <w:szCs w:val="15"/>
          <w:color w:val="auto"/>
        </w:rPr>
        <w:t>”) is dated as of the Effective Date set forth below and is entered into by and between [</w:t>
      </w:r>
      <w:r>
        <w:rPr>
          <w:rFonts w:ascii="Arial" w:cs="Arial" w:eastAsia="Arial" w:hAnsi="Arial"/>
          <w:sz w:val="15"/>
          <w:szCs w:val="15"/>
          <w:b w:val="1"/>
          <w:bCs w:val="1"/>
          <w:i w:val="1"/>
          <w:iCs w:val="1"/>
          <w:color w:val="auto"/>
        </w:rPr>
        <w:t>the</w:t>
      </w:r>
      <w:r>
        <w:rPr>
          <w:rFonts w:ascii="Arial" w:cs="Arial" w:eastAsia="Arial" w:hAnsi="Arial"/>
          <w:sz w:val="15"/>
          <w:szCs w:val="15"/>
          <w:color w:val="auto"/>
        </w:rPr>
        <w:t>] [</w:t>
      </w:r>
      <w:r>
        <w:rPr>
          <w:rFonts w:ascii="Arial" w:cs="Arial" w:eastAsia="Arial" w:hAnsi="Arial"/>
          <w:sz w:val="15"/>
          <w:szCs w:val="15"/>
          <w:b w:val="1"/>
          <w:bCs w:val="1"/>
          <w:i w:val="1"/>
          <w:iCs w:val="1"/>
          <w:color w:val="auto"/>
        </w:rPr>
        <w:t>each</w:t>
      </w:r>
      <w:r>
        <w:rPr>
          <w:rFonts w:ascii="Arial" w:cs="Arial" w:eastAsia="Arial" w:hAnsi="Arial"/>
          <w:sz w:val="15"/>
          <w:szCs w:val="15"/>
          <w:color w:val="auto"/>
        </w:rPr>
        <w:t>]</w:t>
      </w:r>
      <w:r>
        <w:rPr>
          <w:rFonts w:ascii="Arial" w:cs="Arial" w:eastAsia="Arial" w:hAnsi="Arial"/>
          <w:sz w:val="11"/>
          <w:szCs w:val="11"/>
          <w:color w:val="auto"/>
        </w:rPr>
        <w:t>1</w:t>
      </w:r>
      <w:r>
        <w:rPr>
          <w:rFonts w:ascii="Arial" w:cs="Arial" w:eastAsia="Arial" w:hAnsi="Arial"/>
          <w:sz w:val="15"/>
          <w:szCs w:val="15"/>
          <w:color w:val="auto"/>
        </w:rPr>
        <w:t xml:space="preserve"> Assignor identified in item 1 below ([the][each, an] “</w:t>
      </w:r>
      <w:r>
        <w:rPr>
          <w:rFonts w:ascii="Arial" w:cs="Arial" w:eastAsia="Arial" w:hAnsi="Arial"/>
          <w:sz w:val="15"/>
          <w:szCs w:val="15"/>
          <w:u w:val="single" w:color="auto"/>
          <w:color w:val="auto"/>
        </w:rPr>
        <w:t>Assignor</w:t>
      </w:r>
      <w:r>
        <w:rPr>
          <w:rFonts w:ascii="Arial" w:cs="Arial" w:eastAsia="Arial" w:hAnsi="Arial"/>
          <w:sz w:val="15"/>
          <w:szCs w:val="15"/>
          <w:color w:val="auto"/>
        </w:rPr>
        <w:t>”) and [</w:t>
      </w:r>
      <w:r>
        <w:rPr>
          <w:rFonts w:ascii="Arial" w:cs="Arial" w:eastAsia="Arial" w:hAnsi="Arial"/>
          <w:sz w:val="15"/>
          <w:szCs w:val="15"/>
          <w:b w:val="1"/>
          <w:bCs w:val="1"/>
          <w:i w:val="1"/>
          <w:iCs w:val="1"/>
          <w:color w:val="auto"/>
        </w:rPr>
        <w:t>the</w:t>
      </w:r>
      <w:r>
        <w:rPr>
          <w:rFonts w:ascii="Arial" w:cs="Arial" w:eastAsia="Arial" w:hAnsi="Arial"/>
          <w:sz w:val="15"/>
          <w:szCs w:val="15"/>
          <w:color w:val="auto"/>
        </w:rPr>
        <w:t>][</w:t>
      </w:r>
      <w:r>
        <w:rPr>
          <w:rFonts w:ascii="Arial" w:cs="Arial" w:eastAsia="Arial" w:hAnsi="Arial"/>
          <w:sz w:val="15"/>
          <w:szCs w:val="15"/>
          <w:b w:val="1"/>
          <w:bCs w:val="1"/>
          <w:i w:val="1"/>
          <w:iCs w:val="1"/>
          <w:color w:val="auto"/>
        </w:rPr>
        <w:t>each</w:t>
      </w:r>
      <w:r>
        <w:rPr>
          <w:rFonts w:ascii="Arial" w:cs="Arial" w:eastAsia="Arial" w:hAnsi="Arial"/>
          <w:sz w:val="15"/>
          <w:szCs w:val="15"/>
          <w:color w:val="auto"/>
        </w:rPr>
        <w:t>]</w:t>
      </w:r>
      <w:r>
        <w:rPr>
          <w:rFonts w:ascii="Arial" w:cs="Arial" w:eastAsia="Arial" w:hAnsi="Arial"/>
          <w:sz w:val="11"/>
          <w:szCs w:val="11"/>
          <w:color w:val="auto"/>
        </w:rPr>
        <w:t>2</w:t>
      </w:r>
      <w:r>
        <w:rPr>
          <w:rFonts w:ascii="Arial" w:cs="Arial" w:eastAsia="Arial" w:hAnsi="Arial"/>
          <w:sz w:val="15"/>
          <w:szCs w:val="15"/>
          <w:color w:val="auto"/>
        </w:rPr>
        <w:t xml:space="preserve"> Assignee identified in item 2 below ([the] [each, an] “</w:t>
      </w:r>
      <w:r>
        <w:rPr>
          <w:rFonts w:ascii="Arial" w:cs="Arial" w:eastAsia="Arial" w:hAnsi="Arial"/>
          <w:sz w:val="15"/>
          <w:szCs w:val="15"/>
          <w:u w:val="single" w:color="auto"/>
          <w:color w:val="auto"/>
        </w:rPr>
        <w:t>Assignee</w:t>
      </w:r>
      <w:r>
        <w:rPr>
          <w:rFonts w:ascii="Arial" w:cs="Arial" w:eastAsia="Arial" w:hAnsi="Arial"/>
          <w:sz w:val="15"/>
          <w:szCs w:val="15"/>
          <w:color w:val="auto"/>
        </w:rPr>
        <w:t>”). [It is understood and agreed that the rights and obligations of [the Assignors] [the Assignees]</w:t>
      </w:r>
      <w:r>
        <w:rPr>
          <w:rFonts w:ascii="Arial" w:cs="Arial" w:eastAsia="Arial" w:hAnsi="Arial"/>
          <w:sz w:val="11"/>
          <w:szCs w:val="11"/>
          <w:color w:val="auto"/>
        </w:rPr>
        <w:t>3</w:t>
      </w:r>
      <w:r>
        <w:rPr>
          <w:rFonts w:ascii="Arial" w:cs="Arial" w:eastAsia="Arial" w:hAnsi="Arial"/>
          <w:sz w:val="15"/>
          <w:szCs w:val="15"/>
          <w:color w:val="auto"/>
        </w:rPr>
        <w:t xml:space="preserve"> hereunder are several and not joint].</w:t>
      </w:r>
      <w:r>
        <w:rPr>
          <w:rFonts w:ascii="Arial" w:cs="Arial" w:eastAsia="Arial" w:hAnsi="Arial"/>
          <w:sz w:val="11"/>
          <w:szCs w:val="11"/>
          <w:color w:val="auto"/>
        </w:rPr>
        <w:t>4</w:t>
      </w:r>
      <w:r>
        <w:rPr>
          <w:rFonts w:ascii="Arial" w:cs="Arial" w:eastAsia="Arial" w:hAnsi="Arial"/>
          <w:sz w:val="15"/>
          <w:szCs w:val="15"/>
          <w:color w:val="auto"/>
        </w:rPr>
        <w:t xml:space="preserve"> Capitalized terms used but not defined herein shall have the meanings given to them in the Credit Agreement identified below (as amended,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receipt of a copy of which is hereby acknowledged by [the][each] Assignee. The terms and conditions (the “</w:t>
      </w:r>
      <w:r>
        <w:rPr>
          <w:rFonts w:ascii="Arial" w:cs="Arial" w:eastAsia="Arial" w:hAnsi="Arial"/>
          <w:sz w:val="15"/>
          <w:szCs w:val="15"/>
          <w:u w:val="single" w:color="auto"/>
          <w:color w:val="auto"/>
        </w:rPr>
        <w:t>Standard Terms and Conditions</w:t>
      </w:r>
      <w:r>
        <w:rPr>
          <w:rFonts w:ascii="Arial" w:cs="Arial" w:eastAsia="Arial" w:hAnsi="Arial"/>
          <w:sz w:val="15"/>
          <w:szCs w:val="15"/>
          <w:color w:val="auto"/>
        </w:rPr>
        <w:t>”) set forth in Annex 1 attached hereto are hereby agreed to and incorporated herein by reference and made a part of this Assignment and Assumption as if set forth herein in full.</w:t>
      </w:r>
    </w:p>
    <w:p>
      <w:pPr>
        <w:spacing w:after="0" w:line="139" w:lineRule="exact"/>
        <w:rPr>
          <w:sz w:val="20"/>
          <w:szCs w:val="20"/>
          <w:color w:val="auto"/>
        </w:rPr>
      </w:pPr>
    </w:p>
    <w:p>
      <w:pPr>
        <w:jc w:val="both"/>
        <w:ind w:left="60" w:firstLine="485"/>
        <w:spacing w:after="0" w:line="230" w:lineRule="auto"/>
        <w:rPr>
          <w:sz w:val="20"/>
          <w:szCs w:val="20"/>
          <w:color w:val="auto"/>
        </w:rPr>
      </w:pPr>
      <w:r>
        <w:rPr>
          <w:rFonts w:ascii="Arial" w:cs="Arial" w:eastAsia="Arial" w:hAnsi="Arial"/>
          <w:sz w:val="15"/>
          <w:szCs w:val="15"/>
          <w:color w:val="auto"/>
        </w:rPr>
        <w:t>For an agreed consideration, [the][each] Assignor hereby irrevocably sells and assigns to [the Assignee][the respective Assignees], and [the] [each]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 [the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w:t>
      </w:r>
    </w:p>
    <w:p>
      <w:pPr>
        <w:spacing w:after="0" w:line="202" w:lineRule="exact"/>
        <w:rPr>
          <w:sz w:val="20"/>
          <w:szCs w:val="20"/>
          <w:color w:val="auto"/>
        </w:rPr>
      </w:pPr>
    </w:p>
    <w:p>
      <w:pPr>
        <w:ind w:left="60" w:right="40" w:firstLine="2"/>
        <w:spacing w:after="0" w:line="219" w:lineRule="auto"/>
        <w:tabs>
          <w:tab w:leader="none" w:pos="464" w:val="left"/>
        </w:tabs>
        <w:numPr>
          <w:ilvl w:val="0"/>
          <w:numId w:val="247"/>
        </w:numPr>
        <w:rPr>
          <w:rFonts w:ascii="Arial" w:cs="Arial" w:eastAsia="Arial" w:hAnsi="Arial"/>
          <w:sz w:val="12"/>
          <w:szCs w:val="12"/>
          <w:color w:val="auto"/>
        </w:rPr>
      </w:pPr>
      <w:r>
        <w:rPr>
          <w:rFonts w:ascii="Arial" w:cs="Arial" w:eastAsia="Arial" w:hAnsi="Arial"/>
          <w:sz w:val="12"/>
          <w:szCs w:val="12"/>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 w:lineRule="exact"/>
        <w:rPr>
          <w:sz w:val="20"/>
          <w:szCs w:val="20"/>
          <w:color w:val="auto"/>
        </w:rPr>
      </w:pPr>
    </w:p>
    <w:p>
      <w:pPr>
        <w:ind w:left="60" w:right="300" w:firstLine="1"/>
        <w:spacing w:after="0" w:line="210" w:lineRule="auto"/>
        <w:tabs>
          <w:tab w:leader="none" w:pos="465" w:val="left"/>
        </w:tabs>
        <w:numPr>
          <w:ilvl w:val="0"/>
          <w:numId w:val="248"/>
        </w:numPr>
        <w:rPr>
          <w:rFonts w:ascii="Arial" w:cs="Arial" w:eastAsia="Arial" w:hAnsi="Arial"/>
          <w:sz w:val="12"/>
          <w:szCs w:val="12"/>
          <w:color w:val="auto"/>
        </w:rPr>
      </w:pPr>
      <w:r>
        <w:rPr>
          <w:rFonts w:ascii="Arial" w:cs="Arial" w:eastAsia="Arial" w:hAnsi="Arial"/>
          <w:sz w:val="12"/>
          <w:szCs w:val="12"/>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540" w:hanging="479"/>
        <w:spacing w:after="0" w:line="212" w:lineRule="auto"/>
        <w:tabs>
          <w:tab w:leader="none" w:pos="54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Select as appropriate.</w:t>
      </w:r>
    </w:p>
    <w:p>
      <w:pPr>
        <w:ind w:left="540" w:hanging="479"/>
        <w:spacing w:after="0"/>
        <w:tabs>
          <w:tab w:leader="none" w:pos="54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Include bracketed language if there are either multiple Assignors or multiple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C – 1</w:t>
      </w:r>
      <w:r>
        <w:rPr>
          <w:sz w:val="20"/>
          <w:szCs w:val="20"/>
          <w:color w:val="auto"/>
        </w:rPr>
        <w:tab/>
      </w:r>
      <w:r>
        <w:rPr>
          <w:rFonts w:ascii="Arial" w:cs="Arial" w:eastAsia="Arial" w:hAnsi="Arial"/>
          <w:sz w:val="8"/>
          <w:szCs w:val="8"/>
          <w:color w:val="auto"/>
        </w:rPr>
        <w:t>[[6133168v.2]]</w:t>
      </w:r>
    </w:p>
    <w:p>
      <w:pPr>
        <w:sectPr>
          <w:pgSz w:w="11900" w:h="16838" w:orient="portrait"/>
          <w:cols w:equalWidth="0" w:num="1">
            <w:col w:w="11180"/>
          </w:cols>
          <w:pgMar w:left="320" w:top="1115" w:right="399" w:bottom="1440" w:gutter="0" w:footer="0" w:header="0"/>
        </w:sectPr>
      </w:pPr>
    </w:p>
    <w:bookmarkStart w:id="206" w:name="page207"/>
    <w:bookmarkEnd w:id="206"/>
    <w:p>
      <w:pPr>
        <w:ind w:left="60"/>
        <w:spacing w:after="0" w:line="239" w:lineRule="auto"/>
        <w:rPr>
          <w:sz w:val="20"/>
          <w:szCs w:val="20"/>
          <w:color w:val="auto"/>
        </w:rPr>
      </w:pPr>
      <w:r>
        <w:rPr>
          <w:rFonts w:ascii="Arial" w:cs="Arial" w:eastAsia="Arial" w:hAnsi="Arial"/>
          <w:sz w:val="16"/>
          <w:szCs w:val="16"/>
          <w:color w:val="auto"/>
        </w:rPr>
        <w:t>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149" w:lineRule="exact"/>
        <w:rPr>
          <w:sz w:val="20"/>
          <w:szCs w:val="20"/>
          <w:color w:val="auto"/>
        </w:rPr>
      </w:pPr>
    </w:p>
    <w:p>
      <w:pPr>
        <w:ind w:left="1040" w:hanging="493"/>
        <w:spacing w:after="0"/>
        <w:tabs>
          <w:tab w:leader="none" w:pos="10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Assignor[s]:</w:t>
      </w:r>
    </w:p>
    <w:p>
      <w:pPr>
        <w:spacing w:after="0" w:line="200" w:lineRule="exact"/>
        <w:rPr>
          <w:rFonts w:ascii="Arial" w:cs="Arial" w:eastAsia="Arial" w:hAnsi="Arial"/>
          <w:sz w:val="16"/>
          <w:szCs w:val="16"/>
          <w:color w:val="auto"/>
        </w:rPr>
      </w:pPr>
    </w:p>
    <w:p>
      <w:pPr>
        <w:spacing w:after="0" w:line="383"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[Assignor [is] [is not] a Defaulting Lender]</w:t>
      </w:r>
    </w:p>
    <w:p>
      <w:pPr>
        <w:spacing w:after="0" w:line="169" w:lineRule="exact"/>
        <w:rPr>
          <w:rFonts w:ascii="Arial" w:cs="Arial" w:eastAsia="Arial" w:hAnsi="Arial"/>
          <w:sz w:val="16"/>
          <w:szCs w:val="16"/>
          <w:color w:val="auto"/>
        </w:rPr>
      </w:pPr>
    </w:p>
    <w:p>
      <w:pPr>
        <w:ind w:left="1040" w:hanging="494"/>
        <w:spacing w:after="0"/>
        <w:tabs>
          <w:tab w:leader="none" w:pos="10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Assignee[s]:</w:t>
      </w:r>
    </w:p>
    <w:p>
      <w:pPr>
        <w:spacing w:after="0" w:line="200" w:lineRule="exact"/>
        <w:rPr>
          <w:rFonts w:ascii="Arial" w:cs="Arial" w:eastAsia="Arial" w:hAnsi="Arial"/>
          <w:sz w:val="16"/>
          <w:szCs w:val="16"/>
          <w:color w:val="auto"/>
        </w:rPr>
      </w:pPr>
    </w:p>
    <w:p>
      <w:pPr>
        <w:spacing w:after="0" w:line="394"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[for each Assignee, indicate [Affiliate][Approved Fund] of [identify Lender]]</w:t>
      </w:r>
    </w:p>
    <w:p>
      <w:pPr>
        <w:spacing w:after="0" w:line="159" w:lineRule="exact"/>
        <w:rPr>
          <w:rFonts w:ascii="Arial" w:cs="Arial" w:eastAsia="Arial" w:hAnsi="Arial"/>
          <w:sz w:val="16"/>
          <w:szCs w:val="16"/>
          <w:color w:val="auto"/>
        </w:rPr>
      </w:pPr>
    </w:p>
    <w:p>
      <w:pPr>
        <w:ind w:left="1040" w:hanging="494"/>
        <w:spacing w:after="0"/>
        <w:tabs>
          <w:tab w:leader="none" w:pos="10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-1433830</wp:posOffset>
            </wp:positionV>
            <wp:extent cx="12827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128270" cy="635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-721360</wp:posOffset>
            </wp:positionV>
            <wp:extent cx="12827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128270" cy="6350"/>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-9525</wp:posOffset>
            </wp:positionV>
            <wp:extent cx="12827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128270" cy="6350"/>
                    </a:xfrm>
                    <a:prstGeom prst="rect">
                      <a:avLst/>
                    </a:prstGeom>
                    <a:noFill/>
                  </pic:spPr>
                </pic:pic>
              </a:graphicData>
            </a:graphic>
          </wp:anchor>
        </w:drawing>
      </w:r>
    </w:p>
    <w:p>
      <w:pPr>
        <w:spacing w:after="0" w:line="134"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4.</w:t>
            </w:r>
          </w:p>
        </w:tc>
        <w:tc>
          <w:tcPr>
            <w:tcW w:w="800" w:type="dxa"/>
            <w:vAlign w:val="bottom"/>
          </w:tcPr>
          <w:p>
            <w:pPr>
              <w:ind w:left="200"/>
              <w:spacing w:after="0"/>
              <w:rPr>
                <w:sz w:val="20"/>
                <w:szCs w:val="20"/>
                <w:color w:val="auto"/>
              </w:rPr>
            </w:pPr>
            <w:r>
              <w:rPr>
                <w:rFonts w:ascii="Arial" w:cs="Arial" w:eastAsia="Arial" w:hAnsi="Arial"/>
                <w:sz w:val="16"/>
                <w:szCs w:val="16"/>
                <w:color w:val="auto"/>
              </w:rPr>
              <w:t>Agent:</w:t>
            </w:r>
          </w:p>
        </w:tc>
        <w:tc>
          <w:tcPr>
            <w:tcW w:w="9400" w:type="dxa"/>
            <w:vAlign w:val="bottom"/>
            <w:gridSpan w:val="2"/>
          </w:tcPr>
          <w:p>
            <w:pPr>
              <w:ind w:left="200"/>
              <w:spacing w:after="0"/>
              <w:rPr>
                <w:sz w:val="20"/>
                <w:szCs w:val="20"/>
                <w:color w:val="auto"/>
              </w:rPr>
            </w:pPr>
            <w:r>
              <w:rPr>
                <w:rFonts w:ascii="Arial" w:cs="Arial" w:eastAsia="Arial" w:hAnsi="Arial"/>
                <w:sz w:val="16"/>
                <w:szCs w:val="16"/>
                <w:color w:val="auto"/>
              </w:rPr>
              <w:t>, as the administrative agent under the credit agreement</w:t>
            </w:r>
          </w:p>
        </w:tc>
      </w:tr>
      <w:tr>
        <w:trPr>
          <w:trHeight w:val="327"/>
        </w:trPr>
        <w:tc>
          <w:tcPr>
            <w:tcW w:w="300" w:type="dxa"/>
            <w:vAlign w:val="bottom"/>
          </w:tcPr>
          <w:p>
            <w:pPr>
              <w:jc w:val="right"/>
              <w:ind w:right="99"/>
              <w:spacing w:after="0"/>
              <w:rPr>
                <w:sz w:val="20"/>
                <w:szCs w:val="20"/>
                <w:color w:val="auto"/>
              </w:rPr>
            </w:pPr>
            <w:r>
              <w:rPr>
                <w:rFonts w:ascii="Arial" w:cs="Arial" w:eastAsia="Arial" w:hAnsi="Arial"/>
                <w:sz w:val="16"/>
                <w:szCs w:val="16"/>
                <w:color w:val="auto"/>
                <w:w w:val="74"/>
              </w:rPr>
              <w:t>5.</w:t>
            </w:r>
          </w:p>
        </w:tc>
        <w:tc>
          <w:tcPr>
            <w:tcW w:w="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0" w:type="dxa"/>
            <w:vAlign w:val="bottom"/>
          </w:tcPr>
          <w:p>
            <w:pPr>
              <w:ind w:left="160"/>
              <w:spacing w:after="0"/>
              <w:rPr>
                <w:sz w:val="20"/>
                <w:szCs w:val="20"/>
                <w:color w:val="auto"/>
              </w:rPr>
            </w:pPr>
            <w:r>
              <w:rPr>
                <w:rFonts w:ascii="Arial" w:cs="Arial" w:eastAsia="Arial" w:hAnsi="Arial"/>
                <w:sz w:val="16"/>
                <w:szCs w:val="16"/>
                <w:color w:val="auto"/>
                <w:w w:val="90"/>
              </w:rPr>
              <w:t>Credit Agreement : The $450,000,000 Second Amended and Restated Five Year Credit Agreement dated as of May 3, 2022, among Graham</w:t>
            </w:r>
          </w:p>
        </w:tc>
      </w:tr>
      <w:tr>
        <w:trPr>
          <w:trHeight w:val="162"/>
        </w:trPr>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0" w:type="dxa"/>
            <w:vAlign w:val="bottom"/>
          </w:tcPr>
          <w:p>
            <w:pPr>
              <w:ind w:left="160"/>
              <w:spacing w:after="0" w:line="161" w:lineRule="exact"/>
              <w:rPr>
                <w:sz w:val="20"/>
                <w:szCs w:val="20"/>
                <w:color w:val="auto"/>
              </w:rPr>
            </w:pPr>
            <w:r>
              <w:rPr>
                <w:rFonts w:ascii="Arial" w:cs="Arial" w:eastAsia="Arial" w:hAnsi="Arial"/>
                <w:sz w:val="16"/>
                <w:szCs w:val="16"/>
                <w:color w:val="auto"/>
                <w:w w:val="92"/>
              </w:rPr>
              <w:t>Holdings Company, the Foreign Borrowers from time to time party thereto, the Guarantors, certain Lenders party thereto, and Wells Fargo</w:t>
            </w:r>
          </w:p>
        </w:tc>
      </w:tr>
      <w:tr>
        <w:trPr>
          <w:trHeight w:val="206"/>
        </w:trPr>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tcPr>
          <w:p>
            <w:pPr>
              <w:ind w:left="160"/>
              <w:spacing w:after="0"/>
              <w:rPr>
                <w:sz w:val="20"/>
                <w:szCs w:val="20"/>
                <w:color w:val="auto"/>
              </w:rPr>
            </w:pPr>
            <w:r>
              <w:rPr>
                <w:rFonts w:ascii="Arial" w:cs="Arial" w:eastAsia="Arial" w:hAnsi="Arial"/>
                <w:sz w:val="16"/>
                <w:szCs w:val="16"/>
                <w:color w:val="auto"/>
              </w:rPr>
              <w:t>Bank, National Association, as Administrative Agent for such Lenders.</w:t>
            </w:r>
          </w:p>
        </w:tc>
      </w:tr>
    </w:tbl>
    <w:p>
      <w:pPr>
        <w:spacing w:after="0" w:line="137" w:lineRule="exact"/>
        <w:rPr>
          <w:sz w:val="20"/>
          <w:szCs w:val="20"/>
          <w:color w:val="auto"/>
        </w:rPr>
      </w:pPr>
    </w:p>
    <w:p>
      <w:pPr>
        <w:ind w:left="1040" w:hanging="494"/>
        <w:spacing w:after="0"/>
        <w:tabs>
          <w:tab w:leader="none" w:pos="10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Assigned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C – 2</w:t>
      </w:r>
      <w:r>
        <w:rPr>
          <w:sz w:val="20"/>
          <w:szCs w:val="20"/>
          <w:color w:val="auto"/>
        </w:rPr>
        <w:tab/>
      </w:r>
      <w:r>
        <w:rPr>
          <w:rFonts w:ascii="Arial" w:cs="Arial" w:eastAsia="Arial" w:hAnsi="Arial"/>
          <w:sz w:val="8"/>
          <w:szCs w:val="8"/>
          <w:color w:val="auto"/>
        </w:rPr>
        <w:t>[[6133168v.2]]</w:t>
      </w:r>
    </w:p>
    <w:p>
      <w:pPr>
        <w:sectPr>
          <w:pgSz w:w="11900" w:h="16838" w:orient="portrait"/>
          <w:cols w:equalWidth="0" w:num="1">
            <w:col w:w="11180"/>
          </w:cols>
          <w:pgMar w:left="320" w:top="1305" w:right="399" w:bottom="1440" w:gutter="0" w:footer="0" w:header="0"/>
        </w:sectPr>
      </w:pPr>
    </w:p>
    <w:bookmarkStart w:id="207" w:name="page208"/>
    <w:bookmarkEnd w:id="207"/>
    <w:tbl>
      <w:tblPr>
        <w:tblLayout w:type="fixed"/>
        <w:tblInd w:w="2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color w:val="auto"/>
                <w:w w:val="93"/>
              </w:rPr>
              <w:t>Assignor[s</w:t>
            </w:r>
          </w:p>
        </w:tc>
        <w:tc>
          <w:tcPr>
            <w:tcW w:w="1920" w:type="dxa"/>
            <w:vAlign w:val="bottom"/>
          </w:tcPr>
          <w:p>
            <w:pPr>
              <w:spacing w:after="0"/>
              <w:rPr>
                <w:sz w:val="16"/>
                <w:szCs w:val="16"/>
                <w:color w:val="auto"/>
              </w:rPr>
            </w:pPr>
          </w:p>
        </w:tc>
        <w:tc>
          <w:tcPr>
            <w:tcW w:w="4220" w:type="dxa"/>
            <w:vAlign w:val="bottom"/>
          </w:tcPr>
          <w:p>
            <w:pPr>
              <w:ind w:left="3520"/>
              <w:spacing w:after="0"/>
              <w:rPr>
                <w:sz w:val="20"/>
                <w:szCs w:val="20"/>
                <w:color w:val="auto"/>
              </w:rPr>
            </w:pPr>
            <w:r>
              <w:rPr>
                <w:rFonts w:ascii="Arial" w:cs="Arial" w:eastAsia="Arial" w:hAnsi="Arial"/>
                <w:sz w:val="16"/>
                <w:szCs w:val="16"/>
                <w:color w:val="auto"/>
                <w:w w:val="86"/>
              </w:rPr>
              <w:t>Assignee[s</w:t>
            </w:r>
          </w:p>
        </w:tc>
      </w:tr>
      <w:tr>
        <w:trPr>
          <w:trHeight w:val="206"/>
        </w:trPr>
        <w:tc>
          <w:tcPr>
            <w:tcW w:w="17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2"/>
                <w:szCs w:val="12"/>
                <w:color w:val="auto"/>
                <w:w w:val="89"/>
              </w:rPr>
              <w:t>5</w:t>
            </w:r>
          </w:p>
        </w:tc>
        <w:tc>
          <w:tcPr>
            <w:tcW w:w="192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94"/>
        </w:trPr>
        <w:tc>
          <w:tcPr>
            <w:tcW w:w="1740" w:type="dxa"/>
            <w:vAlign w:val="bottom"/>
          </w:tcPr>
          <w:p>
            <w:pPr>
              <w:jc w:val="center"/>
              <w:spacing w:after="0"/>
              <w:rPr>
                <w:sz w:val="20"/>
                <w:szCs w:val="20"/>
                <w:color w:val="auto"/>
              </w:rPr>
            </w:pPr>
            <w:r>
              <w:rPr>
                <w:rFonts w:ascii="Arial" w:cs="Arial" w:eastAsia="Arial" w:hAnsi="Arial"/>
                <w:sz w:val="16"/>
                <w:szCs w:val="16"/>
                <w:color w:val="auto"/>
                <w:w w:val="92"/>
              </w:rPr>
              <w:t>Aggregate Amount of</w:t>
            </w:r>
          </w:p>
        </w:tc>
        <w:tc>
          <w:tcPr>
            <w:tcW w:w="2000" w:type="dxa"/>
            <w:vAlign w:val="bottom"/>
          </w:tcPr>
          <w:p>
            <w:pPr>
              <w:jc w:val="center"/>
              <w:spacing w:after="0"/>
              <w:rPr>
                <w:sz w:val="20"/>
                <w:szCs w:val="20"/>
                <w:color w:val="auto"/>
              </w:rPr>
            </w:pPr>
            <w:r>
              <w:rPr>
                <w:rFonts w:ascii="Arial" w:cs="Arial" w:eastAsia="Arial" w:hAnsi="Arial"/>
                <w:sz w:val="16"/>
                <w:szCs w:val="16"/>
                <w:color w:val="auto"/>
                <w:w w:val="98"/>
              </w:rPr>
              <w:t>Amount of</w:t>
            </w:r>
          </w:p>
        </w:tc>
        <w:tc>
          <w:tcPr>
            <w:tcW w:w="192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18"/>
        </w:trPr>
        <w:tc>
          <w:tcPr>
            <w:tcW w:w="1740" w:type="dxa"/>
            <w:vAlign w:val="bottom"/>
          </w:tcPr>
          <w:p>
            <w:pPr>
              <w:jc w:val="center"/>
              <w:spacing w:after="0"/>
              <w:rPr>
                <w:sz w:val="20"/>
                <w:szCs w:val="20"/>
                <w:color w:val="auto"/>
              </w:rPr>
            </w:pPr>
            <w:r>
              <w:rPr>
                <w:rFonts w:ascii="Arial" w:cs="Arial" w:eastAsia="Arial" w:hAnsi="Arial"/>
                <w:sz w:val="16"/>
                <w:szCs w:val="16"/>
                <w:color w:val="auto"/>
                <w:w w:val="94"/>
              </w:rPr>
              <w:t>[Commitment/Advances]</w:t>
            </w:r>
          </w:p>
        </w:tc>
        <w:tc>
          <w:tcPr>
            <w:tcW w:w="2000" w:type="dxa"/>
            <w:vAlign w:val="bottom"/>
          </w:tcPr>
          <w:p>
            <w:pPr>
              <w:jc w:val="center"/>
              <w:spacing w:after="0"/>
              <w:rPr>
                <w:sz w:val="20"/>
                <w:szCs w:val="20"/>
                <w:color w:val="auto"/>
              </w:rPr>
            </w:pPr>
            <w:r>
              <w:rPr>
                <w:rFonts w:ascii="Arial" w:cs="Arial" w:eastAsia="Arial" w:hAnsi="Arial"/>
                <w:sz w:val="16"/>
                <w:szCs w:val="16"/>
                <w:color w:val="auto"/>
                <w:w w:val="94"/>
              </w:rPr>
              <w:t>[Commitment/Advances]</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Percentage Assigned of</w:t>
            </w:r>
          </w:p>
        </w:tc>
        <w:tc>
          <w:tcPr>
            <w:tcW w:w="4220" w:type="dxa"/>
            <w:vAlign w:val="bottom"/>
          </w:tcPr>
          <w:p>
            <w:pPr>
              <w:spacing w:after="0"/>
              <w:rPr>
                <w:sz w:val="18"/>
                <w:szCs w:val="18"/>
                <w:color w:val="auto"/>
              </w:rPr>
            </w:pPr>
          </w:p>
        </w:tc>
      </w:tr>
      <w:tr>
        <w:trPr>
          <w:trHeight w:val="216"/>
        </w:trPr>
        <w:tc>
          <w:tcPr>
            <w:tcW w:w="1740" w:type="dxa"/>
            <w:vAlign w:val="bottom"/>
          </w:tcPr>
          <w:p>
            <w:pPr>
              <w:jc w:val="center"/>
              <w:spacing w:after="0"/>
              <w:rPr>
                <w:sz w:val="20"/>
                <w:szCs w:val="20"/>
                <w:color w:val="auto"/>
              </w:rPr>
            </w:pPr>
            <w:r>
              <w:rPr>
                <w:rFonts w:ascii="Arial" w:cs="Arial" w:eastAsia="Arial" w:hAnsi="Arial"/>
                <w:sz w:val="16"/>
                <w:szCs w:val="16"/>
                <w:color w:val="auto"/>
                <w:w w:val="92"/>
              </w:rPr>
              <w:t>[Term Loan</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[Term Loan</w:t>
            </w:r>
          </w:p>
        </w:tc>
        <w:tc>
          <w:tcPr>
            <w:tcW w:w="1920" w:type="dxa"/>
            <w:vAlign w:val="bottom"/>
          </w:tcPr>
          <w:p>
            <w:pPr>
              <w:jc w:val="center"/>
              <w:spacing w:after="0"/>
              <w:rPr>
                <w:sz w:val="20"/>
                <w:szCs w:val="20"/>
                <w:color w:val="auto"/>
              </w:rPr>
            </w:pPr>
            <w:r>
              <w:rPr>
                <w:rFonts w:ascii="Arial" w:cs="Arial" w:eastAsia="Arial" w:hAnsi="Arial"/>
                <w:sz w:val="16"/>
                <w:szCs w:val="16"/>
                <w:color w:val="auto"/>
                <w:w w:val="94"/>
              </w:rPr>
              <w:t>[Commitment/Advances]</w:t>
            </w:r>
          </w:p>
        </w:tc>
        <w:tc>
          <w:tcPr>
            <w:tcW w:w="4220" w:type="dxa"/>
            <w:vAlign w:val="bottom"/>
          </w:tcPr>
          <w:p>
            <w:pPr>
              <w:spacing w:after="0"/>
              <w:rPr>
                <w:sz w:val="18"/>
                <w:szCs w:val="18"/>
                <w:color w:val="auto"/>
              </w:rPr>
            </w:pPr>
          </w:p>
        </w:tc>
      </w:tr>
      <w:tr>
        <w:trPr>
          <w:trHeight w:val="188"/>
        </w:trPr>
        <w:tc>
          <w:tcPr>
            <w:tcW w:w="1740" w:type="dxa"/>
            <w:vAlign w:val="bottom"/>
          </w:tcPr>
          <w:p>
            <w:pPr>
              <w:jc w:val="center"/>
              <w:spacing w:after="0"/>
              <w:rPr>
                <w:sz w:val="20"/>
                <w:szCs w:val="20"/>
                <w:color w:val="auto"/>
              </w:rPr>
            </w:pPr>
            <w:r>
              <w:rPr>
                <w:rFonts w:ascii="Arial" w:cs="Arial" w:eastAsia="Arial" w:hAnsi="Arial"/>
                <w:sz w:val="16"/>
                <w:szCs w:val="16"/>
                <w:color w:val="auto"/>
                <w:w w:val="92"/>
              </w:rPr>
              <w:t>Commitment/Term</w:t>
            </w:r>
          </w:p>
        </w:tc>
        <w:tc>
          <w:tcPr>
            <w:tcW w:w="2000" w:type="dxa"/>
            <w:vAlign w:val="bottom"/>
          </w:tcPr>
          <w:p>
            <w:pPr>
              <w:jc w:val="center"/>
              <w:spacing w:after="0"/>
              <w:rPr>
                <w:sz w:val="20"/>
                <w:szCs w:val="20"/>
                <w:color w:val="auto"/>
              </w:rPr>
            </w:pPr>
            <w:r>
              <w:rPr>
                <w:rFonts w:ascii="Arial" w:cs="Arial" w:eastAsia="Arial" w:hAnsi="Arial"/>
                <w:sz w:val="16"/>
                <w:szCs w:val="16"/>
                <w:color w:val="auto"/>
                <w:w w:val="93"/>
              </w:rPr>
              <w:t>Commitment/Term</w:t>
            </w:r>
          </w:p>
        </w:tc>
        <w:tc>
          <w:tcPr>
            <w:tcW w:w="1920" w:type="dxa"/>
            <w:vAlign w:val="bottom"/>
          </w:tcPr>
          <w:p>
            <w:pPr>
              <w:jc w:val="center"/>
              <w:spacing w:after="0"/>
              <w:rPr>
                <w:sz w:val="20"/>
                <w:szCs w:val="20"/>
                <w:color w:val="auto"/>
              </w:rPr>
            </w:pPr>
            <w:r>
              <w:rPr>
                <w:rFonts w:ascii="Arial" w:cs="Arial" w:eastAsia="Arial" w:hAnsi="Arial"/>
                <w:sz w:val="16"/>
                <w:szCs w:val="16"/>
                <w:color w:val="auto"/>
                <w:w w:val="92"/>
              </w:rPr>
              <w:t>[Term Loan</w:t>
            </w:r>
          </w:p>
        </w:tc>
        <w:tc>
          <w:tcPr>
            <w:tcW w:w="4220" w:type="dxa"/>
            <w:vAlign w:val="bottom"/>
          </w:tcPr>
          <w:p>
            <w:pPr>
              <w:jc w:val="center"/>
              <w:ind w:right="3399"/>
              <w:spacing w:after="0"/>
              <w:rPr>
                <w:sz w:val="20"/>
                <w:szCs w:val="20"/>
                <w:color w:val="auto"/>
              </w:rPr>
            </w:pPr>
            <w:r>
              <w:rPr>
                <w:rFonts w:ascii="Arial" w:cs="Arial" w:eastAsia="Arial" w:hAnsi="Arial"/>
                <w:sz w:val="16"/>
                <w:szCs w:val="16"/>
                <w:color w:val="auto"/>
                <w:w w:val="93"/>
              </w:rPr>
              <w:t>CUSIP</w:t>
            </w:r>
          </w:p>
        </w:tc>
      </w:tr>
      <w:tr>
        <w:trPr>
          <w:trHeight w:val="192"/>
        </w:trPr>
        <w:tc>
          <w:tcPr>
            <w:tcW w:w="1740" w:type="dxa"/>
            <w:vAlign w:val="bottom"/>
          </w:tcPr>
          <w:p>
            <w:pPr>
              <w:jc w:val="center"/>
              <w:spacing w:after="0"/>
              <w:rPr>
                <w:sz w:val="20"/>
                <w:szCs w:val="20"/>
                <w:color w:val="auto"/>
              </w:rPr>
            </w:pPr>
            <w:r>
              <w:rPr>
                <w:rFonts w:ascii="Arial" w:cs="Arial" w:eastAsia="Arial" w:hAnsi="Arial"/>
                <w:sz w:val="16"/>
                <w:szCs w:val="16"/>
                <w:color w:val="auto"/>
                <w:w w:val="95"/>
              </w:rPr>
              <w:t>Loans]</w:t>
            </w:r>
          </w:p>
        </w:tc>
        <w:tc>
          <w:tcPr>
            <w:tcW w:w="2000" w:type="dxa"/>
            <w:vAlign w:val="bottom"/>
          </w:tcPr>
          <w:p>
            <w:pPr>
              <w:jc w:val="center"/>
              <w:spacing w:after="0"/>
              <w:rPr>
                <w:sz w:val="20"/>
                <w:szCs w:val="20"/>
                <w:color w:val="auto"/>
              </w:rPr>
            </w:pPr>
            <w:r>
              <w:rPr>
                <w:rFonts w:ascii="Arial" w:cs="Arial" w:eastAsia="Arial" w:hAnsi="Arial"/>
                <w:sz w:val="16"/>
                <w:szCs w:val="16"/>
                <w:color w:val="auto"/>
                <w:w w:val="91"/>
              </w:rPr>
              <w:t>Loans]</w:t>
            </w:r>
          </w:p>
        </w:tc>
        <w:tc>
          <w:tcPr>
            <w:tcW w:w="1920" w:type="dxa"/>
            <w:vAlign w:val="bottom"/>
          </w:tcPr>
          <w:p>
            <w:pPr>
              <w:ind w:left="80"/>
              <w:spacing w:after="0"/>
              <w:rPr>
                <w:sz w:val="20"/>
                <w:szCs w:val="20"/>
                <w:color w:val="auto"/>
              </w:rPr>
            </w:pPr>
            <w:r>
              <w:rPr>
                <w:rFonts w:ascii="Arial" w:cs="Arial" w:eastAsia="Arial" w:hAnsi="Arial"/>
                <w:sz w:val="16"/>
                <w:szCs w:val="16"/>
                <w:color w:val="auto"/>
              </w:rPr>
              <w:t>Commitment/Term</w:t>
            </w:r>
          </w:p>
        </w:tc>
        <w:tc>
          <w:tcPr>
            <w:tcW w:w="4220" w:type="dxa"/>
            <w:vAlign w:val="bottom"/>
          </w:tcPr>
          <w:p>
            <w:pPr>
              <w:jc w:val="center"/>
              <w:ind w:right="3379"/>
              <w:spacing w:after="0"/>
              <w:rPr>
                <w:sz w:val="20"/>
                <w:szCs w:val="20"/>
                <w:color w:val="auto"/>
              </w:rPr>
            </w:pPr>
            <w:r>
              <w:rPr>
                <w:rFonts w:ascii="Arial" w:cs="Arial" w:eastAsia="Arial" w:hAnsi="Arial"/>
                <w:sz w:val="16"/>
                <w:szCs w:val="16"/>
                <w:color w:val="auto"/>
                <w:w w:val="91"/>
              </w:rPr>
              <w:t>Number</w:t>
            </w:r>
          </w:p>
        </w:tc>
      </w:tr>
      <w:tr>
        <w:trPr>
          <w:trHeight w:val="206"/>
        </w:trPr>
        <w:tc>
          <w:tcPr>
            <w:tcW w:w="1740" w:type="dxa"/>
            <w:vAlign w:val="bottom"/>
          </w:tcPr>
          <w:p>
            <w:pPr>
              <w:jc w:val="center"/>
              <w:spacing w:after="0"/>
              <w:rPr>
                <w:sz w:val="20"/>
                <w:szCs w:val="20"/>
                <w:color w:val="auto"/>
              </w:rPr>
            </w:pPr>
            <w:r>
              <w:rPr>
                <w:rFonts w:ascii="Arial" w:cs="Arial" w:eastAsia="Arial" w:hAnsi="Arial"/>
                <w:sz w:val="16"/>
                <w:szCs w:val="16"/>
                <w:color w:val="auto"/>
                <w:w w:val="94"/>
              </w:rPr>
              <w:t>for all Lenders</w:t>
            </w:r>
            <w:r>
              <w:rPr>
                <w:rFonts w:ascii="Arial" w:cs="Arial" w:eastAsia="Arial" w:hAnsi="Arial"/>
                <w:sz w:val="12"/>
                <w:szCs w:val="12"/>
                <w:color w:val="auto"/>
                <w:w w:val="94"/>
              </w:rPr>
              <w:t>7</w:t>
            </w:r>
          </w:p>
        </w:tc>
        <w:tc>
          <w:tcPr>
            <w:tcW w:w="2000" w:type="dxa"/>
            <w:vAlign w:val="bottom"/>
          </w:tcPr>
          <w:p>
            <w:pPr>
              <w:jc w:val="center"/>
              <w:spacing w:after="0"/>
              <w:rPr>
                <w:sz w:val="20"/>
                <w:szCs w:val="20"/>
                <w:color w:val="auto"/>
              </w:rPr>
            </w:pPr>
            <w:r>
              <w:rPr>
                <w:rFonts w:ascii="Arial" w:cs="Arial" w:eastAsia="Arial" w:hAnsi="Arial"/>
                <w:sz w:val="16"/>
                <w:szCs w:val="16"/>
                <w:color w:val="auto"/>
                <w:w w:val="93"/>
              </w:rPr>
              <w:t>Assigned</w:t>
            </w:r>
            <w:r>
              <w:rPr>
                <w:rFonts w:ascii="Arial" w:cs="Arial" w:eastAsia="Arial" w:hAnsi="Arial"/>
                <w:sz w:val="12"/>
                <w:szCs w:val="12"/>
                <w:color w:val="auto"/>
                <w:w w:val="93"/>
              </w:rPr>
              <w:t>8</w:t>
            </w:r>
          </w:p>
        </w:tc>
        <w:tc>
          <w:tcPr>
            <w:tcW w:w="1920" w:type="dxa"/>
            <w:vAlign w:val="bottom"/>
          </w:tcPr>
          <w:p>
            <w:pPr>
              <w:ind w:left="80"/>
              <w:spacing w:after="0"/>
              <w:rPr>
                <w:sz w:val="20"/>
                <w:szCs w:val="20"/>
                <w:color w:val="auto"/>
              </w:rPr>
            </w:pPr>
            <w:r>
              <w:rPr>
                <w:rFonts w:ascii="Arial" w:cs="Arial" w:eastAsia="Arial" w:hAnsi="Arial"/>
                <w:sz w:val="16"/>
                <w:szCs w:val="16"/>
                <w:color w:val="auto"/>
              </w:rPr>
              <w:t>Loans]</w:t>
            </w:r>
          </w:p>
        </w:tc>
        <w:tc>
          <w:tcPr>
            <w:tcW w:w="4220" w:type="dxa"/>
            <w:vAlign w:val="bottom"/>
          </w:tcPr>
          <w:p>
            <w:pPr>
              <w:spacing w:after="0"/>
              <w:rPr>
                <w:sz w:val="17"/>
                <w:szCs w:val="17"/>
                <w:color w:val="auto"/>
              </w:rPr>
            </w:pPr>
          </w:p>
        </w:tc>
      </w:tr>
      <w:tr>
        <w:trPr>
          <w:trHeight w:val="228"/>
        </w:trPr>
        <w:tc>
          <w:tcPr>
            <w:tcW w:w="1740" w:type="dxa"/>
            <w:vAlign w:val="bottom"/>
          </w:tcPr>
          <w:p>
            <w:pPr>
              <w:jc w:val="right"/>
              <w:ind w:right="1581"/>
              <w:spacing w:after="0"/>
              <w:rPr>
                <w:sz w:val="20"/>
                <w:szCs w:val="20"/>
                <w:color w:val="auto"/>
              </w:rPr>
            </w:pPr>
            <w:r>
              <w:rPr>
                <w:rFonts w:ascii="Arial" w:cs="Arial" w:eastAsia="Arial" w:hAnsi="Arial"/>
                <w:sz w:val="15"/>
                <w:szCs w:val="15"/>
                <w:color w:val="auto"/>
                <w:w w:val="71"/>
              </w:rPr>
              <w:t>$</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20" w:type="dxa"/>
            <w:vAlign w:val="bottom"/>
          </w:tcPr>
          <w:p>
            <w:pPr>
              <w:spacing w:after="0"/>
              <w:rPr>
                <w:sz w:val="19"/>
                <w:szCs w:val="19"/>
                <w:color w:val="auto"/>
              </w:rPr>
            </w:pPr>
          </w:p>
        </w:tc>
      </w:tr>
      <w:tr>
        <w:trPr>
          <w:trHeight w:val="212"/>
        </w:trPr>
        <w:tc>
          <w:tcPr>
            <w:tcW w:w="1740" w:type="dxa"/>
            <w:vAlign w:val="bottom"/>
          </w:tcPr>
          <w:p>
            <w:pPr>
              <w:jc w:val="right"/>
              <w:ind w:right="1581"/>
              <w:spacing w:after="0"/>
              <w:rPr>
                <w:sz w:val="20"/>
                <w:szCs w:val="20"/>
                <w:color w:val="auto"/>
              </w:rPr>
            </w:pPr>
            <w:r>
              <w:rPr>
                <w:rFonts w:ascii="Arial" w:cs="Arial" w:eastAsia="Arial" w:hAnsi="Arial"/>
                <w:sz w:val="15"/>
                <w:szCs w:val="15"/>
                <w:color w:val="auto"/>
                <w:w w:val="71"/>
              </w:rPr>
              <w:t>$</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20" w:type="dxa"/>
            <w:vAlign w:val="bottom"/>
          </w:tcPr>
          <w:p>
            <w:pPr>
              <w:spacing w:after="0"/>
              <w:rPr>
                <w:sz w:val="18"/>
                <w:szCs w:val="18"/>
                <w:color w:val="auto"/>
              </w:rPr>
            </w:pPr>
          </w:p>
        </w:tc>
      </w:tr>
      <w:tr>
        <w:trPr>
          <w:trHeight w:val="206"/>
        </w:trPr>
        <w:tc>
          <w:tcPr>
            <w:tcW w:w="1740" w:type="dxa"/>
            <w:vAlign w:val="bottom"/>
          </w:tcPr>
          <w:p>
            <w:pPr>
              <w:jc w:val="right"/>
              <w:ind w:right="1581"/>
              <w:spacing w:after="0"/>
              <w:rPr>
                <w:sz w:val="20"/>
                <w:szCs w:val="20"/>
                <w:color w:val="auto"/>
              </w:rPr>
            </w:pPr>
            <w:r>
              <w:rPr>
                <w:rFonts w:ascii="Arial" w:cs="Arial" w:eastAsia="Arial" w:hAnsi="Arial"/>
                <w:sz w:val="15"/>
                <w:szCs w:val="15"/>
                <w:color w:val="auto"/>
                <w:w w:val="71"/>
              </w:rPr>
              <w:t>$</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20" w:type="dxa"/>
            <w:vAlign w:val="bottom"/>
          </w:tcPr>
          <w:p>
            <w:pPr>
              <w:spacing w:after="0"/>
              <w:rPr>
                <w:sz w:val="17"/>
                <w:szCs w:val="17"/>
                <w:color w:val="auto"/>
              </w:rPr>
            </w:pPr>
          </w:p>
        </w:tc>
      </w:tr>
      <w:tr>
        <w:trPr>
          <w:trHeight w:val="263"/>
        </w:trPr>
        <w:tc>
          <w:tcPr>
            <w:tcW w:w="17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2"/>
                <w:szCs w:val="12"/>
                <w:color w:val="auto"/>
              </w:rPr>
              <w:t>6</w:t>
            </w:r>
          </w:p>
        </w:tc>
        <w:tc>
          <w:tcPr>
            <w:tcW w:w="1920" w:type="dxa"/>
            <w:vAlign w:val="bottom"/>
          </w:tcPr>
          <w:p>
            <w:pPr>
              <w:spacing w:after="0"/>
              <w:rPr>
                <w:sz w:val="22"/>
                <w:szCs w:val="22"/>
                <w:color w:val="auto"/>
              </w:rPr>
            </w:pPr>
          </w:p>
        </w:tc>
        <w:tc>
          <w:tcPr>
            <w:tcW w:w="42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00" w:type="dxa"/>
            <w:vAlign w:val="bottom"/>
            <w:gridSpan w:val="2"/>
          </w:tcPr>
          <w:p>
            <w:pPr>
              <w:spacing w:after="0"/>
              <w:rPr>
                <w:sz w:val="20"/>
                <w:szCs w:val="20"/>
                <w:color w:val="auto"/>
              </w:rPr>
            </w:pPr>
            <w:r>
              <w:rPr>
                <w:rFonts w:ascii="Arial" w:cs="Arial" w:eastAsia="Arial" w:hAnsi="Arial"/>
                <w:sz w:val="16"/>
                <w:szCs w:val="16"/>
                <w:color w:val="auto"/>
                <w:w w:val="97"/>
              </w:rPr>
              <w:t>[7.  Trade Date:</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580" w:type="dxa"/>
            <w:vAlign w:val="bottom"/>
          </w:tcPr>
          <w:p>
            <w:pPr>
              <w:jc w:val="right"/>
              <w:ind w:right="9379"/>
              <w:spacing w:after="0"/>
              <w:rPr>
                <w:sz w:val="20"/>
                <w:szCs w:val="20"/>
                <w:color w:val="auto"/>
              </w:rPr>
            </w:pPr>
            <w:r>
              <w:rPr>
                <w:rFonts w:ascii="Arial" w:cs="Arial" w:eastAsia="Arial" w:hAnsi="Arial"/>
                <w:sz w:val="16"/>
                <w:szCs w:val="16"/>
                <w:color w:val="auto"/>
                <w:w w:val="89"/>
              </w:rPr>
              <w:t>]</w:t>
            </w:r>
            <w:r>
              <w:rPr>
                <w:rFonts w:ascii="Arial" w:cs="Arial" w:eastAsia="Arial" w:hAnsi="Arial"/>
                <w:sz w:val="12"/>
                <w:szCs w:val="12"/>
                <w:color w:val="auto"/>
                <w:w w:val="89"/>
              </w:rPr>
              <w:t>9</w:t>
            </w:r>
          </w:p>
        </w:tc>
      </w:tr>
      <w:tr>
        <w:trPr>
          <w:trHeight w:val="324"/>
        </w:trPr>
        <w:tc>
          <w:tcPr>
            <w:tcW w:w="1220" w:type="dxa"/>
            <w:vAlign w:val="bottom"/>
            <w:gridSpan w:val="3"/>
          </w:tcPr>
          <w:p>
            <w:pPr>
              <w:spacing w:after="0"/>
              <w:rPr>
                <w:sz w:val="20"/>
                <w:szCs w:val="20"/>
                <w:color w:val="auto"/>
              </w:rPr>
            </w:pPr>
            <w:r>
              <w:rPr>
                <w:rFonts w:ascii="Arial" w:cs="Arial" w:eastAsia="Arial" w:hAnsi="Arial"/>
                <w:sz w:val="16"/>
                <w:szCs w:val="16"/>
                <w:color w:val="auto"/>
              </w:rPr>
              <w:t>Effective Date:</w:t>
            </w:r>
          </w:p>
        </w:tc>
        <w:tc>
          <w:tcPr>
            <w:tcW w:w="9660" w:type="dxa"/>
            <w:vAlign w:val="bottom"/>
            <w:gridSpan w:val="2"/>
          </w:tcPr>
          <w:p>
            <w:pPr>
              <w:jc w:val="right"/>
              <w:spacing w:after="0"/>
              <w:rPr>
                <w:sz w:val="20"/>
                <w:szCs w:val="20"/>
                <w:color w:val="auto"/>
              </w:rPr>
            </w:pPr>
            <w:r>
              <w:rPr>
                <w:rFonts w:ascii="Arial" w:cs="Arial" w:eastAsia="Arial" w:hAnsi="Arial"/>
                <w:sz w:val="16"/>
                <w:szCs w:val="16"/>
                <w:color w:val="auto"/>
                <w:w w:val="96"/>
              </w:rPr>
              <w:t>, 20_ [BE INSERTED BY AGENT AND WHICH SHALL BE THE EFFECTIVE DATE OF RECORDATION OF TRANSFER IN THE REGISTER</w:t>
            </w:r>
          </w:p>
        </w:tc>
      </w:tr>
      <w:tr>
        <w:trPr>
          <w:trHeight w:val="186"/>
        </w:trPr>
        <w:tc>
          <w:tcPr>
            <w:tcW w:w="980" w:type="dxa"/>
            <w:vAlign w:val="bottom"/>
          </w:tcPr>
          <w:p>
            <w:pPr>
              <w:spacing w:after="0"/>
              <w:rPr>
                <w:sz w:val="20"/>
                <w:szCs w:val="20"/>
                <w:color w:val="auto"/>
              </w:rPr>
            </w:pPr>
            <w:r>
              <w:rPr>
                <w:rFonts w:ascii="Arial" w:cs="Arial" w:eastAsia="Arial" w:hAnsi="Arial"/>
                <w:sz w:val="16"/>
                <w:szCs w:val="16"/>
                <w:color w:val="auto"/>
                <w:w w:val="99"/>
              </w:rPr>
              <w:t>THEREFOR.]</w:t>
            </w:r>
          </w:p>
        </w:tc>
        <w:tc>
          <w:tcPr>
            <w:tcW w:w="240" w:type="dxa"/>
            <w:vAlign w:val="bottom"/>
            <w:tcBorders>
              <w:top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9580" w:type="dxa"/>
            <w:vAlign w:val="bottom"/>
          </w:tcPr>
          <w:p>
            <w:pPr>
              <w:spacing w:after="0"/>
              <w:rPr>
                <w:sz w:val="16"/>
                <w:szCs w:val="16"/>
                <w:color w:val="auto"/>
              </w:rPr>
            </w:pP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terms set forth in this Assignment and Assumption are hereby agreed to:</w:t>
      </w:r>
    </w:p>
    <w:p>
      <w:pPr>
        <w:spacing w:after="0" w:line="17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ASSIGNOR[S]</w:t>
      </w:r>
      <w:r>
        <w:rPr>
          <w:rFonts w:ascii="Arial" w:cs="Arial" w:eastAsia="Arial" w:hAnsi="Arial"/>
          <w:sz w:val="12"/>
          <w:szCs w:val="12"/>
          <w:color w:val="auto"/>
        </w:rPr>
        <w:t>10</w:t>
      </w:r>
      <w:r>
        <w:rPr>
          <w:rFonts w:ascii="Arial" w:cs="Arial" w:eastAsia="Arial" w:hAnsi="Arial"/>
          <w:sz w:val="16"/>
          <w:szCs w:val="16"/>
          <w:color w:val="auto"/>
        </w:rPr>
        <w:t xml:space="preserve"> [NAME OF ASSIGNOR]</w:t>
      </w:r>
    </w:p>
    <w:p>
      <w:pPr>
        <w:spacing w:after="0" w:line="200" w:lineRule="exact"/>
        <w:rPr>
          <w:sz w:val="20"/>
          <w:szCs w:val="20"/>
          <w:color w:val="auto"/>
        </w:rPr>
      </w:pP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C – 3</w:t>
      </w:r>
      <w:r>
        <w:rPr>
          <w:sz w:val="20"/>
          <w:szCs w:val="20"/>
          <w:color w:val="auto"/>
        </w:rPr>
        <w:tab/>
      </w:r>
      <w:r>
        <w:rPr>
          <w:rFonts w:ascii="Arial" w:cs="Arial" w:eastAsia="Arial" w:hAnsi="Arial"/>
          <w:sz w:val="8"/>
          <w:szCs w:val="8"/>
          <w:color w:val="auto"/>
        </w:rPr>
        <w:t>[[6133168v.2]]</w:t>
      </w:r>
    </w:p>
    <w:p>
      <w:pPr>
        <w:sectPr>
          <w:pgSz w:w="11900" w:h="16838" w:orient="portrait"/>
          <w:cols w:equalWidth="0" w:num="1">
            <w:col w:w="10940"/>
          </w:cols>
          <w:pgMar w:left="320" w:top="959" w:right="639" w:bottom="1440" w:gutter="0" w:footer="0" w:header="0"/>
        </w:sectPr>
      </w:pPr>
    </w:p>
    <w:bookmarkStart w:id="208" w:name="page209"/>
    <w:bookmarkEnd w:id="208"/>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-9525</wp:posOffset>
            </wp:positionV>
            <wp:extent cx="20510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392" w:lineRule="exact"/>
        <w:rPr>
          <w:sz w:val="20"/>
          <w:szCs w:val="20"/>
          <w:color w:val="auto"/>
        </w:rPr>
      </w:pPr>
    </w:p>
    <w:p>
      <w:pPr>
        <w:ind w:left="540" w:hanging="478"/>
        <w:spacing w:after="0"/>
        <w:tabs>
          <w:tab w:leader="none" w:pos="54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List each Assignor, as appropriate.</w:t>
      </w:r>
    </w:p>
    <w:p>
      <w:pPr>
        <w:spacing w:after="0" w:line="13" w:lineRule="exact"/>
        <w:rPr>
          <w:sz w:val="20"/>
          <w:szCs w:val="20"/>
          <w:color w:val="auto"/>
        </w:rPr>
      </w:pPr>
    </w:p>
    <w:p>
      <w:pPr>
        <w:ind w:left="540" w:hanging="478"/>
        <w:spacing w:after="0"/>
        <w:tabs>
          <w:tab w:leader="none" w:pos="5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List each Assignee, as appropriate.</w:t>
      </w:r>
    </w:p>
    <w:p>
      <w:pPr>
        <w:spacing w:after="0" w:line="24" w:lineRule="exact"/>
        <w:rPr>
          <w:sz w:val="20"/>
          <w:szCs w:val="20"/>
          <w:color w:val="auto"/>
        </w:rPr>
      </w:pPr>
    </w:p>
    <w:p>
      <w:pPr>
        <w:ind w:left="540" w:hanging="478"/>
        <w:spacing w:after="0"/>
        <w:tabs>
          <w:tab w:leader="none" w:pos="540" w:val="left"/>
        </w:tabs>
        <w:numPr>
          <w:ilvl w:val="0"/>
          <w:numId w:val="255"/>
        </w:numPr>
        <w:rPr>
          <w:rFonts w:ascii="Arial" w:cs="Arial" w:eastAsia="Arial" w:hAnsi="Arial"/>
          <w:sz w:val="10"/>
          <w:szCs w:val="10"/>
          <w:color w:val="auto"/>
        </w:rPr>
      </w:pPr>
      <w:r>
        <w:rPr>
          <w:rFonts w:ascii="Arial" w:cs="Arial" w:eastAsia="Arial" w:hAnsi="Arial"/>
          <w:sz w:val="10"/>
          <w:szCs w:val="10"/>
          <w:color w:val="auto"/>
        </w:rPr>
        <w:t>Amount to be adjusted by the counterparties to take into account any payments or prepayments made between the Trade Date and the Effective Date.</w:t>
      </w:r>
    </w:p>
    <w:p>
      <w:pPr>
        <w:spacing w:after="0" w:line="67" w:lineRule="exact"/>
        <w:rPr>
          <w:sz w:val="20"/>
          <w:szCs w:val="20"/>
          <w:color w:val="auto"/>
        </w:rPr>
      </w:pPr>
    </w:p>
    <w:p>
      <w:pPr>
        <w:ind w:left="540" w:hanging="478"/>
        <w:spacing w:after="0"/>
        <w:tabs>
          <w:tab w:leader="none" w:pos="5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Set forth, to at least 9 decimals, as a percentage of the Commitment/Advances of all Lenders thereunder. And please specify currency.</w:t>
      </w:r>
    </w:p>
    <w:p>
      <w:pPr>
        <w:spacing w:after="0" w:line="44" w:lineRule="exact"/>
        <w:rPr>
          <w:sz w:val="20"/>
          <w:szCs w:val="20"/>
          <w:color w:val="auto"/>
        </w:rPr>
      </w:pPr>
    </w:p>
    <w:p>
      <w:pPr>
        <w:ind w:left="540" w:hanging="478"/>
        <w:spacing w:after="0"/>
        <w:tabs>
          <w:tab w:leader="none" w:pos="540" w:val="left"/>
        </w:tabs>
        <w:numPr>
          <w:ilvl w:val="0"/>
          <w:numId w:val="257"/>
        </w:numPr>
        <w:rPr>
          <w:rFonts w:ascii="Arial" w:cs="Arial" w:eastAsia="Arial" w:hAnsi="Arial"/>
          <w:sz w:val="11"/>
          <w:szCs w:val="11"/>
          <w:color w:val="auto"/>
        </w:rPr>
      </w:pPr>
      <w:r>
        <w:rPr>
          <w:rFonts w:ascii="Arial" w:cs="Arial" w:eastAsia="Arial" w:hAnsi="Arial"/>
          <w:sz w:val="11"/>
          <w:szCs w:val="11"/>
          <w:color w:val="auto"/>
        </w:rPr>
        <w:t>To be completed if the Assignor(s) and the Assignee(s) intend that the minimum assignment amount is to be determined as of the Trade Date.</w:t>
      </w:r>
    </w:p>
    <w:p>
      <w:pPr>
        <w:spacing w:after="0" w:line="35" w:lineRule="exact"/>
        <w:rPr>
          <w:rFonts w:ascii="Arial" w:cs="Arial" w:eastAsia="Arial" w:hAnsi="Arial"/>
          <w:sz w:val="11"/>
          <w:szCs w:val="11"/>
          <w:color w:val="auto"/>
        </w:rPr>
      </w:pPr>
    </w:p>
    <w:p>
      <w:pPr>
        <w:ind w:left="60"/>
        <w:spacing w:after="0"/>
        <w:rPr>
          <w:rFonts w:ascii="Arial" w:cs="Arial" w:eastAsia="Arial" w:hAnsi="Arial"/>
          <w:sz w:val="11"/>
          <w:szCs w:val="11"/>
          <w:color w:val="auto"/>
        </w:rPr>
      </w:pPr>
      <w:r>
        <w:rPr>
          <w:rFonts w:ascii="Arial" w:cs="Arial" w:eastAsia="Arial" w:hAnsi="Arial"/>
          <w:sz w:val="12"/>
          <w:szCs w:val="12"/>
          <w:color w:val="auto"/>
        </w:rPr>
        <w:t>10</w:t>
      </w:r>
      <w:r>
        <w:rPr>
          <w:rFonts w:ascii="Arial" w:cs="Arial" w:eastAsia="Arial" w:hAnsi="Arial"/>
          <w:sz w:val="10"/>
          <w:szCs w:val="10"/>
          <w:color w:val="auto"/>
        </w:rPr>
        <w:t>Add additional signature blocks as needed.</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C – 4</w:t>
      </w:r>
      <w:r>
        <w:rPr>
          <w:sz w:val="20"/>
          <w:szCs w:val="20"/>
          <w:color w:val="auto"/>
        </w:rPr>
        <w:tab/>
      </w:r>
      <w:r>
        <w:rPr>
          <w:rFonts w:ascii="Arial" w:cs="Arial" w:eastAsia="Arial" w:hAnsi="Arial"/>
          <w:sz w:val="8"/>
          <w:szCs w:val="8"/>
          <w:color w:val="auto"/>
        </w:rPr>
        <w:t>[[6133168v.2]]</w:t>
      </w:r>
    </w:p>
    <w:p>
      <w:pPr>
        <w:sectPr>
          <w:pgSz w:w="11900" w:h="16838" w:orient="portrait"/>
          <w:cols w:equalWidth="0" w:num="1">
            <w:col w:w="10139"/>
          </w:cols>
          <w:pgMar w:left="320" w:top="770" w:right="1440" w:bottom="1440" w:gutter="0" w:footer="0" w:header="0"/>
        </w:sectPr>
      </w:pPr>
    </w:p>
    <w:bookmarkStart w:id="209" w:name="page210"/>
    <w:bookmarkEnd w:id="209"/>
    <w:p>
      <w:pPr>
        <w:ind w:left="2980"/>
        <w:spacing w:after="0"/>
        <w:rPr>
          <w:sz w:val="20"/>
          <w:szCs w:val="20"/>
          <w:color w:val="auto"/>
        </w:rPr>
      </w:pPr>
      <w:r>
        <w:rPr>
          <w:rFonts w:ascii="Arial" w:cs="Arial" w:eastAsia="Arial" w:hAnsi="Arial"/>
          <w:sz w:val="16"/>
          <w:szCs w:val="16"/>
          <w:color w:val="auto"/>
        </w:rPr>
        <w:t>[NAME OF ASSIGNOR]</w:t>
      </w:r>
    </w:p>
    <w:p>
      <w:pPr>
        <w:spacing w:after="0" w:line="160"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-9525</wp:posOffset>
            </wp:positionV>
            <wp:extent cx="20510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ASSIGNEE[S]</w:t>
      </w:r>
      <w:r>
        <w:rPr>
          <w:rFonts w:ascii="Arial" w:cs="Arial" w:eastAsia="Arial" w:hAnsi="Arial"/>
          <w:sz w:val="12"/>
          <w:szCs w:val="12"/>
          <w:color w:val="auto"/>
        </w:rPr>
        <w:t>11</w:t>
      </w:r>
      <w:r>
        <w:rPr>
          <w:rFonts w:ascii="Arial" w:cs="Arial" w:eastAsia="Arial" w:hAnsi="Arial"/>
          <w:sz w:val="16"/>
          <w:szCs w:val="16"/>
          <w:color w:val="auto"/>
        </w:rPr>
        <w:t xml:space="preserve"> [NAME OF ASSIGNEE]</w:t>
      </w:r>
    </w:p>
    <w:p>
      <w:pPr>
        <w:spacing w:after="0" w:line="160"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-9525</wp:posOffset>
            </wp:positionV>
            <wp:extent cx="20510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OF ASSIGNEE]</w:t>
      </w:r>
    </w:p>
    <w:p>
      <w:pPr>
        <w:spacing w:after="0" w:line="160" w:lineRule="exact"/>
        <w:rPr>
          <w:sz w:val="20"/>
          <w:szCs w:val="20"/>
          <w:color w:val="auto"/>
        </w:rPr>
      </w:pPr>
    </w:p>
    <w:p>
      <w:pPr>
        <w:jc w:val="both"/>
        <w:ind w:left="6080"/>
        <w:spacing w:after="0"/>
        <w:tabs>
          <w:tab w:leader="none" w:pos="6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-9525</wp:posOffset>
            </wp:positionV>
            <wp:extent cx="20510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[Consented to and]</w:t>
      </w:r>
      <w:r>
        <w:rPr>
          <w:rFonts w:ascii="Arial" w:cs="Arial" w:eastAsia="Arial" w:hAnsi="Arial"/>
          <w:sz w:val="12"/>
          <w:szCs w:val="12"/>
          <w:color w:val="auto"/>
        </w:rPr>
        <w:t>12</w:t>
      </w:r>
      <w:r>
        <w:rPr>
          <w:rFonts w:ascii="Arial" w:cs="Arial" w:eastAsia="Arial" w:hAnsi="Arial"/>
          <w:sz w:val="16"/>
          <w:szCs w:val="16"/>
          <w:color w:val="auto"/>
        </w:rPr>
        <w:t xml:space="preserve"> Accepted:</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WELLS FARGO BANK, NATIONAL ASSOCIATION, as</w:t>
      </w:r>
    </w:p>
    <w:p>
      <w:pPr>
        <w:ind w:left="60"/>
        <w:spacing w:after="0"/>
        <w:rPr>
          <w:sz w:val="20"/>
          <w:szCs w:val="20"/>
          <w:color w:val="auto"/>
        </w:rPr>
      </w:pPr>
      <w:r>
        <w:rPr>
          <w:rFonts w:ascii="Arial" w:cs="Arial" w:eastAsia="Arial" w:hAnsi="Arial"/>
          <w:sz w:val="16"/>
          <w:szCs w:val="16"/>
          <w:color w:val="auto"/>
        </w:rPr>
        <w:t>Administrative Agent</w:t>
      </w:r>
    </w:p>
    <w:p>
      <w:pPr>
        <w:spacing w:after="0" w:line="327"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-9525</wp:posOffset>
            </wp:positionV>
            <wp:extent cx="20510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3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[Consented to:]</w:t>
      </w:r>
      <w:r>
        <w:rPr>
          <w:rFonts w:ascii="Arial" w:cs="Arial" w:eastAsia="Arial" w:hAnsi="Arial"/>
          <w:sz w:val="12"/>
          <w:szCs w:val="12"/>
          <w:color w:val="auto"/>
        </w:rPr>
        <w:t>13</w:t>
      </w:r>
    </w:p>
    <w:p>
      <w:pPr>
        <w:spacing w:after="0" w:line="200" w:lineRule="exact"/>
        <w:rPr>
          <w:sz w:val="20"/>
          <w:szCs w:val="20"/>
          <w:color w:val="auto"/>
        </w:rPr>
      </w:pPr>
    </w:p>
    <w:p>
      <w:pPr>
        <w:spacing w:after="0" w:line="222" w:lineRule="exact"/>
        <w:rPr>
          <w:sz w:val="20"/>
          <w:szCs w:val="20"/>
          <w:color w:val="auto"/>
        </w:rPr>
      </w:pPr>
    </w:p>
    <w:p>
      <w:pPr>
        <w:ind w:left="540" w:hanging="478"/>
        <w:spacing w:after="0"/>
        <w:tabs>
          <w:tab w:leader="none" w:pos="54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Add additional signature blocks as needed.</w:t>
      </w:r>
    </w:p>
    <w:p>
      <w:pPr>
        <w:spacing w:after="0" w:line="33" w:lineRule="exact"/>
        <w:rPr>
          <w:rFonts w:ascii="Arial" w:cs="Arial" w:eastAsia="Arial" w:hAnsi="Arial"/>
          <w:sz w:val="12"/>
          <w:szCs w:val="12"/>
          <w:color w:val="auto"/>
        </w:rPr>
      </w:pPr>
    </w:p>
    <w:p>
      <w:pPr>
        <w:ind w:left="540" w:hanging="478"/>
        <w:spacing w:after="0"/>
        <w:tabs>
          <w:tab w:leader="none" w:pos="54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To be added only if the consent of the Administrative Agent is required by the terms of the Credit Agreement.</w:t>
      </w:r>
    </w:p>
    <w:p>
      <w:pPr>
        <w:spacing w:after="0" w:line="23" w:lineRule="exact"/>
        <w:rPr>
          <w:rFonts w:ascii="Arial" w:cs="Arial" w:eastAsia="Arial" w:hAnsi="Arial"/>
          <w:sz w:val="12"/>
          <w:szCs w:val="12"/>
          <w:color w:val="auto"/>
        </w:rPr>
      </w:pPr>
    </w:p>
    <w:p>
      <w:pPr>
        <w:ind w:left="540" w:hanging="478"/>
        <w:spacing w:after="0"/>
        <w:tabs>
          <w:tab w:leader="none" w:pos="54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To be added only if the consent of the Company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C – 5</w:t>
      </w:r>
      <w:r>
        <w:rPr>
          <w:sz w:val="20"/>
          <w:szCs w:val="20"/>
          <w:color w:val="auto"/>
        </w:rPr>
        <w:tab/>
      </w:r>
      <w:r>
        <w:rPr>
          <w:rFonts w:ascii="Arial" w:cs="Arial" w:eastAsia="Arial" w:hAnsi="Arial"/>
          <w:sz w:val="8"/>
          <w:szCs w:val="8"/>
          <w:color w:val="auto"/>
        </w:rPr>
        <w:t>[[6133168v.2]]</w:t>
      </w:r>
    </w:p>
    <w:p>
      <w:pPr>
        <w:sectPr>
          <w:pgSz w:w="11900" w:h="16838" w:orient="portrait"/>
          <w:cols w:equalWidth="0" w:num="1">
            <w:col w:w="10139"/>
          </w:cols>
          <w:pgMar w:left="320" w:top="1305" w:right="1440" w:bottom="1440" w:gutter="0" w:footer="0" w:header="0"/>
        </w:sectPr>
      </w:pPr>
    </w:p>
    <w:bookmarkStart w:id="210" w:name="page211"/>
    <w:bookmarkEnd w:id="210"/>
    <w:p>
      <w:pPr>
        <w:ind w:left="60"/>
        <w:spacing w:after="0"/>
        <w:rPr>
          <w:sz w:val="20"/>
          <w:szCs w:val="20"/>
          <w:color w:val="auto"/>
        </w:rPr>
      </w:pPr>
      <w:r>
        <w:rPr>
          <w:rFonts w:ascii="Arial" w:cs="Arial" w:eastAsia="Arial" w:hAnsi="Arial"/>
          <w:sz w:val="15"/>
          <w:szCs w:val="15"/>
          <w:color w:val="auto"/>
        </w:rPr>
        <w:t>[NAME OF RELEVANT PARTY]</w:t>
      </w:r>
    </w:p>
    <w:p>
      <w:pPr>
        <w:spacing w:after="0" w:line="3"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-18415</wp:posOffset>
            </wp:positionV>
            <wp:extent cx="20510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C – 6</w:t>
      </w:r>
      <w:r>
        <w:rPr>
          <w:sz w:val="20"/>
          <w:szCs w:val="20"/>
          <w:color w:val="auto"/>
        </w:rPr>
        <w:tab/>
      </w:r>
      <w:r>
        <w:rPr>
          <w:rFonts w:ascii="Arial" w:cs="Arial" w:eastAsia="Arial" w:hAnsi="Arial"/>
          <w:sz w:val="8"/>
          <w:szCs w:val="8"/>
          <w:color w:val="auto"/>
        </w:rPr>
        <w:t>[[6133168v.2]]</w:t>
      </w:r>
    </w:p>
    <w:p>
      <w:pPr>
        <w:sectPr>
          <w:pgSz w:w="11900" w:h="16838" w:orient="portrait"/>
          <w:cols w:equalWidth="0" w:num="1">
            <w:col w:w="10139"/>
          </w:cols>
          <w:pgMar w:left="320" w:top="1123" w:right="1440" w:bottom="1440" w:gutter="0" w:footer="0" w:header="0"/>
        </w:sectPr>
      </w:pPr>
    </w:p>
    <w:bookmarkStart w:id="211" w:name="page212"/>
    <w:bookmarkEnd w:id="211"/>
    <w:p>
      <w:pPr>
        <w:ind w:left="10500"/>
        <w:spacing w:after="0"/>
        <w:rPr>
          <w:sz w:val="20"/>
          <w:szCs w:val="20"/>
          <w:color w:val="auto"/>
        </w:rPr>
      </w:pPr>
      <w:r>
        <w:rPr>
          <w:rFonts w:ascii="Arial" w:cs="Arial" w:eastAsia="Arial" w:hAnsi="Arial"/>
          <w:sz w:val="16"/>
          <w:szCs w:val="16"/>
          <w:color w:val="auto"/>
        </w:rPr>
        <w:t>ANNEX 1</w:t>
      </w:r>
    </w:p>
    <w:p>
      <w:pPr>
        <w:spacing w:after="0" w:line="2" w:lineRule="exact"/>
        <w:rPr>
          <w:sz w:val="20"/>
          <w:szCs w:val="20"/>
          <w:color w:val="auto"/>
        </w:rPr>
      </w:pPr>
    </w:p>
    <w:p>
      <w:pPr>
        <w:ind w:left="5660" w:hanging="252"/>
        <w:spacing w:after="0"/>
        <w:tabs>
          <w:tab w:leader="none" w:pos="56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-18415</wp:posOffset>
            </wp:positionV>
            <wp:extent cx="12827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128270" cy="6350"/>
                    </a:xfrm>
                    <a:prstGeom prst="rect">
                      <a:avLst/>
                    </a:prstGeom>
                    <a:noFill/>
                  </pic:spPr>
                </pic:pic>
              </a:graphicData>
            </a:graphic>
          </wp:anchor>
        </w:drawing>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STANDARD TERMS AND CONDITIONS FOR ASSIGNMENT AND</w:t>
      </w:r>
    </w:p>
    <w:p>
      <w:pPr>
        <w:jc w:val="center"/>
        <w:ind w:right="-59"/>
        <w:spacing w:after="0"/>
        <w:rPr>
          <w:sz w:val="20"/>
          <w:szCs w:val="20"/>
          <w:color w:val="auto"/>
        </w:rPr>
      </w:pPr>
      <w:r>
        <w:rPr>
          <w:rFonts w:ascii="Arial" w:cs="Arial" w:eastAsia="Arial" w:hAnsi="Arial"/>
          <w:sz w:val="16"/>
          <w:szCs w:val="16"/>
          <w:color w:val="auto"/>
        </w:rPr>
        <w:t>ASSUMPTION</w:t>
      </w:r>
    </w:p>
    <w:p>
      <w:pPr>
        <w:spacing w:after="0" w:line="206" w:lineRule="exact"/>
        <w:rPr>
          <w:sz w:val="20"/>
          <w:szCs w:val="20"/>
          <w:color w:val="auto"/>
        </w:rPr>
      </w:pPr>
    </w:p>
    <w:p>
      <w:pPr>
        <w:ind w:left="1040" w:hanging="493"/>
        <w:spacing w:after="0"/>
        <w:tabs>
          <w:tab w:leader="none" w:pos="1040"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170" w:lineRule="exact"/>
        <w:rPr>
          <w:sz w:val="20"/>
          <w:szCs w:val="20"/>
          <w:color w:val="auto"/>
        </w:rPr>
      </w:pPr>
    </w:p>
    <w:p>
      <w:pPr>
        <w:jc w:val="both"/>
        <w:ind w:left="60" w:firstLine="485"/>
        <w:spacing w:after="0" w:line="233"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Assignor[s]</w:t>
      </w:r>
      <w:r>
        <w:rPr>
          <w:rFonts w:ascii="Arial" w:cs="Arial" w:eastAsia="Arial" w:hAnsi="Arial"/>
          <w:sz w:val="15"/>
          <w:szCs w:val="15"/>
          <w:color w:val="auto"/>
        </w:rPr>
        <w:t>. [The][Each] Assignor (a) represents and warrants that (i) it is the legal and beneficial owner of [the][the relevant] Assigned Interest, (ii) [the] [such]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51" w:lineRule="exact"/>
        <w:rPr>
          <w:sz w:val="20"/>
          <w:szCs w:val="20"/>
          <w:color w:val="auto"/>
        </w:rPr>
      </w:pPr>
    </w:p>
    <w:p>
      <w:pPr>
        <w:jc w:val="both"/>
        <w:ind w:left="60" w:right="20" w:firstLine="485"/>
        <w:spacing w:after="0" w:line="230"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Assignee[s]</w:t>
      </w:r>
      <w:r>
        <w:rPr>
          <w:rFonts w:ascii="Arial" w:cs="Arial" w:eastAsia="Arial" w:hAnsi="Arial"/>
          <w:sz w:val="15"/>
          <w:szCs w:val="15"/>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under Section 9.07 of the Credit Agreement (subject to such consents, if any, as may be required under Section 9.07(b)(iii)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5.01(i) thereof, financial statements referred to in Section 4.01(e) thereof and such other documents and information as it deems appropriate to make its own credit analysis and decision to enter into this Assignment and Assumption and to purchase [the] [such]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w:t>
      </w:r>
    </w:p>
    <w:p>
      <w:pPr>
        <w:spacing w:after="0" w:line="19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2"/>
          <w:szCs w:val="12"/>
          <w:color w:val="auto"/>
        </w:rPr>
        <w:t>Describe Credit Agreement at option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color w:val="auto"/>
        </w:rPr>
        <w:t>C – 7</w:t>
      </w:r>
      <w:r>
        <w:rPr>
          <w:sz w:val="20"/>
          <w:szCs w:val="20"/>
          <w:color w:val="auto"/>
        </w:rPr>
        <w:tab/>
      </w:r>
      <w:r>
        <w:rPr>
          <w:rFonts w:ascii="Arial" w:cs="Arial" w:eastAsia="Arial" w:hAnsi="Arial"/>
          <w:sz w:val="8"/>
          <w:szCs w:val="8"/>
          <w:color w:val="auto"/>
        </w:rPr>
        <w:t>[[6133168v.2]]</w:t>
      </w:r>
    </w:p>
    <w:p>
      <w:pPr>
        <w:sectPr>
          <w:pgSz w:w="11900" w:h="16838" w:orient="portrait"/>
          <w:cols w:equalWidth="0" w:num="1">
            <w:col w:w="11200"/>
          </w:cols>
          <w:pgMar w:left="320" w:top="1315" w:right="379" w:bottom="1440" w:gutter="0" w:footer="0" w:header="0"/>
        </w:sectPr>
      </w:pPr>
    </w:p>
    <w:bookmarkStart w:id="212" w:name="page213"/>
    <w:bookmarkEnd w:id="212"/>
    <w:p>
      <w:pPr>
        <w:jc w:val="both"/>
        <w:ind w:left="60"/>
        <w:spacing w:after="0"/>
        <w:rPr>
          <w:sz w:val="20"/>
          <w:szCs w:val="20"/>
          <w:color w:val="auto"/>
        </w:rPr>
      </w:pPr>
      <w:r>
        <w:rPr>
          <w:rFonts w:ascii="Arial" w:cs="Arial" w:eastAsia="Arial" w:hAnsi="Arial"/>
          <w:sz w:val="15"/>
          <w:szCs w:val="15"/>
          <w:color w:val="auto"/>
        </w:rPr>
        <w:t>is any documentation required to be delivered by it pursuant to the terms of the Credit Agreement, duly completed and executed by [the] [such]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49" w:lineRule="exact"/>
        <w:rPr>
          <w:sz w:val="20"/>
          <w:szCs w:val="20"/>
          <w:color w:val="auto"/>
        </w:rPr>
      </w:pPr>
    </w:p>
    <w:p>
      <w:pPr>
        <w:jc w:val="both"/>
        <w:ind w:left="60" w:firstLine="487"/>
        <w:spacing w:after="0" w:line="225" w:lineRule="auto"/>
        <w:tabs>
          <w:tab w:leader="none" w:pos="949"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 payments in respect of [the][each] Assigned Interest (including payments of principal, interest, fees and other amounts) to [the] [the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w:t>
      </w:r>
    </w:p>
    <w:p>
      <w:pPr>
        <w:spacing w:after="0" w:line="138" w:lineRule="exact"/>
        <w:rPr>
          <w:rFonts w:ascii="Arial" w:cs="Arial" w:eastAsia="Arial" w:hAnsi="Arial"/>
          <w:sz w:val="16"/>
          <w:szCs w:val="16"/>
          <w:color w:val="auto"/>
        </w:rPr>
      </w:pPr>
    </w:p>
    <w:p>
      <w:pPr>
        <w:jc w:val="both"/>
        <w:ind w:left="60" w:firstLine="487"/>
        <w:spacing w:after="0"/>
        <w:tabs>
          <w:tab w:leader="none" w:pos="949" w:val="left"/>
        </w:tabs>
        <w:numPr>
          <w:ilvl w:val="0"/>
          <w:numId w:val="261"/>
        </w:numPr>
        <w:rPr>
          <w:rFonts w:ascii="Arial" w:cs="Arial" w:eastAsia="Arial" w:hAnsi="Arial"/>
          <w:sz w:val="15"/>
          <w:szCs w:val="15"/>
          <w:color w:val="auto"/>
        </w:rPr>
      </w:pPr>
      <w:r>
        <w:rPr>
          <w:rFonts w:ascii="Arial" w:cs="Arial" w:eastAsia="Arial" w:hAnsi="Arial"/>
          <w:sz w:val="15"/>
          <w:szCs w:val="15"/>
          <w:u w:val="single" w:color="auto"/>
          <w:color w:val="auto"/>
        </w:rPr>
        <w:t>General Provisions</w:t>
      </w:r>
      <w:r>
        <w:rPr>
          <w:rFonts w:ascii="Arial" w:cs="Arial" w:eastAsia="Arial" w:hAnsi="Arial"/>
          <w:sz w:val="15"/>
          <w:szCs w:val="15"/>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C – 7</w:t>
      </w:r>
    </w:p>
    <w:p>
      <w:pPr>
        <w:spacing w:after="0" w:line="386" w:lineRule="exact"/>
        <w:rPr>
          <w:sz w:val="20"/>
          <w:szCs w:val="20"/>
          <w:color w:val="auto"/>
        </w:rPr>
      </w:pPr>
    </w:p>
    <w:p>
      <w:pPr>
        <w:spacing w:after="0"/>
        <w:rPr>
          <w:sz w:val="20"/>
          <w:szCs w:val="20"/>
          <w:color w:val="auto"/>
        </w:rPr>
      </w:pPr>
      <w:r>
        <w:rPr>
          <w:rFonts w:ascii="Arial" w:cs="Arial" w:eastAsia="Arial" w:hAnsi="Arial"/>
          <w:sz w:val="9"/>
          <w:szCs w:val="9"/>
          <w:color w:val="auto"/>
        </w:rPr>
        <w:t>[[6133168v.2]]</w:t>
      </w:r>
    </w:p>
    <w:p>
      <w:pPr>
        <w:sectPr>
          <w:pgSz w:w="11900" w:h="16838" w:orient="portrait"/>
          <w:cols w:equalWidth="0" w:num="1">
            <w:col w:w="11180"/>
          </w:cols>
          <w:pgMar w:left="320" w:top="1123" w:right="399" w:bottom="1440" w:gutter="0" w:footer="0" w:header="0"/>
        </w:sectPr>
      </w:pPr>
    </w:p>
    <w:bookmarkStart w:id="213" w:name="page214"/>
    <w:bookmarkEnd w:id="213"/>
    <w:p>
      <w:pPr>
        <w:ind w:left="7420"/>
        <w:spacing w:after="0"/>
        <w:rPr>
          <w:sz w:val="20"/>
          <w:szCs w:val="20"/>
          <w:color w:val="auto"/>
        </w:rPr>
      </w:pPr>
      <w:r>
        <w:rPr>
          <w:rFonts w:ascii="Arial" w:cs="Arial" w:eastAsia="Arial" w:hAnsi="Arial"/>
          <w:sz w:val="15"/>
          <w:szCs w:val="15"/>
          <w:color w:val="auto"/>
        </w:rPr>
        <w:t>EXHIBIT D – FORM OF ASSUMPTION AGREEMENT</w:t>
      </w:r>
    </w:p>
    <w:p>
      <w:pPr>
        <w:spacing w:after="0" w:line="22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-4445</wp:posOffset>
            </wp:positionV>
            <wp:extent cx="10287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02870" cy="6350"/>
                    </a:xfrm>
                    <a:prstGeom prst="rect">
                      <a:avLst/>
                    </a:prstGeom>
                    <a:noFill/>
                  </pic:spPr>
                </pic:pic>
              </a:graphicData>
            </a:graphic>
          </wp:anchor>
        </w:drawing>
      </w:r>
    </w:p>
    <w:p>
      <w:pPr>
        <w:ind w:left="60"/>
        <w:spacing w:after="0" w:line="210" w:lineRule="auto"/>
        <w:rPr>
          <w:sz w:val="20"/>
          <w:szCs w:val="20"/>
          <w:color w:val="auto"/>
        </w:rPr>
      </w:pPr>
      <w:r>
        <w:rPr>
          <w:rFonts w:ascii="Arial" w:cs="Arial" w:eastAsia="Arial" w:hAnsi="Arial"/>
          <w:sz w:val="16"/>
          <w:szCs w:val="16"/>
          <w:color w:val="auto"/>
        </w:rPr>
        <w:t>Graham Holdings Company</w:t>
      </w:r>
    </w:p>
    <w:p>
      <w:pPr>
        <w:ind w:left="60"/>
        <w:spacing w:after="0" w:line="211" w:lineRule="auto"/>
        <w:rPr>
          <w:sz w:val="20"/>
          <w:szCs w:val="20"/>
          <w:color w:val="auto"/>
        </w:rPr>
      </w:pPr>
      <w:r>
        <w:rPr>
          <w:rFonts w:ascii="Arial" w:cs="Arial" w:eastAsia="Arial" w:hAnsi="Arial"/>
          <w:sz w:val="16"/>
          <w:szCs w:val="16"/>
          <w:color w:val="auto"/>
        </w:rPr>
        <w:t>1300 North 17th Street, Suite 1700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Arlington, VA 22209</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Wells Fargo Bank, National Association, as Administrative Agent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-9525</wp:posOffset>
            </wp:positionV>
            <wp:extent cx="10287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102870" cy="6350"/>
                    </a:xfrm>
                    <a:prstGeom prst="rect">
                      <a:avLst/>
                    </a:prstGeom>
                    <a:noFill/>
                  </pic:spPr>
                </pic:pic>
              </a:graphicData>
            </a:graphic>
          </wp:anchor>
        </w:drawing>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Ladies and Gentlemen:</w:t>
      </w:r>
    </w:p>
    <w:p>
      <w:pPr>
        <w:spacing w:after="0" w:line="170" w:lineRule="exact"/>
        <w:rPr>
          <w:sz w:val="20"/>
          <w:szCs w:val="20"/>
          <w:color w:val="auto"/>
        </w:rPr>
      </w:pPr>
    </w:p>
    <w:p>
      <w:pPr>
        <w:jc w:val="both"/>
        <w:ind w:left="60" w:right="20" w:firstLine="485"/>
        <w:spacing w:after="0" w:line="230" w:lineRule="auto"/>
        <w:rPr>
          <w:sz w:val="20"/>
          <w:szCs w:val="20"/>
          <w:color w:val="auto"/>
        </w:rPr>
      </w:pPr>
      <w:r>
        <w:rPr>
          <w:rFonts w:ascii="Arial" w:cs="Arial" w:eastAsia="Arial" w:hAnsi="Arial"/>
          <w:sz w:val="16"/>
          <w:szCs w:val="16"/>
          <w:color w:val="auto"/>
        </w:rPr>
        <w:t>Reference is made to the Second Amended and Restated Five Year Credit Agreement dated as of May 3, 2022 among Graham Holdings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Foreign Borrowers from time to time party thereto, the Guarantors, certain Lenders party thereto, and Wells Fargo Bank, National Association, as Administrative Agent for such Lenders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terms defined therein being used herein as therein defined).</w:t>
      </w:r>
    </w:p>
    <w:p>
      <w:pPr>
        <w:spacing w:after="0" w:line="138" w:lineRule="exact"/>
        <w:rPr>
          <w:sz w:val="20"/>
          <w:szCs w:val="20"/>
          <w:color w:val="auto"/>
        </w:rPr>
      </w:pPr>
    </w:p>
    <w:p>
      <w:pPr>
        <w:jc w:val="both"/>
        <w:ind w:left="60" w:firstLine="485"/>
        <w:spacing w:after="0" w:line="230" w:lineRule="auto"/>
        <w:rPr>
          <w:sz w:val="20"/>
          <w:szCs w:val="20"/>
          <w:color w:val="auto"/>
        </w:rPr>
      </w:pPr>
      <w:r>
        <w:rPr>
          <w:rFonts w:ascii="Arial" w:cs="Arial" w:eastAsia="Arial" w:hAnsi="Arial"/>
          <w:sz w:val="16"/>
          <w:szCs w:val="16"/>
          <w:color w:val="auto"/>
        </w:rPr>
        <w:t xml:space="preserve">The undersigned (the “ </w:t>
      </w:r>
      <w:r>
        <w:rPr>
          <w:rFonts w:ascii="Arial" w:cs="Arial" w:eastAsia="Arial" w:hAnsi="Arial"/>
          <w:sz w:val="16"/>
          <w:szCs w:val="16"/>
          <w:u w:val="single" w:color="auto"/>
          <w:color w:val="auto"/>
        </w:rPr>
        <w:t>Assuming Lender</w:t>
      </w:r>
      <w:r>
        <w:rPr>
          <w:rFonts w:ascii="Arial" w:cs="Arial" w:eastAsia="Arial" w:hAnsi="Arial"/>
          <w:sz w:val="16"/>
          <w:szCs w:val="16"/>
          <w:color w:val="auto"/>
        </w:rPr>
        <w:t xml:space="preserve"> ”) proposes to become an Assuming Lender pursuant to Section 2.05(b) or 2.17 of the Credit Agreement and, in that connection, hereby agrees that it shall become a Lender for purposes of the Credit Agreement on [applicable Increase Date/Extension Date] and that its [Commitment] [Term Loan Commitment] shall as of such date be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2212975</wp:posOffset>
            </wp:positionH>
            <wp:positionV relativeFrom="paragraph">
              <wp:posOffset>-22860</wp:posOffset>
            </wp:positionV>
            <wp:extent cx="12827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128270" cy="6350"/>
                    </a:xfrm>
                    <a:prstGeom prst="rect">
                      <a:avLst/>
                    </a:prstGeom>
                    <a:noFill/>
                  </pic:spPr>
                </pic:pic>
              </a:graphicData>
            </a:graphic>
          </wp:anchor>
        </w:drawing>
      </w:r>
    </w:p>
    <w:p>
      <w:pPr>
        <w:spacing w:after="0" w:line="128" w:lineRule="exact"/>
        <w:rPr>
          <w:sz w:val="20"/>
          <w:szCs w:val="20"/>
          <w:color w:val="auto"/>
        </w:rPr>
      </w:pPr>
    </w:p>
    <w:p>
      <w:pPr>
        <w:jc w:val="both"/>
        <w:ind w:left="60" w:right="20" w:firstLine="525"/>
        <w:spacing w:after="0" w:line="231" w:lineRule="auto"/>
        <w:rPr>
          <w:sz w:val="20"/>
          <w:szCs w:val="20"/>
          <w:color w:val="auto"/>
        </w:rPr>
      </w:pPr>
      <w:r>
        <w:rPr>
          <w:rFonts w:ascii="Arial" w:cs="Arial" w:eastAsia="Arial" w:hAnsi="Arial"/>
          <w:sz w:val="15"/>
          <w:szCs w:val="15"/>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agent on its behalf and to exercise such powers under the Credit Agreement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53" w:lineRule="exact"/>
        <w:rPr>
          <w:sz w:val="20"/>
          <w:szCs w:val="20"/>
          <w:color w:val="auto"/>
        </w:rPr>
      </w:pPr>
    </w:p>
    <w:p>
      <w:pPr>
        <w:jc w:val="both"/>
        <w:ind w:left="60" w:right="20" w:firstLine="485"/>
        <w:spacing w:after="0" w:line="230" w:lineRule="auto"/>
        <w:rPr>
          <w:sz w:val="20"/>
          <w:szCs w:val="20"/>
          <w:color w:val="auto"/>
        </w:rPr>
      </w:pPr>
      <w:r>
        <w:rPr>
          <w:rFonts w:ascii="Arial" w:cs="Arial" w:eastAsia="Arial" w:hAnsi="Arial"/>
          <w:sz w:val="16"/>
          <w:szCs w:val="16"/>
          <w:color w:val="auto"/>
        </w:rPr>
        <w:t>The effective date for this Assumption Agreement shall be [applicable Increase Date/Extension Date]. Upon delivery of this Assumption Agreement to the Company and the Administrative Agent, and satisfaction of all conditions imposed under Section 2.05(b) as of [date specified above], the undersigned shall be a party to the Credit Agreement and have the rights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Arial" w:cs="Arial" w:eastAsia="Arial" w:hAnsi="Arial"/>
                <w:sz w:val="13"/>
                <w:szCs w:val="13"/>
                <w:color w:val="auto"/>
              </w:rPr>
              <w:t>D – 1</w:t>
            </w:r>
          </w:p>
        </w:tc>
        <w:tc>
          <w:tcPr>
            <w:tcW w:w="740" w:type="dxa"/>
            <w:vAlign w:val="bottom"/>
          </w:tcPr>
          <w:p>
            <w:pPr>
              <w:ind w:left="160"/>
              <w:spacing w:after="0"/>
              <w:rPr>
                <w:sz w:val="20"/>
                <w:szCs w:val="20"/>
                <w:color w:val="auto"/>
              </w:rPr>
            </w:pPr>
            <w:r>
              <w:rPr>
                <w:rFonts w:ascii="Arial" w:cs="Arial" w:eastAsia="Arial" w:hAnsi="Arial"/>
                <w:sz w:val="9"/>
                <w:szCs w:val="9"/>
                <w:color w:val="auto"/>
                <w:w w:val="98"/>
              </w:rPr>
              <w:t>[[6133168v.2]]</w:t>
            </w:r>
          </w:p>
        </w:tc>
      </w:tr>
    </w:tbl>
    <w:p>
      <w:pPr>
        <w:sectPr>
          <w:pgSz w:w="11900" w:h="16838" w:orient="portrait"/>
          <w:cols w:equalWidth="0" w:num="1">
            <w:col w:w="11200"/>
          </w:cols>
          <w:pgMar w:left="320" w:top="1083" w:right="379" w:bottom="1440" w:gutter="0" w:footer="0" w:header="0"/>
        </w:sectPr>
      </w:pPr>
    </w:p>
    <w:bookmarkStart w:id="214" w:name="page215"/>
    <w:bookmarkEnd w:id="214"/>
    <w:p>
      <w:pPr>
        <w:jc w:val="both"/>
        <w:ind w:left="60"/>
        <w:spacing w:after="0" w:line="239" w:lineRule="auto"/>
        <w:rPr>
          <w:sz w:val="20"/>
          <w:szCs w:val="20"/>
          <w:color w:val="auto"/>
        </w:rPr>
      </w:pPr>
      <w:r>
        <w:rPr>
          <w:rFonts w:ascii="Arial" w:cs="Arial" w:eastAsia="Arial" w:hAnsi="Arial"/>
          <w:sz w:val="16"/>
          <w:szCs w:val="16"/>
          <w:color w:val="auto"/>
        </w:rPr>
        <w:t>obligations of a Lender thereunder. As of [date specified above], the Administrative Agent shall make all payments under the Credit Agreement in respect of the interest assumed hereby (including, without limitation, all payments of principal, interest and commitment fees) to the Assuming Lender.</w:t>
      </w:r>
    </w:p>
    <w:p>
      <w:pPr>
        <w:spacing w:after="0" w:line="149" w:lineRule="exact"/>
        <w:rPr>
          <w:sz w:val="20"/>
          <w:szCs w:val="20"/>
          <w:color w:val="auto"/>
        </w:rPr>
      </w:pPr>
    </w:p>
    <w:p>
      <w:pPr>
        <w:jc w:val="both"/>
        <w:ind w:left="60" w:firstLine="485"/>
        <w:spacing w:after="0" w:line="230" w:lineRule="auto"/>
        <w:rPr>
          <w:sz w:val="20"/>
          <w:szCs w:val="20"/>
          <w:color w:val="auto"/>
        </w:rPr>
      </w:pPr>
      <w:r>
        <w:rPr>
          <w:rFonts w:ascii="Arial" w:cs="Arial" w:eastAsia="Arial" w:hAnsi="Arial"/>
          <w:sz w:val="16"/>
          <w:szCs w:val="16"/>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This Assumption Agreement shall be governed by, and construed in accordance with, the laws of the State of New York.</w:t>
      </w:r>
    </w:p>
    <w:p>
      <w:pPr>
        <w:spacing w:after="0" w:line="23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Very truly yours,</w:t>
      </w:r>
    </w:p>
    <w:p>
      <w:pPr>
        <w:spacing w:after="0" w:line="16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[NAME OF ASSUMING LENDER]</w:t>
      </w:r>
    </w:p>
    <w:p>
      <w:pPr>
        <w:spacing w:after="0" w:line="151"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-4445</wp:posOffset>
            </wp:positionV>
            <wp:extent cx="20510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6"/>
          <w:szCs w:val="16"/>
          <w:color w:val="auto"/>
        </w:rPr>
        <w:t>Title:</w:t>
      </w:r>
    </w:p>
    <w:p>
      <w:pPr>
        <w:spacing w:after="0" w:line="327"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Domestic Lending Office (and address for notices):</w:t>
      </w:r>
    </w:p>
    <w:p>
      <w:pPr>
        <w:spacing w:after="0" w:line="16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[Address]</w:t>
      </w:r>
    </w:p>
    <w:p>
      <w:pPr>
        <w:spacing w:after="0" w:line="16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Eurodollar Lending Office: [Address]</w:t>
      </w: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Acknowledged and Agreed to: GRAHAM HOLDINGS COMPANY</w:t>
      </w:r>
    </w:p>
    <w:p>
      <w:pPr>
        <w:spacing w:after="0" w:line="70"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Name:</w:t>
      </w:r>
    </w:p>
    <w:p>
      <w:pPr>
        <w:ind w:left="3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-114300</wp:posOffset>
            </wp:positionV>
            <wp:extent cx="20510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 – 2</w:t>
      </w:r>
    </w:p>
    <w:p>
      <w:pPr>
        <w:spacing w:after="0" w:line="386" w:lineRule="exact"/>
        <w:rPr>
          <w:sz w:val="20"/>
          <w:szCs w:val="20"/>
          <w:color w:val="auto"/>
        </w:rPr>
      </w:pPr>
    </w:p>
    <w:p>
      <w:pPr>
        <w:spacing w:after="0"/>
        <w:rPr>
          <w:sz w:val="20"/>
          <w:szCs w:val="20"/>
          <w:color w:val="auto"/>
        </w:rPr>
      </w:pPr>
      <w:r>
        <w:rPr>
          <w:rFonts w:ascii="Arial" w:cs="Arial" w:eastAsia="Arial" w:hAnsi="Arial"/>
          <w:sz w:val="9"/>
          <w:szCs w:val="9"/>
          <w:color w:val="auto"/>
        </w:rPr>
        <w:t>[[6133168v.2]]</w:t>
      </w:r>
    </w:p>
    <w:p>
      <w:pPr>
        <w:sectPr>
          <w:pgSz w:w="11900" w:h="16838" w:orient="portrait"/>
          <w:cols w:equalWidth="0" w:num="1">
            <w:col w:w="11180"/>
          </w:cols>
          <w:pgMar w:left="320" w:top="1083" w:right="399" w:bottom="1440" w:gutter="0" w:footer="0" w:header="0"/>
        </w:sectPr>
      </w:pPr>
    </w:p>
    <w:bookmarkStart w:id="215" w:name="page216"/>
    <w:bookmarkEnd w:id="215"/>
    <w:tbl>
      <w:tblPr>
        <w:tblLayout w:type="fixed"/>
        <w:tblInd w:w="6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40" w:type="dxa"/>
            <w:vAlign w:val="bottom"/>
          </w:tcPr>
          <w:p>
            <w:pPr>
              <w:jc w:val="right"/>
              <w:spacing w:after="0"/>
              <w:rPr>
                <w:sz w:val="20"/>
                <w:szCs w:val="20"/>
                <w:color w:val="auto"/>
              </w:rPr>
            </w:pPr>
            <w:r>
              <w:rPr>
                <w:rFonts w:ascii="Arial" w:cs="Arial" w:eastAsia="Arial" w:hAnsi="Arial"/>
                <w:sz w:val="16"/>
                <w:szCs w:val="16"/>
                <w:color w:val="auto"/>
              </w:rPr>
              <w:t>EXHIBIT E – NOTICE OF ACCOUNT DESIGNATION</w:t>
            </w:r>
          </w:p>
        </w:tc>
      </w:tr>
      <w:tr>
        <w:trPr>
          <w:trHeight w:val="344"/>
        </w:trPr>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00" w:type="dxa"/>
            <w:vAlign w:val="bottom"/>
            <w:gridSpan w:val="2"/>
          </w:tcPr>
          <w:p>
            <w:pPr>
              <w:jc w:val="right"/>
              <w:ind w:right="4139"/>
              <w:spacing w:after="0"/>
              <w:rPr>
                <w:sz w:val="20"/>
                <w:szCs w:val="20"/>
                <w:color w:val="auto"/>
              </w:rPr>
            </w:pPr>
            <w:r>
              <w:rPr>
                <w:rFonts w:ascii="Arial" w:cs="Arial" w:eastAsia="Arial" w:hAnsi="Arial"/>
                <w:sz w:val="16"/>
                <w:szCs w:val="16"/>
                <w:b w:val="1"/>
                <w:bCs w:val="1"/>
                <w:color w:val="auto"/>
              </w:rPr>
              <w:t>ACCOUNT DESIGNATION NOTICE</w:t>
            </w:r>
          </w:p>
        </w:tc>
      </w:tr>
      <w:tr>
        <w:trPr>
          <w:trHeight w:val="354"/>
        </w:trPr>
        <w:tc>
          <w:tcPr>
            <w:tcW w:w="340" w:type="dxa"/>
            <w:vAlign w:val="bottom"/>
          </w:tcPr>
          <w:p>
            <w:pPr>
              <w:spacing w:after="0"/>
              <w:rPr>
                <w:sz w:val="20"/>
                <w:szCs w:val="20"/>
                <w:color w:val="auto"/>
              </w:rPr>
            </w:pPr>
            <w:r>
              <w:rPr>
                <w:rFonts w:ascii="Arial" w:cs="Arial" w:eastAsia="Arial" w:hAnsi="Arial"/>
                <w:sz w:val="16"/>
                <w:szCs w:val="16"/>
                <w:color w:val="auto"/>
              </w:rPr>
              <w:t>TO:</w:t>
            </w:r>
          </w:p>
        </w:tc>
        <w:tc>
          <w:tcPr>
            <w:tcW w:w="10780" w:type="dxa"/>
            <w:vAlign w:val="bottom"/>
            <w:gridSpan w:val="3"/>
          </w:tcPr>
          <w:p>
            <w:pPr>
              <w:jc w:val="right"/>
              <w:ind w:right="6379"/>
              <w:spacing w:after="0"/>
              <w:rPr>
                <w:sz w:val="20"/>
                <w:szCs w:val="20"/>
                <w:color w:val="auto"/>
              </w:rPr>
            </w:pPr>
            <w:r>
              <w:rPr>
                <w:rFonts w:ascii="Arial" w:cs="Arial" w:eastAsia="Arial" w:hAnsi="Arial"/>
                <w:sz w:val="16"/>
                <w:szCs w:val="16"/>
                <w:color w:val="auto"/>
                <w:w w:val="94"/>
              </w:rPr>
              <w:t>Wells Fargo Bank, National Association, as Administrative Agent</w:t>
            </w:r>
          </w:p>
        </w:tc>
      </w:tr>
      <w:tr>
        <w:trPr>
          <w:trHeight w:val="299"/>
        </w:trPr>
        <w:tc>
          <w:tcPr>
            <w:tcW w:w="340" w:type="dxa"/>
            <w:vAlign w:val="bottom"/>
          </w:tcPr>
          <w:p>
            <w:pPr>
              <w:spacing w:after="0"/>
              <w:rPr>
                <w:sz w:val="20"/>
                <w:szCs w:val="20"/>
                <w:color w:val="auto"/>
              </w:rPr>
            </w:pPr>
            <w:r>
              <w:rPr>
                <w:rFonts w:ascii="Arial" w:cs="Arial" w:eastAsia="Arial" w:hAnsi="Arial"/>
                <w:sz w:val="16"/>
                <w:szCs w:val="16"/>
                <w:color w:val="auto"/>
              </w:rPr>
              <w:t>RE:</w:t>
            </w:r>
          </w:p>
        </w:tc>
        <w:tc>
          <w:tcPr>
            <w:tcW w:w="10780" w:type="dxa"/>
            <w:vAlign w:val="bottom"/>
            <w:gridSpan w:val="3"/>
          </w:tcPr>
          <w:p>
            <w:pPr>
              <w:jc w:val="right"/>
              <w:spacing w:after="0"/>
              <w:rPr>
                <w:sz w:val="20"/>
                <w:szCs w:val="20"/>
                <w:color w:val="auto"/>
              </w:rPr>
            </w:pPr>
            <w:r>
              <w:rPr>
                <w:rFonts w:ascii="Arial" w:cs="Arial" w:eastAsia="Arial" w:hAnsi="Arial"/>
                <w:sz w:val="16"/>
                <w:szCs w:val="16"/>
                <w:color w:val="auto"/>
                <w:w w:val="93"/>
              </w:rPr>
              <w:t>Second Amended and Restated Five Year Credit Agreement dated as of May 3, 2022, among the Company, the Foreign Borrowers from time to time party thereto,</w:t>
            </w:r>
          </w:p>
        </w:tc>
      </w:tr>
      <w:tr>
        <w:trPr>
          <w:trHeight w:val="162"/>
        </w:trPr>
        <w:tc>
          <w:tcPr>
            <w:tcW w:w="340" w:type="dxa"/>
            <w:vAlign w:val="bottom"/>
          </w:tcPr>
          <w:p>
            <w:pPr>
              <w:spacing w:after="0"/>
              <w:rPr>
                <w:sz w:val="14"/>
                <w:szCs w:val="14"/>
                <w:color w:val="auto"/>
              </w:rPr>
            </w:pPr>
          </w:p>
        </w:tc>
        <w:tc>
          <w:tcPr>
            <w:tcW w:w="10780" w:type="dxa"/>
            <w:vAlign w:val="bottom"/>
            <w:gridSpan w:val="3"/>
          </w:tcPr>
          <w:p>
            <w:pPr>
              <w:jc w:val="right"/>
              <w:spacing w:after="0" w:line="161" w:lineRule="exact"/>
              <w:rPr>
                <w:sz w:val="20"/>
                <w:szCs w:val="20"/>
                <w:color w:val="auto"/>
              </w:rPr>
            </w:pPr>
            <w:r>
              <w:rPr>
                <w:rFonts w:ascii="Arial" w:cs="Arial" w:eastAsia="Arial" w:hAnsi="Arial"/>
                <w:sz w:val="16"/>
                <w:szCs w:val="16"/>
                <w:color w:val="auto"/>
              </w:rPr>
              <w:t>the Guarantors, certain Lenders party thereto, and Wells Fargo Bank, National Association, as Administrative Agent for such Lenders (as amended or</w:t>
            </w:r>
          </w:p>
        </w:tc>
      </w:tr>
      <w:tr>
        <w:trPr>
          <w:trHeight w:val="168"/>
        </w:trPr>
        <w:tc>
          <w:tcPr>
            <w:tcW w:w="340" w:type="dxa"/>
            <w:vAlign w:val="bottom"/>
          </w:tcPr>
          <w:p>
            <w:pPr>
              <w:spacing w:after="0"/>
              <w:rPr>
                <w:sz w:val="14"/>
                <w:szCs w:val="14"/>
                <w:color w:val="auto"/>
              </w:rPr>
            </w:pPr>
          </w:p>
        </w:tc>
        <w:tc>
          <w:tcPr>
            <w:tcW w:w="10780" w:type="dxa"/>
            <w:vAlign w:val="bottom"/>
            <w:gridSpan w:val="3"/>
          </w:tcPr>
          <w:p>
            <w:pPr>
              <w:jc w:val="right"/>
              <w:ind w:right="2579"/>
              <w:spacing w:after="0" w:line="168" w:lineRule="exact"/>
              <w:rPr>
                <w:sz w:val="20"/>
                <w:szCs w:val="20"/>
                <w:color w:val="auto"/>
              </w:rPr>
            </w:pPr>
            <w:r>
              <w:rPr>
                <w:rFonts w:ascii="Arial" w:cs="Arial" w:eastAsia="Arial" w:hAnsi="Arial"/>
                <w:sz w:val="16"/>
                <w:szCs w:val="16"/>
                <w:color w:val="auto"/>
                <w:w w:val="99"/>
              </w:rPr>
              <w:t>modified from time to time, the “Credit Agreement”; the terms defined therein being used herein as therein defined)</w:t>
            </w:r>
          </w:p>
        </w:tc>
      </w:tr>
      <w:tr>
        <w:trPr>
          <w:trHeight w:val="20"/>
        </w:trPr>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5"/>
          <w:szCs w:val="15"/>
          <w:color w:val="auto"/>
        </w:rPr>
        <w:t>[Date]</w:t>
      </w:r>
    </w:p>
    <w:p>
      <w:pPr>
        <w:spacing w:after="0" w:line="200" w:lineRule="exact"/>
        <w:rPr>
          <w:sz w:val="20"/>
          <w:szCs w:val="20"/>
          <w:color w:val="auto"/>
        </w:rPr>
      </w:pPr>
    </w:p>
    <w:p>
      <w:pPr>
        <w:spacing w:after="0" w:line="3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The Administrative Agent is hereby authorized to disburse all Borrowings </w:t>
      </w:r>
      <w:r>
        <w:rPr>
          <w:rFonts w:ascii="Arial" w:cs="Arial" w:eastAsia="Arial" w:hAnsi="Arial"/>
          <w:sz w:val="11"/>
          <w:szCs w:val="11"/>
          <w:color w:val="auto"/>
        </w:rPr>
        <w:t>1</w:t>
      </w:r>
      <w:r>
        <w:rPr>
          <w:rFonts w:ascii="Arial" w:cs="Arial" w:eastAsia="Arial" w:hAnsi="Arial"/>
          <w:sz w:val="15"/>
          <w:szCs w:val="15"/>
          <w:color w:val="auto"/>
        </w:rPr>
        <w:t xml:space="preserve"> into the following account, unless the Company shall designate, in writing to the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Administrative Agent, one or more other accounts:</w:t>
      </w:r>
    </w:p>
    <w:p>
      <w:pPr>
        <w:spacing w:after="0" w:line="190" w:lineRule="exact"/>
        <w:rPr>
          <w:sz w:val="20"/>
          <w:szCs w:val="20"/>
          <w:color w:val="auto"/>
        </w:rPr>
      </w:pPr>
    </w:p>
    <w:tbl>
      <w:tblPr>
        <w:tblLayout w:type="fixed"/>
        <w:tblInd w:w="200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Arial" w:cs="Arial" w:eastAsia="Arial" w:hAnsi="Arial"/>
                <w:sz w:val="16"/>
                <w:szCs w:val="16"/>
                <w:color w:val="auto"/>
              </w:rPr>
              <w:t>Bank Name: [</w:t>
            </w:r>
          </w:p>
        </w:tc>
        <w:tc>
          <w:tcPr>
            <w:tcW w:w="1940" w:type="dxa"/>
            <w:vAlign w:val="bottom"/>
            <w:gridSpan w:val="4"/>
          </w:tcPr>
          <w:p>
            <w:pPr>
              <w:spacing w:after="0"/>
              <w:rPr>
                <w:sz w:val="20"/>
                <w:szCs w:val="20"/>
                <w:color w:val="auto"/>
              </w:rPr>
            </w:pPr>
            <w:r>
              <w:rPr>
                <w:rFonts w:ascii="Arial" w:cs="Arial" w:eastAsia="Arial" w:hAnsi="Arial"/>
                <w:sz w:val="16"/>
                <w:szCs w:val="16"/>
                <w:color w:val="auto"/>
                <w:w w:val="99"/>
              </w:rPr>
              <w:t>] ABA Routing Number: [   ]</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500" w:type="dxa"/>
            <w:vAlign w:val="bottom"/>
            <w:vMerge w:val="restart"/>
          </w:tcPr>
          <w:p>
            <w:pPr>
              <w:jc w:val="right"/>
              <w:ind w:right="1359"/>
              <w:spacing w:after="0" w:line="161" w:lineRule="exact"/>
              <w:rPr>
                <w:sz w:val="20"/>
                <w:szCs w:val="20"/>
                <w:color w:val="auto"/>
              </w:rPr>
            </w:pPr>
            <w:r>
              <w:rPr>
                <w:rFonts w:ascii="Arial" w:cs="Arial" w:eastAsia="Arial" w:hAnsi="Arial"/>
                <w:sz w:val="16"/>
                <w:szCs w:val="16"/>
                <w:color w:val="auto"/>
                <w:w w:val="88"/>
              </w:rPr>
              <w:t>]</w:t>
            </w:r>
          </w:p>
        </w:tc>
        <w:tc>
          <w:tcPr>
            <w:tcW w:w="2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80" w:type="dxa"/>
            <w:vAlign w:val="bottom"/>
            <w:gridSpan w:val="2"/>
          </w:tcPr>
          <w:p>
            <w:pPr>
              <w:spacing w:after="0" w:line="142" w:lineRule="exact"/>
              <w:rPr>
                <w:sz w:val="20"/>
                <w:szCs w:val="20"/>
                <w:color w:val="auto"/>
              </w:rPr>
            </w:pPr>
            <w:r>
              <w:rPr>
                <w:rFonts w:ascii="Arial" w:cs="Arial" w:eastAsia="Arial" w:hAnsi="Arial"/>
                <w:sz w:val="16"/>
                <w:szCs w:val="16"/>
                <w:color w:val="auto"/>
                <w:w w:val="93"/>
              </w:rPr>
              <w:t>Account Number: [</w:t>
            </w:r>
          </w:p>
        </w:tc>
        <w:tc>
          <w:tcPr>
            <w:tcW w:w="180" w:type="dxa"/>
            <w:vAlign w:val="bottom"/>
            <w:tcBorders>
              <w:bottom w:val="single" w:sz="8" w:color="auto"/>
            </w:tcBorders>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0" w:right="500" w:firstLine="485"/>
        <w:spacing w:after="0" w:line="239" w:lineRule="auto"/>
        <w:rPr>
          <w:sz w:val="20"/>
          <w:szCs w:val="20"/>
          <w:color w:val="auto"/>
        </w:rPr>
      </w:pPr>
      <w:r>
        <w:rPr>
          <w:rFonts w:ascii="Arial" w:cs="Arial" w:eastAsia="Arial" w:hAnsi="Arial"/>
          <w:sz w:val="16"/>
          <w:szCs w:val="16"/>
          <w:color w:val="auto"/>
        </w:rPr>
        <w:t>This Account Designation Notice may, upon execution, be delivered by facsimile or electronic mail, which shall be deemed for all purposes to be an original signature.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To be updated for accounts of Foreign Borrowers, if applicable.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 w:type="dxa"/>
            <w:vAlign w:val="bottom"/>
          </w:tcPr>
          <w:p>
            <w:pPr>
              <w:spacing w:after="0"/>
              <w:rPr>
                <w:sz w:val="20"/>
                <w:szCs w:val="20"/>
                <w:color w:val="auto"/>
              </w:rPr>
            </w:pPr>
            <w:r>
              <w:rPr>
                <w:rFonts w:ascii="Arial" w:cs="Arial" w:eastAsia="Arial" w:hAnsi="Arial"/>
                <w:sz w:val="13"/>
                <w:szCs w:val="13"/>
                <w:color w:val="auto"/>
              </w:rPr>
              <w:t>E – 1</w:t>
            </w:r>
          </w:p>
        </w:tc>
        <w:tc>
          <w:tcPr>
            <w:tcW w:w="740" w:type="dxa"/>
            <w:vAlign w:val="bottom"/>
          </w:tcPr>
          <w:p>
            <w:pPr>
              <w:ind w:left="160"/>
              <w:spacing w:after="0"/>
              <w:rPr>
                <w:sz w:val="20"/>
                <w:szCs w:val="20"/>
                <w:color w:val="auto"/>
              </w:rPr>
            </w:pPr>
            <w:r>
              <w:rPr>
                <w:rFonts w:ascii="Arial" w:cs="Arial" w:eastAsia="Arial" w:hAnsi="Arial"/>
                <w:sz w:val="9"/>
                <w:szCs w:val="9"/>
                <w:color w:val="auto"/>
                <w:w w:val="98"/>
              </w:rPr>
              <w:t>[[6133168v.2]]</w:t>
            </w:r>
          </w:p>
        </w:tc>
      </w:tr>
    </w:tbl>
    <w:p>
      <w:pPr>
        <w:sectPr>
          <w:pgSz w:w="11900" w:h="16838" w:orient="portrait"/>
          <w:cols w:equalWidth="0" w:num="1">
            <w:col w:w="11180"/>
          </w:cols>
          <w:pgMar w:left="320" w:top="1083" w:right="399" w:bottom="1440" w:gutter="0" w:footer="0" w:header="0"/>
        </w:sectPr>
      </w:pPr>
    </w:p>
    <w:bookmarkStart w:id="216" w:name="page217"/>
    <w:bookmarkEnd w:id="216"/>
    <w:p>
      <w:pPr>
        <w:ind w:left="2980"/>
        <w:spacing w:after="0"/>
        <w:rPr>
          <w:sz w:val="20"/>
          <w:szCs w:val="20"/>
          <w:color w:val="auto"/>
        </w:rPr>
      </w:pPr>
      <w:r>
        <w:rPr>
          <w:rFonts w:ascii="Arial" w:cs="Arial" w:eastAsia="Arial" w:hAnsi="Arial"/>
          <w:sz w:val="16"/>
          <w:szCs w:val="16"/>
          <w:color w:val="auto"/>
        </w:rPr>
        <w:t>GRAHAM HOLDINGS COMPANY</w:t>
      </w:r>
    </w:p>
    <w:p>
      <w:pPr>
        <w:ind w:left="2980"/>
        <w:spacing w:after="0"/>
        <w:rPr>
          <w:sz w:val="20"/>
          <w:szCs w:val="20"/>
          <w:color w:val="auto"/>
        </w:rPr>
      </w:pPr>
      <w:r>
        <w:rPr>
          <w:rFonts w:ascii="Arial" w:cs="Arial" w:eastAsia="Arial" w:hAnsi="Arial"/>
          <w:sz w:val="16"/>
          <w:szCs w:val="16"/>
          <w:color w:val="auto"/>
        </w:rPr>
        <w:t>a Delaware corporation</w:t>
      </w:r>
    </w:p>
    <w:p>
      <w:pPr>
        <w:spacing w:after="0" w:line="156"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-9525</wp:posOffset>
            </wp:positionV>
            <wp:extent cx="20510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4379"/>
        <w:spacing w:after="0"/>
        <w:rPr>
          <w:sz w:val="20"/>
          <w:szCs w:val="20"/>
          <w:color w:val="auto"/>
        </w:rPr>
      </w:pPr>
      <w:r>
        <w:rPr>
          <w:rFonts w:ascii="Arial" w:cs="Arial" w:eastAsia="Arial" w:hAnsi="Arial"/>
          <w:sz w:val="13"/>
          <w:szCs w:val="13"/>
          <w:color w:val="auto"/>
        </w:rPr>
        <w:t>E – 2</w:t>
      </w:r>
    </w:p>
    <w:p>
      <w:pPr>
        <w:spacing w:after="0" w:line="386" w:lineRule="exact"/>
        <w:rPr>
          <w:sz w:val="20"/>
          <w:szCs w:val="20"/>
          <w:color w:val="auto"/>
        </w:rPr>
      </w:pPr>
    </w:p>
    <w:p>
      <w:pPr>
        <w:spacing w:after="0"/>
        <w:rPr>
          <w:sz w:val="20"/>
          <w:szCs w:val="20"/>
          <w:color w:val="auto"/>
        </w:rPr>
      </w:pPr>
      <w:r>
        <w:rPr>
          <w:rFonts w:ascii="Arial" w:cs="Arial" w:eastAsia="Arial" w:hAnsi="Arial"/>
          <w:sz w:val="9"/>
          <w:szCs w:val="9"/>
          <w:color w:val="auto"/>
        </w:rPr>
        <w:t>[[6133168v.2]]</w:t>
      </w:r>
    </w:p>
    <w:p>
      <w:pPr>
        <w:sectPr>
          <w:pgSz w:w="11900" w:h="16838" w:orient="portrait"/>
          <w:cols w:equalWidth="0" w:num="1">
            <w:col w:w="10139"/>
          </w:cols>
          <w:pgMar w:left="320" w:top="1357" w:right="1440" w:bottom="1440" w:gutter="0" w:footer="0" w:header="0"/>
        </w:sectPr>
      </w:pPr>
    </w:p>
    <w:bookmarkStart w:id="217" w:name="page218"/>
    <w:bookmarkEnd w:id="217"/>
    <w:p>
      <w:pPr>
        <w:ind w:left="8240"/>
        <w:spacing w:after="0"/>
        <w:rPr>
          <w:sz w:val="20"/>
          <w:szCs w:val="20"/>
          <w:color w:val="auto"/>
        </w:rPr>
      </w:pPr>
      <w:r>
        <w:rPr>
          <w:rFonts w:ascii="Arial" w:cs="Arial" w:eastAsia="Arial" w:hAnsi="Arial"/>
          <w:sz w:val="15"/>
          <w:szCs w:val="15"/>
          <w:color w:val="auto"/>
        </w:rPr>
        <w:t>EXHIBIT F – NOTICE OF PREPAYMENTS</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NOTICE OF PREPAYMENT</w:t>
      </w:r>
    </w:p>
    <w:p>
      <w:pPr>
        <w:spacing w:after="0" w:line="200" w:lineRule="exact"/>
        <w:rPr>
          <w:sz w:val="20"/>
          <w:szCs w:val="20"/>
          <w:color w:val="auto"/>
        </w:rPr>
      </w:pPr>
    </w:p>
    <w:p>
      <w:pPr>
        <w:spacing w:after="0" w:line="384" w:lineRule="exact"/>
        <w:rPr>
          <w:sz w:val="20"/>
          <w:szCs w:val="20"/>
          <w:color w:val="auto"/>
        </w:rPr>
      </w:pPr>
    </w:p>
    <w:p>
      <w:pPr>
        <w:ind w:left="10780"/>
        <w:spacing w:after="0"/>
        <w:rPr>
          <w:sz w:val="20"/>
          <w:szCs w:val="20"/>
          <w:color w:val="auto"/>
        </w:rPr>
      </w:pPr>
      <w:r>
        <w:rPr>
          <w:rFonts w:ascii="Arial" w:cs="Arial" w:eastAsia="Arial" w:hAnsi="Arial"/>
          <w:sz w:val="15"/>
          <w:szCs w:val="15"/>
          <w:color w:val="auto"/>
        </w:rPr>
        <w:t>[Date]</w:t>
      </w:r>
    </w:p>
    <w:p>
      <w:pPr>
        <w:spacing w:after="0" w:line="171"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4"/>
          <w:szCs w:val="14"/>
          <w:color w:val="auto"/>
        </w:rPr>
        <w:t>Wells Fargo Bank, National Association, as Administrative Agent</w:t>
      </w:r>
    </w:p>
    <w:p>
      <w:pPr>
        <w:spacing w:after="0" w:line="170" w:lineRule="exact"/>
        <w:rPr>
          <w:sz w:val="20"/>
          <w:szCs w:val="20"/>
          <w:color w:val="auto"/>
        </w:rPr>
      </w:pPr>
    </w:p>
    <w:p>
      <w:pPr>
        <w:jc w:val="both"/>
        <w:ind w:left="480" w:right="20" w:hanging="969"/>
        <w:spacing w:after="0" w:line="230" w:lineRule="auto"/>
        <w:tabs>
          <w:tab w:leader="none" w:pos="460" w:val="left"/>
        </w:tabs>
        <w:rPr>
          <w:sz w:val="20"/>
          <w:szCs w:val="20"/>
          <w:color w:val="auto"/>
        </w:rPr>
      </w:pPr>
      <w:r>
        <w:rPr>
          <w:rFonts w:ascii="Arial" w:cs="Arial" w:eastAsia="Arial" w:hAnsi="Arial"/>
          <w:sz w:val="16"/>
          <w:szCs w:val="16"/>
          <w:color w:val="auto"/>
        </w:rPr>
        <w:t>Re:</w:t>
        <w:tab/>
        <w:t>Second Amended and Restated Five Year Credit Agreement dated as of May 3, 2022, among the Company, the Foreign Borrowers from time to time party thereto, the Guarantors, certain Lenders party thereto, and Wells Fargo Bank, National Association, as Administrative Agent for such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Ladies and Gentlemen:</w:t>
      </w:r>
    </w:p>
    <w:p>
      <w:pPr>
        <w:spacing w:after="0" w:line="16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Reference is hereby made to the Credit Agreement. Capitalized terms not defined herein shall have the meanings ascribed thereto in the Credit Agreement.</w:t>
      </w:r>
    </w:p>
    <w:p>
      <w:pPr>
        <w:spacing w:after="0" w:line="193" w:lineRule="exact"/>
        <w:rPr>
          <w:sz w:val="20"/>
          <w:szCs w:val="20"/>
          <w:color w:val="auto"/>
        </w:rPr>
      </w:pPr>
    </w:p>
    <w:p>
      <w:pPr>
        <w:ind w:left="240" w:firstLine="791"/>
        <w:spacing w:after="0" w:line="251" w:lineRule="auto"/>
        <w:rPr>
          <w:sz w:val="20"/>
          <w:szCs w:val="20"/>
          <w:color w:val="auto"/>
        </w:rPr>
      </w:pPr>
      <w:r>
        <w:rPr>
          <w:rFonts w:ascii="Arial" w:cs="Arial" w:eastAsia="Arial" w:hAnsi="Arial"/>
          <w:sz w:val="14"/>
          <w:szCs w:val="14"/>
          <w:color w:val="auto"/>
        </w:rPr>
        <w:t>This letter shall constitute written notice from the Company to the Administrative Agent pursuant to Section 2.10 of the Credit Agreement of the intent of [ ], as the Borrower, to prepay the Advances listed below in the amount corresponding to such Advances on or about the corresponding date listed below (the “</w:t>
      </w:r>
      <w:r>
        <w:rPr>
          <w:rFonts w:ascii="Arial" w:cs="Arial" w:eastAsia="Arial" w:hAnsi="Arial"/>
          <w:sz w:val="14"/>
          <w:szCs w:val="14"/>
          <w:u w:val="single" w:color="auto"/>
          <w:color w:val="auto"/>
        </w:rPr>
        <w:t>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-3810</wp:posOffset>
            </wp:positionV>
            <wp:extent cx="11366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113665" cy="63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u w:val="single" w:color="auto"/>
          <w:color w:val="auto"/>
        </w:rPr>
        <w:t>Prepayment Date</w:t>
      </w:r>
      <w:r>
        <w:rPr>
          <w:rFonts w:ascii="Arial" w:cs="Arial" w:eastAsia="Arial" w:hAnsi="Arial"/>
          <w:sz w:val="16"/>
          <w:szCs w:val="16"/>
          <w:color w:val="auto"/>
        </w:rPr>
        <w:t>”).</w:t>
      </w:r>
    </w:p>
    <w:p>
      <w:pPr>
        <w:spacing w:after="0" w:line="183" w:lineRule="exact"/>
        <w:rPr>
          <w:sz w:val="20"/>
          <w:szCs w:val="20"/>
          <w:color w:val="auto"/>
        </w:rPr>
      </w:pPr>
    </w:p>
    <w:tbl>
      <w:tblPr>
        <w:tblLayout w:type="fixed"/>
        <w:tblInd w:w="530" w:type="dxa"/>
        <w:tblCellMar>
          <w:top w:w="0" w:type="dxa"/>
          <w:left w:w="0" w:type="dxa"/>
          <w:bottom w:w="0" w:type="dxa"/>
          <w:right w:w="0" w:type="dxa"/>
        </w:tblCellMar>
      </w:tblPr>
      <w:tr>
        <w:trPr>
          <w:trHeight w:val="196"/>
        </w:trPr>
        <w:tc>
          <w:tcPr>
            <w:tcW w:w="2460" w:type="dxa"/>
            <w:vAlign w:val="bottom"/>
            <w:tcBorders>
              <w:top w:val="single" w:sz="8" w:color="auto"/>
              <w:left w:val="single" w:sz="8" w:color="auto"/>
              <w:right w:val="single" w:sz="8" w:color="auto"/>
            </w:tcBorders>
          </w:tcPr>
          <w:p>
            <w:pPr>
              <w:spacing w:after="0"/>
              <w:rPr>
                <w:sz w:val="17"/>
                <w:szCs w:val="17"/>
                <w:color w:val="auto"/>
              </w:rPr>
            </w:pPr>
          </w:p>
        </w:tc>
        <w:tc>
          <w:tcPr>
            <w:tcW w:w="24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Type of Advance (Revolving</w:t>
            </w:r>
          </w:p>
        </w:tc>
        <w:tc>
          <w:tcPr>
            <w:tcW w:w="2460" w:type="dxa"/>
            <w:vAlign w:val="bottom"/>
            <w:tcBorders>
              <w:top w:val="single" w:sz="8" w:color="auto"/>
              <w:right w:val="single" w:sz="8" w:color="auto"/>
            </w:tcBorders>
          </w:tcPr>
          <w:p>
            <w:pPr>
              <w:spacing w:after="0"/>
              <w:rPr>
                <w:sz w:val="17"/>
                <w:szCs w:val="17"/>
                <w:color w:val="auto"/>
              </w:rPr>
            </w:pPr>
          </w:p>
        </w:tc>
        <w:tc>
          <w:tcPr>
            <w:tcW w:w="2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Interest Rate</w:t>
            </w:r>
          </w:p>
        </w:tc>
        <w:tc>
          <w:tcPr>
            <w:tcW w:w="0" w:type="dxa"/>
            <w:vAlign w:val="bottom"/>
          </w:tcPr>
          <w:p>
            <w:pPr>
              <w:spacing w:after="0"/>
              <w:rPr>
                <w:sz w:val="1"/>
                <w:szCs w:val="1"/>
                <w:color w:val="auto"/>
              </w:rPr>
            </w:pPr>
          </w:p>
        </w:tc>
      </w:tr>
      <w:tr>
        <w:trPr>
          <w:trHeight w:val="158"/>
        </w:trPr>
        <w:tc>
          <w:tcPr>
            <w:tcW w:w="2460" w:type="dxa"/>
            <w:vAlign w:val="bottom"/>
            <w:tcBorders>
              <w:left w:val="single" w:sz="8" w:color="auto"/>
              <w:right w:val="single" w:sz="8" w:color="auto"/>
            </w:tcBorders>
          </w:tcPr>
          <w:p>
            <w:pPr>
              <w:spacing w:after="0"/>
              <w:rPr>
                <w:sz w:val="13"/>
                <w:szCs w:val="13"/>
                <w:color w:val="auto"/>
              </w:rPr>
            </w:pPr>
          </w:p>
        </w:tc>
        <w:tc>
          <w:tcPr>
            <w:tcW w:w="2400" w:type="dxa"/>
            <w:vAlign w:val="bottom"/>
            <w:tcBorders>
              <w:right w:val="single" w:sz="8" w:color="auto"/>
            </w:tcBorders>
            <w:vMerge w:val="continue"/>
          </w:tcPr>
          <w:p>
            <w:pPr>
              <w:spacing w:after="0"/>
              <w:rPr>
                <w:sz w:val="13"/>
                <w:szCs w:val="13"/>
                <w:color w:val="auto"/>
              </w:rPr>
            </w:pPr>
          </w:p>
        </w:tc>
        <w:tc>
          <w:tcPr>
            <w:tcW w:w="2460" w:type="dxa"/>
            <w:vAlign w:val="bottom"/>
            <w:tcBorders>
              <w:right w:val="single" w:sz="8" w:color="auto"/>
            </w:tcBorders>
          </w:tcPr>
          <w:p>
            <w:pPr>
              <w:spacing w:after="0"/>
              <w:rPr>
                <w:sz w:val="13"/>
                <w:szCs w:val="13"/>
                <w:color w:val="auto"/>
              </w:rPr>
            </w:pPr>
          </w:p>
        </w:tc>
        <w:tc>
          <w:tcPr>
            <w:tcW w:w="24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0"/>
              </w:rPr>
              <w:t>(Base Rate/ Eurocurrency Rate /</w:t>
            </w:r>
          </w:p>
        </w:tc>
        <w:tc>
          <w:tcPr>
            <w:tcW w:w="0" w:type="dxa"/>
            <w:vAlign w:val="bottom"/>
          </w:tcPr>
          <w:p>
            <w:pPr>
              <w:spacing w:after="0"/>
              <w:rPr>
                <w:sz w:val="1"/>
                <w:szCs w:val="1"/>
                <w:color w:val="auto"/>
              </w:rPr>
            </w:pPr>
          </w:p>
        </w:tc>
      </w:tr>
      <w:tr>
        <w:trPr>
          <w:trHeight w:val="260"/>
        </w:trPr>
        <w:tc>
          <w:tcPr>
            <w:tcW w:w="246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6"/>
                <w:szCs w:val="16"/>
                <w:color w:val="auto"/>
                <w:w w:val="97"/>
              </w:rPr>
              <w:t>Scheduled Prepayment Date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Advance/ Term Loan)</w:t>
            </w:r>
          </w:p>
        </w:tc>
        <w:tc>
          <w:tcPr>
            <w:tcW w:w="24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Amount</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Daily Simple RFR / Term SOFR)</w:t>
            </w:r>
          </w:p>
        </w:tc>
        <w:tc>
          <w:tcPr>
            <w:tcW w:w="0" w:type="dxa"/>
            <w:vAlign w:val="bottom"/>
          </w:tcPr>
          <w:p>
            <w:pPr>
              <w:spacing w:after="0"/>
              <w:rPr>
                <w:sz w:val="1"/>
                <w:szCs w:val="1"/>
                <w:color w:val="auto"/>
              </w:rPr>
            </w:pPr>
          </w:p>
        </w:tc>
      </w:tr>
      <w:tr>
        <w:trPr>
          <w:trHeight w:val="3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460" w:type="dxa"/>
            <w:vAlign w:val="bottom"/>
            <w:tcBorders>
              <w:left w:val="single" w:sz="8" w:color="auto"/>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60" w:type="dxa"/>
            <w:vAlign w:val="bottom"/>
            <w:tcBorders>
              <w:left w:val="single" w:sz="8" w:color="auto"/>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2"/>
                <w:szCs w:val="22"/>
                <w:color w:val="auto"/>
              </w:rPr>
            </w:pPr>
          </w:p>
        </w:tc>
        <w:tc>
          <w:tcPr>
            <w:tcW w:w="2460" w:type="dxa"/>
            <w:vAlign w:val="bottom"/>
            <w:tcBorders>
              <w:bottom w:val="single" w:sz="8" w:color="auto"/>
              <w:right w:val="single" w:sz="8" w:color="auto"/>
            </w:tcBorders>
          </w:tcPr>
          <w:p>
            <w:pPr>
              <w:spacing w:after="0"/>
              <w:rPr>
                <w:sz w:val="22"/>
                <w:szCs w:val="22"/>
                <w:color w:val="auto"/>
              </w:rPr>
            </w:pPr>
          </w:p>
        </w:tc>
        <w:tc>
          <w:tcPr>
            <w:tcW w:w="2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6"/>
          <w:szCs w:val="16"/>
          <w:color w:val="auto"/>
        </w:rPr>
        <w:t>NOTE:</w:t>
      </w:r>
      <w:r>
        <w:rPr>
          <w:sz w:val="20"/>
          <w:szCs w:val="20"/>
          <w:color w:val="auto"/>
        </w:rPr>
        <w:tab/>
      </w:r>
      <w:r>
        <w:rPr>
          <w:rFonts w:ascii="Arial" w:cs="Arial" w:eastAsia="Arial" w:hAnsi="Arial"/>
          <w:sz w:val="15"/>
          <w:szCs w:val="15"/>
          <w:color w:val="auto"/>
        </w:rPr>
        <w:t>PARTIAL PREPAYMENTS SHALL BE IN AN AGGREGATE AMOUNT OF</w:t>
      </w:r>
    </w:p>
    <w:p>
      <w:pPr>
        <w:jc w:val="both"/>
        <w:ind w:left="1040" w:right="20" w:hanging="8"/>
        <w:spacing w:after="0" w:line="224" w:lineRule="auto"/>
        <w:tabs>
          <w:tab w:leader="none" w:pos="134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$2,000,000 OR A WHOLE MULTIPLE OF $1,000,000 IN EXCESS THEREOF WITH RESPECT TO ADVANCES THAT ARE BASE RATE ADVANCES AND (Y) $5,000,000 OR A WHOLE MULTIPLE OF $1,000,000 IN EXCESS THEREOF WITH RESPECT TO REVOLVING CREDIT LOANS THAT ARE EUROCURRENCY RATE ADVANCES, DAILY SIMPLE RFR ADVANCES AND TERM SOFR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 w:type="dxa"/>
            <w:vAlign w:val="bottom"/>
          </w:tcPr>
          <w:p>
            <w:pPr>
              <w:spacing w:after="0"/>
              <w:rPr>
                <w:sz w:val="20"/>
                <w:szCs w:val="20"/>
                <w:color w:val="auto"/>
              </w:rPr>
            </w:pPr>
            <w:r>
              <w:rPr>
                <w:rFonts w:ascii="Arial" w:cs="Arial" w:eastAsia="Arial" w:hAnsi="Arial"/>
                <w:sz w:val="13"/>
                <w:szCs w:val="13"/>
                <w:color w:val="auto"/>
              </w:rPr>
              <w:t>F – 1</w:t>
            </w:r>
          </w:p>
        </w:tc>
        <w:tc>
          <w:tcPr>
            <w:tcW w:w="720" w:type="dxa"/>
            <w:vAlign w:val="bottom"/>
          </w:tcPr>
          <w:p>
            <w:pPr>
              <w:ind w:left="160"/>
              <w:spacing w:after="0"/>
              <w:rPr>
                <w:sz w:val="20"/>
                <w:szCs w:val="20"/>
                <w:color w:val="auto"/>
              </w:rPr>
            </w:pPr>
            <w:r>
              <w:rPr>
                <w:rFonts w:ascii="Arial" w:cs="Arial" w:eastAsia="Arial" w:hAnsi="Arial"/>
                <w:sz w:val="9"/>
                <w:szCs w:val="9"/>
                <w:color w:val="auto"/>
                <w:w w:val="94"/>
              </w:rPr>
              <w:t>[[6133168v.2]]</w:t>
            </w:r>
          </w:p>
        </w:tc>
      </w:tr>
    </w:tbl>
    <w:p>
      <w:pPr>
        <w:sectPr>
          <w:pgSz w:w="11900" w:h="16838" w:orient="portrait"/>
          <w:cols w:equalWidth="0" w:num="1">
            <w:col w:w="11200"/>
          </w:cols>
          <w:pgMar w:left="320" w:top="1083" w:right="379" w:bottom="1440" w:gutter="0" w:footer="0" w:header="0"/>
        </w:sectPr>
      </w:pPr>
    </w:p>
    <w:bookmarkStart w:id="218" w:name="page219"/>
    <w:bookmarkEnd w:id="218"/>
    <w:p>
      <w:pPr>
        <w:ind w:left="60" w:firstLine="1010"/>
        <w:spacing w:after="0" w:line="271" w:lineRule="auto"/>
        <w:rPr>
          <w:sz w:val="20"/>
          <w:szCs w:val="20"/>
          <w:color w:val="auto"/>
        </w:rPr>
      </w:pPr>
      <w:r>
        <w:rPr>
          <w:rFonts w:ascii="Arial" w:cs="Arial" w:eastAsia="Arial" w:hAnsi="Arial"/>
          <w:sz w:val="15"/>
          <w:szCs w:val="15"/>
          <w:color w:val="auto"/>
        </w:rPr>
        <w:t>[This letter is delivered in connection with a refinancing of the Credit Facility or other transaction and is consequently contingent upon the consummation of such refinancing or other transaction and may be revoked by the Company [on behalf of [●]] in the event such refinancing or other transaction is not consummated.]</w:t>
      </w:r>
      <w:r>
        <w:rPr>
          <w:rFonts w:ascii="Arial" w:cs="Arial" w:eastAsia="Arial" w:hAnsi="Arial"/>
          <w:sz w:val="11"/>
          <w:szCs w:val="11"/>
          <w:color w:val="auto"/>
        </w:rPr>
        <w:t>1</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40" w:hanging="178"/>
        <w:spacing w:after="0"/>
        <w:tabs>
          <w:tab w:leader="none" w:pos="240" w:val="left"/>
        </w:tabs>
        <w:numPr>
          <w:ilvl w:val="0"/>
          <w:numId w:val="263"/>
        </w:numPr>
        <w:rPr>
          <w:rFonts w:ascii="Arial" w:cs="Arial" w:eastAsia="Arial" w:hAnsi="Arial"/>
          <w:sz w:val="12"/>
          <w:szCs w:val="12"/>
          <w:color w:val="auto"/>
        </w:rPr>
      </w:pPr>
      <w:r>
        <w:rPr>
          <w:rFonts w:ascii="Arial" w:cs="Arial" w:eastAsia="Arial" w:hAnsi="Arial"/>
          <w:sz w:val="12"/>
          <w:szCs w:val="12"/>
          <w:color w:val="auto"/>
        </w:rPr>
        <w:t>Include if prepayment is to be a prepayment in full of the credit Facility.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 w:type="dxa"/>
            <w:vAlign w:val="bottom"/>
          </w:tcPr>
          <w:p>
            <w:pPr>
              <w:spacing w:after="0"/>
              <w:rPr>
                <w:sz w:val="20"/>
                <w:szCs w:val="20"/>
                <w:color w:val="auto"/>
              </w:rPr>
            </w:pPr>
            <w:r>
              <w:rPr>
                <w:rFonts w:ascii="Arial" w:cs="Arial" w:eastAsia="Arial" w:hAnsi="Arial"/>
                <w:sz w:val="13"/>
                <w:szCs w:val="13"/>
                <w:color w:val="auto"/>
              </w:rPr>
              <w:t>F – 2</w:t>
            </w:r>
          </w:p>
        </w:tc>
        <w:tc>
          <w:tcPr>
            <w:tcW w:w="720" w:type="dxa"/>
            <w:vAlign w:val="bottom"/>
          </w:tcPr>
          <w:p>
            <w:pPr>
              <w:ind w:left="160"/>
              <w:spacing w:after="0"/>
              <w:rPr>
                <w:sz w:val="20"/>
                <w:szCs w:val="20"/>
                <w:color w:val="auto"/>
              </w:rPr>
            </w:pPr>
            <w:r>
              <w:rPr>
                <w:rFonts w:ascii="Arial" w:cs="Arial" w:eastAsia="Arial" w:hAnsi="Arial"/>
                <w:sz w:val="9"/>
                <w:szCs w:val="9"/>
                <w:color w:val="auto"/>
                <w:w w:val="94"/>
              </w:rPr>
              <w:t>[[6133168v.2]]</w:t>
            </w:r>
          </w:p>
        </w:tc>
      </w:tr>
    </w:tbl>
    <w:p>
      <w:pPr>
        <w:sectPr>
          <w:pgSz w:w="11900" w:h="16838" w:orient="portrait"/>
          <w:cols w:equalWidth="0" w:num="1">
            <w:col w:w="11200"/>
          </w:cols>
          <w:pgMar w:left="320" w:top="1265" w:right="379" w:bottom="1440" w:gutter="0" w:footer="0" w:header="0"/>
        </w:sectPr>
      </w:pPr>
    </w:p>
    <w:bookmarkStart w:id="219" w:name="page220"/>
    <w:bookmarkEnd w:id="219"/>
    <w:p>
      <w:pPr>
        <w:ind w:left="2980"/>
        <w:spacing w:after="0"/>
        <w:rPr>
          <w:sz w:val="20"/>
          <w:szCs w:val="20"/>
          <w:color w:val="auto"/>
        </w:rPr>
      </w:pPr>
      <w:r>
        <w:rPr>
          <w:rFonts w:ascii="Arial" w:cs="Arial" w:eastAsia="Arial" w:hAnsi="Arial"/>
          <w:sz w:val="16"/>
          <w:szCs w:val="16"/>
          <w:color w:val="auto"/>
        </w:rPr>
        <w:t>Sincerely,</w:t>
      </w:r>
    </w:p>
    <w:p>
      <w:pPr>
        <w:spacing w:after="0" w:line="15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GRAHAM HOLDINGS COMPANY</w:t>
      </w:r>
    </w:p>
    <w:p>
      <w:pPr>
        <w:ind w:left="2980"/>
        <w:spacing w:after="0"/>
        <w:rPr>
          <w:sz w:val="20"/>
          <w:szCs w:val="20"/>
          <w:color w:val="auto"/>
        </w:rPr>
      </w:pPr>
      <w:r>
        <w:rPr>
          <w:rFonts w:ascii="Arial" w:cs="Arial" w:eastAsia="Arial" w:hAnsi="Arial"/>
          <w:sz w:val="16"/>
          <w:szCs w:val="16"/>
          <w:color w:val="auto"/>
        </w:rPr>
        <w:t>a Delaware corporation</w:t>
      </w:r>
    </w:p>
    <w:p>
      <w:pPr>
        <w:spacing w:after="0" w:line="146"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-9525</wp:posOffset>
            </wp:positionV>
            <wp:extent cx="20510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379"/>
        <w:spacing w:after="0"/>
        <w:rPr>
          <w:sz w:val="20"/>
          <w:szCs w:val="20"/>
          <w:color w:val="auto"/>
        </w:rPr>
      </w:pPr>
      <w:r>
        <w:rPr>
          <w:rFonts w:ascii="Arial" w:cs="Arial" w:eastAsia="Arial" w:hAnsi="Arial"/>
          <w:sz w:val="13"/>
          <w:szCs w:val="13"/>
          <w:color w:val="auto"/>
        </w:rPr>
        <w:t>F – 3</w:t>
      </w:r>
    </w:p>
    <w:p>
      <w:pPr>
        <w:spacing w:after="0" w:line="386" w:lineRule="exact"/>
        <w:rPr>
          <w:sz w:val="20"/>
          <w:szCs w:val="20"/>
          <w:color w:val="auto"/>
        </w:rPr>
      </w:pPr>
    </w:p>
    <w:p>
      <w:pPr>
        <w:spacing w:after="0"/>
        <w:rPr>
          <w:sz w:val="20"/>
          <w:szCs w:val="20"/>
          <w:color w:val="auto"/>
        </w:rPr>
      </w:pPr>
      <w:r>
        <w:rPr>
          <w:rFonts w:ascii="Arial" w:cs="Arial" w:eastAsia="Arial" w:hAnsi="Arial"/>
          <w:sz w:val="9"/>
          <w:szCs w:val="9"/>
          <w:color w:val="auto"/>
        </w:rPr>
        <w:t>[[6133168v.2]]</w:t>
      </w:r>
    </w:p>
    <w:p>
      <w:pPr>
        <w:sectPr>
          <w:pgSz w:w="11900" w:h="16838" w:orient="portrait"/>
          <w:cols w:equalWidth="0" w:num="1">
            <w:col w:w="10139"/>
          </w:cols>
          <w:pgMar w:left="320" w:top="1083" w:right="1440" w:bottom="1440" w:gutter="0" w:footer="0" w:header="0"/>
        </w:sectPr>
      </w:pPr>
    </w:p>
    <w:bookmarkStart w:id="220" w:name="page221"/>
    <w:bookmarkEnd w:id="220"/>
    <w:tbl>
      <w:tblPr>
        <w:tblLayout w:type="fixed"/>
        <w:tblInd w:w="6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40" w:type="dxa"/>
            <w:vAlign w:val="bottom"/>
          </w:tcPr>
          <w:p>
            <w:pPr>
              <w:jc w:val="right"/>
              <w:spacing w:after="0"/>
              <w:rPr>
                <w:sz w:val="20"/>
                <w:szCs w:val="20"/>
                <w:color w:val="auto"/>
              </w:rPr>
            </w:pPr>
            <w:r>
              <w:rPr>
                <w:rFonts w:ascii="Arial" w:cs="Arial" w:eastAsia="Arial" w:hAnsi="Arial"/>
                <w:sz w:val="16"/>
                <w:szCs w:val="16"/>
                <w:color w:val="auto"/>
              </w:rPr>
              <w:t>EXHIBIT G – FORM OF SOLVENCY CERTIFICATE</w:t>
            </w:r>
          </w:p>
        </w:tc>
      </w:tr>
      <w:tr>
        <w:trPr>
          <w:trHeight w:val="344"/>
        </w:trPr>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40" w:type="dxa"/>
            <w:vAlign w:val="bottom"/>
          </w:tcPr>
          <w:p>
            <w:pPr>
              <w:jc w:val="right"/>
              <w:ind w:right="4459"/>
              <w:spacing w:after="0"/>
              <w:rPr>
                <w:sz w:val="20"/>
                <w:szCs w:val="20"/>
                <w:color w:val="auto"/>
              </w:rPr>
            </w:pPr>
            <w:r>
              <w:rPr>
                <w:rFonts w:ascii="Arial" w:cs="Arial" w:eastAsia="Arial" w:hAnsi="Arial"/>
                <w:sz w:val="16"/>
                <w:szCs w:val="16"/>
                <w:b w:val="1"/>
                <w:bCs w:val="1"/>
                <w:color w:val="auto"/>
              </w:rPr>
              <w:t>SOLVENCY CERTIFICATE</w:t>
            </w:r>
          </w:p>
        </w:tc>
      </w:tr>
      <w:tr>
        <w:trPr>
          <w:trHeight w:val="354"/>
        </w:trPr>
        <w:tc>
          <w:tcPr>
            <w:tcW w:w="340" w:type="dxa"/>
            <w:vAlign w:val="bottom"/>
          </w:tcPr>
          <w:p>
            <w:pPr>
              <w:spacing w:after="0"/>
              <w:rPr>
                <w:sz w:val="20"/>
                <w:szCs w:val="20"/>
                <w:color w:val="auto"/>
              </w:rPr>
            </w:pPr>
            <w:r>
              <w:rPr>
                <w:rFonts w:ascii="Arial" w:cs="Arial" w:eastAsia="Arial" w:hAnsi="Arial"/>
                <w:sz w:val="16"/>
                <w:szCs w:val="16"/>
                <w:color w:val="auto"/>
              </w:rPr>
              <w:t>TO:</w:t>
            </w:r>
          </w:p>
        </w:tc>
        <w:tc>
          <w:tcPr>
            <w:tcW w:w="10780" w:type="dxa"/>
            <w:vAlign w:val="bottom"/>
            <w:gridSpan w:val="3"/>
          </w:tcPr>
          <w:p>
            <w:pPr>
              <w:jc w:val="right"/>
              <w:ind w:right="6379"/>
              <w:spacing w:after="0"/>
              <w:rPr>
                <w:sz w:val="20"/>
                <w:szCs w:val="20"/>
                <w:color w:val="auto"/>
              </w:rPr>
            </w:pPr>
            <w:r>
              <w:rPr>
                <w:rFonts w:ascii="Arial" w:cs="Arial" w:eastAsia="Arial" w:hAnsi="Arial"/>
                <w:sz w:val="16"/>
                <w:szCs w:val="16"/>
                <w:color w:val="auto"/>
                <w:w w:val="94"/>
              </w:rPr>
              <w:t>Wells Fargo Bank, National Association, as Administrative Agent</w:t>
            </w:r>
          </w:p>
        </w:tc>
      </w:tr>
      <w:tr>
        <w:trPr>
          <w:trHeight w:val="299"/>
        </w:trPr>
        <w:tc>
          <w:tcPr>
            <w:tcW w:w="340" w:type="dxa"/>
            <w:vAlign w:val="bottom"/>
          </w:tcPr>
          <w:p>
            <w:pPr>
              <w:spacing w:after="0"/>
              <w:rPr>
                <w:sz w:val="20"/>
                <w:szCs w:val="20"/>
                <w:color w:val="auto"/>
              </w:rPr>
            </w:pPr>
            <w:r>
              <w:rPr>
                <w:rFonts w:ascii="Arial" w:cs="Arial" w:eastAsia="Arial" w:hAnsi="Arial"/>
                <w:sz w:val="16"/>
                <w:szCs w:val="16"/>
                <w:color w:val="auto"/>
              </w:rPr>
              <w:t>RE:</w:t>
            </w:r>
          </w:p>
        </w:tc>
        <w:tc>
          <w:tcPr>
            <w:tcW w:w="10780" w:type="dxa"/>
            <w:vAlign w:val="bottom"/>
            <w:gridSpan w:val="3"/>
          </w:tcPr>
          <w:p>
            <w:pPr>
              <w:jc w:val="right"/>
              <w:spacing w:after="0"/>
              <w:rPr>
                <w:sz w:val="20"/>
                <w:szCs w:val="20"/>
                <w:color w:val="auto"/>
              </w:rPr>
            </w:pPr>
            <w:r>
              <w:rPr>
                <w:rFonts w:ascii="Arial" w:cs="Arial" w:eastAsia="Arial" w:hAnsi="Arial"/>
                <w:sz w:val="16"/>
                <w:szCs w:val="16"/>
                <w:color w:val="auto"/>
                <w:w w:val="93"/>
              </w:rPr>
              <w:t>Second Amended and Restated Five Year Credit Agreement dated as of May 3, 2022, among the Company, the Foreign Borrowers from time to time party thereto,</w:t>
            </w:r>
          </w:p>
        </w:tc>
      </w:tr>
      <w:tr>
        <w:trPr>
          <w:trHeight w:val="162"/>
        </w:trPr>
        <w:tc>
          <w:tcPr>
            <w:tcW w:w="340" w:type="dxa"/>
            <w:vAlign w:val="bottom"/>
          </w:tcPr>
          <w:p>
            <w:pPr>
              <w:spacing w:after="0"/>
              <w:rPr>
                <w:sz w:val="14"/>
                <w:szCs w:val="14"/>
                <w:color w:val="auto"/>
              </w:rPr>
            </w:pPr>
          </w:p>
        </w:tc>
        <w:tc>
          <w:tcPr>
            <w:tcW w:w="10780" w:type="dxa"/>
            <w:vAlign w:val="bottom"/>
            <w:gridSpan w:val="3"/>
          </w:tcPr>
          <w:p>
            <w:pPr>
              <w:jc w:val="right"/>
              <w:spacing w:after="0" w:line="161" w:lineRule="exact"/>
              <w:rPr>
                <w:sz w:val="20"/>
                <w:szCs w:val="20"/>
                <w:color w:val="auto"/>
              </w:rPr>
            </w:pPr>
            <w:r>
              <w:rPr>
                <w:rFonts w:ascii="Arial" w:cs="Arial" w:eastAsia="Arial" w:hAnsi="Arial"/>
                <w:sz w:val="16"/>
                <w:szCs w:val="16"/>
                <w:color w:val="auto"/>
              </w:rPr>
              <w:t>the Guarantors, certain Lenders party thereto, and Wells Fargo Bank, National Association, as Administrative Agent for such Lenders (as amended or</w:t>
            </w:r>
          </w:p>
        </w:tc>
      </w:tr>
      <w:tr>
        <w:trPr>
          <w:trHeight w:val="168"/>
        </w:trPr>
        <w:tc>
          <w:tcPr>
            <w:tcW w:w="340" w:type="dxa"/>
            <w:vAlign w:val="bottom"/>
          </w:tcPr>
          <w:p>
            <w:pPr>
              <w:spacing w:after="0"/>
              <w:rPr>
                <w:sz w:val="14"/>
                <w:szCs w:val="14"/>
                <w:color w:val="auto"/>
              </w:rPr>
            </w:pPr>
          </w:p>
        </w:tc>
        <w:tc>
          <w:tcPr>
            <w:tcW w:w="10780" w:type="dxa"/>
            <w:vAlign w:val="bottom"/>
            <w:gridSpan w:val="3"/>
          </w:tcPr>
          <w:p>
            <w:pPr>
              <w:jc w:val="right"/>
              <w:ind w:right="2579"/>
              <w:spacing w:after="0" w:line="168" w:lineRule="exact"/>
              <w:rPr>
                <w:sz w:val="20"/>
                <w:szCs w:val="20"/>
                <w:color w:val="auto"/>
              </w:rPr>
            </w:pPr>
            <w:r>
              <w:rPr>
                <w:rFonts w:ascii="Arial" w:cs="Arial" w:eastAsia="Arial" w:hAnsi="Arial"/>
                <w:sz w:val="16"/>
                <w:szCs w:val="16"/>
                <w:color w:val="auto"/>
                <w:w w:val="99"/>
              </w:rPr>
              <w:t>modified from time to time, the “Credit Agreement”; the terms defined therein being used herein as therein defined)</w:t>
            </w:r>
          </w:p>
        </w:tc>
      </w:tr>
      <w:tr>
        <w:trPr>
          <w:trHeight w:val="20"/>
        </w:trPr>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5"/>
          <w:szCs w:val="15"/>
          <w:color w:val="auto"/>
        </w:rPr>
        <w:t>[Date]</w:t>
      </w:r>
    </w:p>
    <w:p>
      <w:pPr>
        <w:spacing w:after="0" w:line="200" w:lineRule="exact"/>
        <w:rPr>
          <w:sz w:val="20"/>
          <w:szCs w:val="20"/>
          <w:color w:val="auto"/>
        </w:rPr>
      </w:pPr>
    </w:p>
    <w:p>
      <w:pPr>
        <w:spacing w:after="0" w:line="394" w:lineRule="exact"/>
        <w:rPr>
          <w:sz w:val="20"/>
          <w:szCs w:val="20"/>
          <w:color w:val="auto"/>
        </w:rPr>
      </w:pPr>
    </w:p>
    <w:p>
      <w:pPr>
        <w:jc w:val="both"/>
        <w:ind w:left="60" w:right="20" w:firstLine="485"/>
        <w:spacing w:after="0" w:line="239" w:lineRule="auto"/>
        <w:rPr>
          <w:sz w:val="20"/>
          <w:szCs w:val="20"/>
          <w:color w:val="auto"/>
        </w:rPr>
      </w:pPr>
      <w:r>
        <w:rPr>
          <w:rFonts w:ascii="Arial" w:cs="Arial" w:eastAsia="Arial" w:hAnsi="Arial"/>
          <w:sz w:val="16"/>
          <w:szCs w:val="16"/>
          <w:color w:val="auto"/>
        </w:rPr>
        <w:t>The undersigned chief financial officer of the Company is familiar with the properties, businesses, assets and liabilities of the Credit Parties and their Subsidiaries and is duly authorized to execute this certificate on behalf of the Company, the other Credit Parties and their Subsidiaries.</w:t>
      </w:r>
    </w:p>
    <w:p>
      <w:pPr>
        <w:spacing w:after="0" w:line="149" w:lineRule="exact"/>
        <w:rPr>
          <w:sz w:val="20"/>
          <w:szCs w:val="20"/>
          <w:color w:val="auto"/>
        </w:rPr>
      </w:pPr>
    </w:p>
    <w:p>
      <w:pPr>
        <w:jc w:val="both"/>
        <w:ind w:left="60" w:right="20" w:firstLine="485"/>
        <w:spacing w:after="0" w:line="248" w:lineRule="auto"/>
        <w:rPr>
          <w:sz w:val="20"/>
          <w:szCs w:val="20"/>
          <w:color w:val="auto"/>
        </w:rPr>
      </w:pPr>
      <w:r>
        <w:rPr>
          <w:rFonts w:ascii="Arial" w:cs="Arial" w:eastAsia="Arial" w:hAnsi="Arial"/>
          <w:sz w:val="15"/>
          <w:szCs w:val="15"/>
          <w:color w:val="auto"/>
        </w:rPr>
        <w:t>The undersigned certifies that he/she has made such investigation and inquiries as to the financial condition of the Credit Parties and their Subsidiaries as the undersigned deems necessary and prudent for the purpose of providing this Certificate. The undersigned acknowledges that the Administrative Agent and the Lenders are relying on the truth and accuracy of this Certificate in connection with the making of Advances under the Credit Agreement.</w:t>
      </w:r>
    </w:p>
    <w:p>
      <w:pPr>
        <w:spacing w:after="0" w:line="132" w:lineRule="exact"/>
        <w:rPr>
          <w:sz w:val="20"/>
          <w:szCs w:val="20"/>
          <w:color w:val="auto"/>
        </w:rPr>
      </w:pPr>
    </w:p>
    <w:p>
      <w:pPr>
        <w:jc w:val="both"/>
        <w:ind w:left="60" w:right="20" w:firstLine="485"/>
        <w:spacing w:after="0" w:line="239" w:lineRule="auto"/>
        <w:rPr>
          <w:sz w:val="20"/>
          <w:szCs w:val="20"/>
          <w:color w:val="auto"/>
        </w:rPr>
      </w:pPr>
      <w:r>
        <w:rPr>
          <w:rFonts w:ascii="Arial" w:cs="Arial" w:eastAsia="Arial" w:hAnsi="Arial"/>
          <w:sz w:val="16"/>
          <w:szCs w:val="16"/>
          <w:color w:val="auto"/>
        </w:rPr>
        <w:t>BASED ON THE FOREGOING, the undersigned certifies, in his or her capacity as chief financial officer of the Company and not in any individual capacity that, both before and after giving effect to the effectiveness of the Credit Agreement on the Effective Date:</w:t>
      </w:r>
    </w:p>
    <w:p>
      <w:pPr>
        <w:spacing w:after="0" w:line="149" w:lineRule="exact"/>
        <w:rPr>
          <w:sz w:val="20"/>
          <w:szCs w:val="20"/>
          <w:color w:val="auto"/>
        </w:rPr>
      </w:pPr>
    </w:p>
    <w:p>
      <w:pPr>
        <w:ind w:left="60" w:right="20" w:firstLine="487"/>
        <w:spacing w:after="0" w:line="239" w:lineRule="auto"/>
        <w:tabs>
          <w:tab w:leader="none" w:pos="95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On the date hereof, the Company and its Subsidiaries, taken as a whole, are solvent and are able to pay their debts and other liabilities, contingent obligations and other commitments as they mature in the normal course of business.</w:t>
      </w:r>
    </w:p>
    <w:p>
      <w:pPr>
        <w:spacing w:after="0" w:line="138" w:lineRule="exact"/>
        <w:rPr>
          <w:rFonts w:ascii="Arial" w:cs="Arial" w:eastAsia="Arial" w:hAnsi="Arial"/>
          <w:sz w:val="16"/>
          <w:szCs w:val="16"/>
          <w:color w:val="auto"/>
        </w:rPr>
      </w:pPr>
    </w:p>
    <w:p>
      <w:pPr>
        <w:ind w:left="60" w:firstLine="487"/>
        <w:spacing w:after="0" w:line="308" w:lineRule="auto"/>
        <w:tabs>
          <w:tab w:leader="none" w:pos="949" w:val="left"/>
        </w:tabs>
        <w:numPr>
          <w:ilvl w:val="0"/>
          <w:numId w:val="264"/>
        </w:numPr>
        <w:rPr>
          <w:rFonts w:ascii="Arial" w:cs="Arial" w:eastAsia="Arial" w:hAnsi="Arial"/>
          <w:sz w:val="14"/>
          <w:szCs w:val="14"/>
          <w:color w:val="auto"/>
        </w:rPr>
      </w:pPr>
      <w:r>
        <w:rPr>
          <w:rFonts w:ascii="Arial" w:cs="Arial" w:eastAsia="Arial" w:hAnsi="Arial"/>
          <w:sz w:val="14"/>
          <w:szCs w:val="14"/>
          <w:color w:val="auto"/>
        </w:rPr>
        <w:t>On the date hereof, the present fair saleable value of the Company’s and its Subsidiaries’ assets, taken as a whole on a consolidated basis, exceeds the amount that will be required to pay the probable liabilities of the Company and its Subsidiaries on a consolidated basis on their debt as they become absolute and matured.</w:t>
      </w:r>
    </w:p>
    <w:p>
      <w:pPr>
        <w:spacing w:after="0" w:line="102" w:lineRule="exact"/>
        <w:rPr>
          <w:rFonts w:ascii="Arial" w:cs="Arial" w:eastAsia="Arial" w:hAnsi="Arial"/>
          <w:sz w:val="14"/>
          <w:szCs w:val="14"/>
          <w:color w:val="auto"/>
        </w:rPr>
      </w:pPr>
    </w:p>
    <w:p>
      <w:pPr>
        <w:ind w:left="60" w:right="20" w:firstLine="487"/>
        <w:spacing w:after="0" w:line="239" w:lineRule="auto"/>
        <w:tabs>
          <w:tab w:leader="none" w:pos="95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On the date hereof, the Company and its Subsidiaries, taken as a whole, do not have unreasonably small capital in relation to the businesses in which they are or propose to be engaged.</w:t>
      </w:r>
    </w:p>
    <w:p>
      <w:pPr>
        <w:spacing w:after="0" w:line="148" w:lineRule="exact"/>
        <w:rPr>
          <w:rFonts w:ascii="Arial" w:cs="Arial" w:eastAsia="Arial" w:hAnsi="Arial"/>
          <w:sz w:val="16"/>
          <w:szCs w:val="16"/>
          <w:color w:val="auto"/>
        </w:rPr>
      </w:pPr>
    </w:p>
    <w:p>
      <w:pPr>
        <w:ind w:left="960" w:hanging="413"/>
        <w:spacing w:after="0"/>
        <w:tabs>
          <w:tab w:leader="none" w:pos="96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The Company and its Subsidiaries, taken as a whole, have not incurred, nor believe that they will incur, debts beyond their ability to pay such debts as they</w:t>
      </w:r>
    </w:p>
    <w:p>
      <w:pPr>
        <w:spacing w:after="0" w:line="14" w:lineRule="exact"/>
        <w:rPr>
          <w:rFonts w:ascii="Arial" w:cs="Arial" w:eastAsia="Arial" w:hAnsi="Arial"/>
          <w:sz w:val="14"/>
          <w:szCs w:val="14"/>
          <w:color w:val="auto"/>
        </w:rPr>
      </w:pPr>
    </w:p>
    <w:p>
      <w:pPr>
        <w:ind w:left="60"/>
        <w:spacing w:after="0"/>
        <w:rPr>
          <w:rFonts w:ascii="Arial" w:cs="Arial" w:eastAsia="Arial" w:hAnsi="Arial"/>
          <w:sz w:val="14"/>
          <w:szCs w:val="14"/>
          <w:color w:val="auto"/>
        </w:rPr>
      </w:pPr>
      <w:r>
        <w:rPr>
          <w:rFonts w:ascii="Arial" w:cs="Arial" w:eastAsia="Arial" w:hAnsi="Arial"/>
          <w:sz w:val="16"/>
          <w:szCs w:val="16"/>
          <w:color w:val="auto"/>
        </w:rPr>
        <w:t>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Arial" w:cs="Arial" w:eastAsia="Arial" w:hAnsi="Arial"/>
                <w:sz w:val="13"/>
                <w:szCs w:val="13"/>
                <w:color w:val="auto"/>
              </w:rPr>
              <w:t>G – 1</w:t>
            </w:r>
          </w:p>
        </w:tc>
        <w:tc>
          <w:tcPr>
            <w:tcW w:w="740" w:type="dxa"/>
            <w:vAlign w:val="bottom"/>
          </w:tcPr>
          <w:p>
            <w:pPr>
              <w:ind w:left="160"/>
              <w:spacing w:after="0"/>
              <w:rPr>
                <w:sz w:val="20"/>
                <w:szCs w:val="20"/>
                <w:color w:val="auto"/>
              </w:rPr>
            </w:pPr>
            <w:r>
              <w:rPr>
                <w:rFonts w:ascii="Arial" w:cs="Arial" w:eastAsia="Arial" w:hAnsi="Arial"/>
                <w:sz w:val="9"/>
                <w:szCs w:val="9"/>
                <w:color w:val="auto"/>
                <w:w w:val="98"/>
              </w:rPr>
              <w:t>[[6133168v.2]]</w:t>
            </w:r>
          </w:p>
        </w:tc>
      </w:tr>
    </w:tbl>
    <w:p>
      <w:pPr>
        <w:sectPr>
          <w:pgSz w:w="11900" w:h="16838" w:orient="portrait"/>
          <w:cols w:equalWidth="0" w:num="1">
            <w:col w:w="11200"/>
          </w:cols>
          <w:pgMar w:left="320" w:top="1083" w:right="379" w:bottom="1440" w:gutter="0" w:footer="0" w:header="0"/>
        </w:sectPr>
      </w:pPr>
    </w:p>
    <w:bookmarkStart w:id="221" w:name="page222"/>
    <w:bookmarkEnd w:id="221"/>
    <w:p>
      <w:pPr>
        <w:ind w:left="60" w:firstLine="487"/>
        <w:spacing w:after="0" w:line="239" w:lineRule="auto"/>
        <w:tabs>
          <w:tab w:leader="none" w:pos="95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None of the Company or its Subsidiaries intends, in consummating the transaction contemplated by the Credit Agreement, to hinder, delay or defraud either present or future creditors or other Persons to which one or more of the Credit Parties or their Subsidiaries is or will become indebted.</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This Certificate may, upon execution, be delivered by facsimile or electronic mail, which shall be deemed for all purposes to be an original signature.</w:t>
      </w:r>
    </w:p>
    <w:p>
      <w:pPr>
        <w:spacing w:after="0" w:line="160"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Arial" w:cs="Arial" w:eastAsia="Arial" w:hAnsi="Arial"/>
                <w:sz w:val="13"/>
                <w:szCs w:val="13"/>
                <w:color w:val="auto"/>
              </w:rPr>
              <w:t>G – 2</w:t>
            </w:r>
          </w:p>
        </w:tc>
        <w:tc>
          <w:tcPr>
            <w:tcW w:w="740" w:type="dxa"/>
            <w:vAlign w:val="bottom"/>
          </w:tcPr>
          <w:p>
            <w:pPr>
              <w:ind w:left="160"/>
              <w:spacing w:after="0"/>
              <w:rPr>
                <w:sz w:val="20"/>
                <w:szCs w:val="20"/>
                <w:color w:val="auto"/>
              </w:rPr>
            </w:pPr>
            <w:r>
              <w:rPr>
                <w:rFonts w:ascii="Arial" w:cs="Arial" w:eastAsia="Arial" w:hAnsi="Arial"/>
                <w:sz w:val="9"/>
                <w:szCs w:val="9"/>
                <w:color w:val="auto"/>
                <w:w w:val="98"/>
              </w:rPr>
              <w:t>[[6133168v.2]]</w:t>
            </w:r>
          </w:p>
        </w:tc>
      </w:tr>
    </w:tbl>
    <w:p>
      <w:pPr>
        <w:sectPr>
          <w:pgSz w:w="11900" w:h="16838" w:orient="portrait"/>
          <w:cols w:equalWidth="0" w:num="1">
            <w:col w:w="11200"/>
          </w:cols>
          <w:pgMar w:left="320" w:top="1265" w:right="379" w:bottom="1440" w:gutter="0" w:footer="0" w:header="0"/>
        </w:sectPr>
      </w:pPr>
    </w:p>
    <w:bookmarkStart w:id="222" w:name="page223"/>
    <w:bookmarkEnd w:id="222"/>
    <w:p>
      <w:pPr>
        <w:ind w:left="2980"/>
        <w:spacing w:after="0"/>
        <w:rPr>
          <w:sz w:val="20"/>
          <w:szCs w:val="20"/>
          <w:color w:val="auto"/>
        </w:rPr>
      </w:pPr>
      <w:r>
        <w:rPr>
          <w:rFonts w:ascii="Arial" w:cs="Arial" w:eastAsia="Arial" w:hAnsi="Arial"/>
          <w:sz w:val="15"/>
          <w:szCs w:val="15"/>
          <w:color w:val="auto"/>
        </w:rPr>
        <w:t>GRAHAM HOLDINGS COMPANY</w:t>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 Delaware corporation</w:t>
      </w:r>
    </w:p>
    <w:p>
      <w:pPr>
        <w:spacing w:after="0" w:line="146"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-9525</wp:posOffset>
            </wp:positionV>
            <wp:extent cx="20510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205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Arial" w:cs="Arial" w:eastAsia="Arial" w:hAnsi="Arial"/>
                <w:sz w:val="13"/>
                <w:szCs w:val="13"/>
                <w:color w:val="auto"/>
              </w:rPr>
              <w:t>G – 3</w:t>
            </w:r>
          </w:p>
        </w:tc>
        <w:tc>
          <w:tcPr>
            <w:tcW w:w="740" w:type="dxa"/>
            <w:vAlign w:val="bottom"/>
          </w:tcPr>
          <w:p>
            <w:pPr>
              <w:ind w:left="160"/>
              <w:spacing w:after="0"/>
              <w:rPr>
                <w:sz w:val="20"/>
                <w:szCs w:val="20"/>
                <w:color w:val="auto"/>
              </w:rPr>
            </w:pPr>
            <w:r>
              <w:rPr>
                <w:rFonts w:ascii="Arial" w:cs="Arial" w:eastAsia="Arial" w:hAnsi="Arial"/>
                <w:sz w:val="9"/>
                <w:szCs w:val="9"/>
                <w:color w:val="auto"/>
                <w:w w:val="98"/>
              </w:rPr>
              <w:t>[[6133168v.2]]</w:t>
            </w:r>
          </w:p>
        </w:tc>
      </w:tr>
    </w:tbl>
    <w:p>
      <w:pPr>
        <w:sectPr>
          <w:pgSz w:w="11900" w:h="16838" w:orient="portrait"/>
          <w:cols w:equalWidth="0" w:num="1">
            <w:col w:w="10139"/>
          </w:cols>
          <w:pgMar w:left="320" w:top="1265"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RULE 13a-14(a)/15d-14(a) CERTIFICATION OF THE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 SECTION 302 OF THE SARBANES-OXLEY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 Timothy J. O’Shaughnessy, Chief Executive Officer (principal executive officer) of Graham Holdings Company (the “Registrant”), certify that:</w:t>
      </w:r>
    </w:p>
    <w:p>
      <w:pPr>
        <w:spacing w:after="0" w:line="133" w:lineRule="exact"/>
        <w:rPr>
          <w:sz w:val="20"/>
          <w:szCs w:val="20"/>
          <w:color w:val="auto"/>
        </w:rPr>
      </w:pPr>
    </w:p>
    <w:p>
      <w:pPr>
        <w:ind w:left="480" w:hanging="237"/>
        <w:spacing w:after="0"/>
        <w:tabs>
          <w:tab w:leader="none" w:pos="48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the Registrant;</w:t>
      </w:r>
    </w:p>
    <w:p>
      <w:pPr>
        <w:spacing w:after="0" w:line="133" w:lineRule="exact"/>
        <w:rPr>
          <w:rFonts w:ascii="Arial" w:cs="Arial" w:eastAsia="Arial" w:hAnsi="Arial"/>
          <w:sz w:val="13"/>
          <w:szCs w:val="13"/>
          <w:color w:val="auto"/>
        </w:rPr>
      </w:pPr>
    </w:p>
    <w:p>
      <w:pPr>
        <w:ind w:left="240" w:right="180" w:firstLine="3"/>
        <w:spacing w:after="0" w:line="295" w:lineRule="auto"/>
        <w:tabs>
          <w:tab w:leader="none" w:pos="483" w:val="left"/>
        </w:tabs>
        <w:numPr>
          <w:ilvl w:val="0"/>
          <w:numId w:val="26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3"/>
          <w:szCs w:val="13"/>
          <w:color w:val="auto"/>
        </w:rPr>
      </w:pPr>
    </w:p>
    <w:p>
      <w:pPr>
        <w:ind w:left="240" w:right="460" w:firstLine="3"/>
        <w:spacing w:after="0" w:line="295" w:lineRule="auto"/>
        <w:tabs>
          <w:tab w:leader="none" w:pos="483" w:val="left"/>
        </w:tabs>
        <w:numPr>
          <w:ilvl w:val="0"/>
          <w:numId w:val="26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3"/>
          <w:szCs w:val="13"/>
          <w:color w:val="auto"/>
        </w:rPr>
      </w:pPr>
    </w:p>
    <w:p>
      <w:pPr>
        <w:ind w:left="480" w:hanging="237"/>
        <w:spacing w:after="0"/>
        <w:tabs>
          <w:tab w:leader="none" w:pos="48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22" w:lineRule="exact"/>
        <w:rPr>
          <w:rFonts w:ascii="Arial" w:cs="Arial" w:eastAsia="Arial" w:hAnsi="Arial"/>
          <w:sz w:val="13"/>
          <w:szCs w:val="13"/>
          <w:color w:val="auto"/>
        </w:rPr>
      </w:pPr>
    </w:p>
    <w:p>
      <w:pPr>
        <w:ind w:left="240"/>
        <w:spacing w:after="0"/>
        <w:rPr>
          <w:rFonts w:ascii="Arial" w:cs="Arial" w:eastAsia="Arial" w:hAnsi="Arial"/>
          <w:sz w:val="13"/>
          <w:szCs w:val="13"/>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123" w:lineRule="exact"/>
        <w:rPr>
          <w:rFonts w:ascii="Arial" w:cs="Arial" w:eastAsia="Arial" w:hAnsi="Arial"/>
          <w:sz w:val="13"/>
          <w:szCs w:val="13"/>
          <w:color w:val="auto"/>
        </w:rPr>
      </w:pPr>
    </w:p>
    <w:p>
      <w:pPr>
        <w:ind w:left="980" w:right="160" w:hanging="252"/>
        <w:spacing w:after="0" w:line="277" w:lineRule="auto"/>
        <w:tabs>
          <w:tab w:leader="none" w:pos="98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3"/>
          <w:szCs w:val="13"/>
          <w:color w:val="auto"/>
        </w:rPr>
      </w:pPr>
    </w:p>
    <w:p>
      <w:pPr>
        <w:jc w:val="both"/>
        <w:ind w:left="980" w:right="160" w:hanging="252"/>
        <w:spacing w:after="0" w:line="277" w:lineRule="auto"/>
        <w:tabs>
          <w:tab w:leader="none" w:pos="98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8" w:lineRule="exact"/>
        <w:rPr>
          <w:rFonts w:ascii="Arial" w:cs="Arial" w:eastAsia="Arial" w:hAnsi="Arial"/>
          <w:sz w:val="13"/>
          <w:szCs w:val="13"/>
          <w:color w:val="auto"/>
        </w:rPr>
      </w:pPr>
    </w:p>
    <w:p>
      <w:pPr>
        <w:ind w:left="980" w:right="340" w:hanging="252"/>
        <w:spacing w:after="0" w:line="295" w:lineRule="auto"/>
        <w:tabs>
          <w:tab w:leader="none" w:pos="98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3"/>
          <w:szCs w:val="13"/>
          <w:color w:val="auto"/>
        </w:rPr>
      </w:pPr>
    </w:p>
    <w:p>
      <w:pPr>
        <w:ind w:left="980" w:hanging="252"/>
        <w:spacing w:after="0" w:line="277" w:lineRule="auto"/>
        <w:tabs>
          <w:tab w:leader="none" w:pos="98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3"/>
          <w:szCs w:val="13"/>
          <w:color w:val="auto"/>
        </w:rPr>
      </w:pPr>
    </w:p>
    <w:p>
      <w:pPr>
        <w:ind w:left="240" w:right="20" w:firstLine="3"/>
        <w:spacing w:after="0" w:line="295" w:lineRule="auto"/>
        <w:tabs>
          <w:tab w:leader="none" w:pos="483"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7" w:lineRule="exact"/>
        <w:rPr>
          <w:rFonts w:ascii="Arial" w:cs="Arial" w:eastAsia="Arial" w:hAnsi="Arial"/>
          <w:sz w:val="13"/>
          <w:szCs w:val="13"/>
          <w:color w:val="auto"/>
        </w:rPr>
      </w:pPr>
    </w:p>
    <w:p>
      <w:pPr>
        <w:ind w:left="980" w:right="200" w:hanging="252"/>
        <w:spacing w:after="0" w:line="295" w:lineRule="auto"/>
        <w:tabs>
          <w:tab w:leader="none" w:pos="98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13"/>
          <w:szCs w:val="13"/>
          <w:color w:val="auto"/>
        </w:rPr>
      </w:pPr>
    </w:p>
    <w:p>
      <w:pPr>
        <w:ind w:left="980" w:hanging="252"/>
        <w:spacing w:after="0"/>
        <w:tabs>
          <w:tab w:leader="none" w:pos="98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02755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2027555" cy="635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Timothy J. O’Shaughnessy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August 2, 2023</w:t>
      </w:r>
    </w:p>
    <w:p>
      <w:pPr>
        <w:sectPr>
          <w:pgSz w:w="11900" w:h="16838" w:orient="portrait"/>
          <w:cols w:equalWidth="0" w:num="1">
            <w:col w:w="11280"/>
          </w:cols>
          <w:pgMar w:left="300" w:top="897"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RULE 13a-14(a)/15d-14(a) CERTIFICATION OF THE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 SECTION 302 OF THE SARBANES-OXLEY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 Wallace R. Cooney, Chief Financial Officer (principal financial officer) of Graham Holdings Company (the “Registrant”), certify that:</w:t>
      </w:r>
    </w:p>
    <w:p>
      <w:pPr>
        <w:spacing w:after="0" w:line="133" w:lineRule="exact"/>
        <w:rPr>
          <w:sz w:val="20"/>
          <w:szCs w:val="20"/>
          <w:color w:val="auto"/>
        </w:rPr>
      </w:pPr>
    </w:p>
    <w:p>
      <w:pPr>
        <w:ind w:left="480" w:hanging="237"/>
        <w:spacing w:after="0"/>
        <w:tabs>
          <w:tab w:leader="none" w:pos="48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the Registrant;</w:t>
      </w:r>
    </w:p>
    <w:p>
      <w:pPr>
        <w:spacing w:after="0" w:line="133" w:lineRule="exact"/>
        <w:rPr>
          <w:rFonts w:ascii="Arial" w:cs="Arial" w:eastAsia="Arial" w:hAnsi="Arial"/>
          <w:sz w:val="13"/>
          <w:szCs w:val="13"/>
          <w:color w:val="auto"/>
        </w:rPr>
      </w:pPr>
    </w:p>
    <w:p>
      <w:pPr>
        <w:ind w:left="240" w:right="180" w:firstLine="3"/>
        <w:spacing w:after="0" w:line="295" w:lineRule="auto"/>
        <w:tabs>
          <w:tab w:leader="none" w:pos="483" w:val="left"/>
        </w:tabs>
        <w:numPr>
          <w:ilvl w:val="0"/>
          <w:numId w:val="26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3"/>
          <w:szCs w:val="13"/>
          <w:color w:val="auto"/>
        </w:rPr>
      </w:pPr>
    </w:p>
    <w:p>
      <w:pPr>
        <w:ind w:left="240" w:right="460" w:firstLine="3"/>
        <w:spacing w:after="0" w:line="295" w:lineRule="auto"/>
        <w:tabs>
          <w:tab w:leader="none" w:pos="483" w:val="left"/>
        </w:tabs>
        <w:numPr>
          <w:ilvl w:val="0"/>
          <w:numId w:val="26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3"/>
          <w:szCs w:val="13"/>
          <w:color w:val="auto"/>
        </w:rPr>
      </w:pPr>
    </w:p>
    <w:p>
      <w:pPr>
        <w:ind w:left="480" w:hanging="237"/>
        <w:spacing w:after="0"/>
        <w:tabs>
          <w:tab w:leader="none" w:pos="48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22" w:lineRule="exact"/>
        <w:rPr>
          <w:rFonts w:ascii="Arial" w:cs="Arial" w:eastAsia="Arial" w:hAnsi="Arial"/>
          <w:sz w:val="13"/>
          <w:szCs w:val="13"/>
          <w:color w:val="auto"/>
        </w:rPr>
      </w:pPr>
    </w:p>
    <w:p>
      <w:pPr>
        <w:ind w:left="240"/>
        <w:spacing w:after="0"/>
        <w:rPr>
          <w:rFonts w:ascii="Arial" w:cs="Arial" w:eastAsia="Arial" w:hAnsi="Arial"/>
          <w:sz w:val="13"/>
          <w:szCs w:val="13"/>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123" w:lineRule="exact"/>
        <w:rPr>
          <w:rFonts w:ascii="Arial" w:cs="Arial" w:eastAsia="Arial" w:hAnsi="Arial"/>
          <w:sz w:val="13"/>
          <w:szCs w:val="13"/>
          <w:color w:val="auto"/>
        </w:rPr>
      </w:pPr>
    </w:p>
    <w:p>
      <w:pPr>
        <w:ind w:left="980" w:right="160" w:hanging="252"/>
        <w:spacing w:after="0" w:line="277" w:lineRule="auto"/>
        <w:tabs>
          <w:tab w:leader="none" w:pos="98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3"/>
          <w:szCs w:val="13"/>
          <w:color w:val="auto"/>
        </w:rPr>
      </w:pPr>
    </w:p>
    <w:p>
      <w:pPr>
        <w:jc w:val="both"/>
        <w:ind w:left="980" w:right="160" w:hanging="252"/>
        <w:spacing w:after="0" w:line="277" w:lineRule="auto"/>
        <w:tabs>
          <w:tab w:leader="none" w:pos="98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8" w:lineRule="exact"/>
        <w:rPr>
          <w:rFonts w:ascii="Arial" w:cs="Arial" w:eastAsia="Arial" w:hAnsi="Arial"/>
          <w:sz w:val="13"/>
          <w:szCs w:val="13"/>
          <w:color w:val="auto"/>
        </w:rPr>
      </w:pPr>
    </w:p>
    <w:p>
      <w:pPr>
        <w:ind w:left="980" w:right="340" w:hanging="252"/>
        <w:spacing w:after="0" w:line="295" w:lineRule="auto"/>
        <w:tabs>
          <w:tab w:leader="none" w:pos="98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3"/>
          <w:szCs w:val="13"/>
          <w:color w:val="auto"/>
        </w:rPr>
      </w:pPr>
    </w:p>
    <w:p>
      <w:pPr>
        <w:ind w:left="980" w:hanging="252"/>
        <w:spacing w:after="0" w:line="277" w:lineRule="auto"/>
        <w:tabs>
          <w:tab w:leader="none" w:pos="98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3"/>
          <w:szCs w:val="13"/>
          <w:color w:val="auto"/>
        </w:rPr>
      </w:pPr>
    </w:p>
    <w:p>
      <w:pPr>
        <w:ind w:left="240" w:right="20" w:firstLine="3"/>
        <w:spacing w:after="0" w:line="295" w:lineRule="auto"/>
        <w:tabs>
          <w:tab w:leader="none" w:pos="483" w:val="left"/>
        </w:tabs>
        <w:numPr>
          <w:ilvl w:val="0"/>
          <w:numId w:val="26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7" w:lineRule="exact"/>
        <w:rPr>
          <w:rFonts w:ascii="Arial" w:cs="Arial" w:eastAsia="Arial" w:hAnsi="Arial"/>
          <w:sz w:val="13"/>
          <w:szCs w:val="13"/>
          <w:color w:val="auto"/>
        </w:rPr>
      </w:pPr>
    </w:p>
    <w:p>
      <w:pPr>
        <w:ind w:left="980" w:right="200" w:hanging="252"/>
        <w:spacing w:after="0" w:line="295" w:lineRule="auto"/>
        <w:tabs>
          <w:tab w:leader="none" w:pos="98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13"/>
          <w:szCs w:val="13"/>
          <w:color w:val="auto"/>
        </w:rPr>
      </w:pPr>
    </w:p>
    <w:p>
      <w:pPr>
        <w:ind w:left="980" w:hanging="252"/>
        <w:spacing w:after="0"/>
        <w:tabs>
          <w:tab w:leader="none" w:pos="98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02755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2027555" cy="635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Wallace R. Cooney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August 2, 2023</w:t>
      </w:r>
    </w:p>
    <w:p>
      <w:pPr>
        <w:sectPr>
          <w:pgSz w:w="11900" w:h="16838" w:orient="portrait"/>
          <w:cols w:equalWidth="0" w:num="1">
            <w:col w:w="11280"/>
          </w:cols>
          <w:pgMar w:left="300" w:top="897"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3"/>
          <w:szCs w:val="13"/>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1350 CERTIFICATION OF THE CHIEF EXECUTIVE OFFICER AND THE CHIEF FINANCIAL</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ADOPTED PURSUANT TO SECTION 906 OF THE SARBANES-OXLEY ACT OF 2002</w:t>
      </w:r>
    </w:p>
    <w:p>
      <w:pPr>
        <w:spacing w:after="0" w:line="123"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color w:val="auto"/>
        </w:rPr>
        <w:t>In connection with the Quarterly Report of Graham Holdings Company (the “Company”) on Form 10-Q for the period ended June 30, 2023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89" w:lineRule="exact"/>
        <w:rPr>
          <w:sz w:val="20"/>
          <w:szCs w:val="20"/>
          <w:color w:val="auto"/>
        </w:rPr>
      </w:pPr>
    </w:p>
    <w:p>
      <w:pPr>
        <w:ind w:left="240" w:hanging="239"/>
        <w:spacing w:after="0"/>
        <w:tabs>
          <w:tab w:leader="none" w:pos="240" w:val="left"/>
        </w:tabs>
        <w:numPr>
          <w:ilvl w:val="0"/>
          <w:numId w:val="26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33" w:lineRule="exact"/>
        <w:rPr>
          <w:rFonts w:ascii="Arial" w:cs="Arial" w:eastAsia="Arial" w:hAnsi="Arial"/>
          <w:sz w:val="13"/>
          <w:szCs w:val="13"/>
          <w:color w:val="auto"/>
        </w:rPr>
      </w:pPr>
    </w:p>
    <w:p>
      <w:pPr>
        <w:ind w:left="240" w:hanging="239"/>
        <w:spacing w:after="0"/>
        <w:tabs>
          <w:tab w:leader="none" w:pos="240" w:val="left"/>
        </w:tabs>
        <w:numPr>
          <w:ilvl w:val="0"/>
          <w:numId w:val="26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02755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2027555" cy="635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Timothy J. O’Shaughnessy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August 2, 2023</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02755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2027555" cy="635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Wallace R. Cooney</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August 2, 2023</w:t>
      </w:r>
    </w:p>
    <w:sectPr>
      <w:pgSz w:w="11900" w:h="16838" w:orient="portrait"/>
      <w:cols w:equalWidth="0" w:num="1">
        <w:col w:w="11280"/>
      </w:cols>
      <w:pgMar w:left="300" w:top="89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1)"/>
      <w:numFmt w:val="decimal"/>
      <w:start w:val="1"/>
    </w:lvl>
  </w:abstractNum>
  <w:abstractNum w:abstractNumId="3">
    <w:nsid w:val="2E48F044"/>
    <w:multiLevelType w:val="hybridMultilevel"/>
    <w:lvl w:ilvl="0">
      <w:lvlJc w:val="left"/>
      <w:lvlText w:val="(%1)"/>
      <w:numFmt w:val="decimal"/>
      <w:start w:val="1"/>
    </w:lvl>
  </w:abstractNum>
  <w:abstractNum w:abstractNumId="4">
    <w:nsid w:val="49D0FEAC"/>
    <w:multiLevelType w:val="hybridMultilevel"/>
    <w:lvl w:ilvl="0">
      <w:lvlJc w:val="left"/>
      <w:lvlText w:val="(%1)"/>
      <w:numFmt w:val="decimal"/>
      <w:start w:val="1"/>
    </w:lvl>
  </w:abstractNum>
  <w:abstractNum w:abstractNumId="5">
    <w:nsid w:val="4BEE5A5B"/>
    <w:multiLevelType w:val="hybridMultilevel"/>
    <w:lvl w:ilvl="0">
      <w:lvlJc w:val="left"/>
      <w:lvlText w:val="(%1)"/>
      <w:numFmt w:val="decimal"/>
      <w:start w:val="1"/>
    </w:lvl>
  </w:abstractNum>
  <w:abstractNum w:abstractNumId="6">
    <w:nsid w:val="5551B9F3"/>
    <w:multiLevelType w:val="hybridMultilevel"/>
    <w:lvl w:ilvl="0">
      <w:lvlJc w:val="left"/>
      <w:lvlText w:val="(%1)"/>
      <w:numFmt w:val="decimal"/>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1)"/>
      <w:numFmt w:val="decimal"/>
      <w:start w:val="1"/>
    </w:lvl>
  </w:abstractNum>
  <w:abstractNum w:abstractNumId="12">
    <w:nsid w:val="7DFF9D09"/>
    <w:multiLevelType w:val="hybridMultilevel"/>
    <w:lvl w:ilvl="0">
      <w:lvlJc w:val="left"/>
      <w:lvlText w:val="%1"/>
      <w:numFmt w:val="decimal"/>
      <w:start w:val="32"/>
    </w:lvl>
  </w:abstractNum>
  <w:abstractNum w:abstractNumId="13">
    <w:nsid w:val="754342"/>
    <w:multiLevelType w:val="hybridMultilevel"/>
    <w:lvl w:ilvl="0">
      <w:lvlJc w:val="left"/>
      <w:lvlText w:val="*"/>
      <w:numFmt w:val="bullet"/>
      <w:start w:val="1"/>
    </w:lvl>
    <w:lvl w:ilvl="1">
      <w:lvlJc w:val="left"/>
      <w:lvlText w:val="%2"/>
      <w:numFmt w:val="decimal"/>
      <w:start w:val="104"/>
    </w:lvl>
  </w:abstractNum>
  <w:abstractNum w:abstractNumId="14">
    <w:nsid w:val="69E7F3E5"/>
    <w:multiLevelType w:val="hybridMultilevel"/>
    <w:lvl w:ilvl="0">
      <w:lvlJc w:val="left"/>
      <w:lvlText w:val="(%1)"/>
      <w:numFmt w:val="lowerLetter"/>
      <w:start w:val="1"/>
    </w:lvl>
  </w:abstractNum>
  <w:abstractNum w:abstractNumId="15">
    <w:nsid w:val="2A6DE806"/>
    <w:multiLevelType w:val="hybridMultilevel"/>
    <w:lvl w:ilvl="0">
      <w:lvlJc w:val="left"/>
      <w:lvlText w:val="(%1)"/>
      <w:numFmt w:val="lowerLetter"/>
      <w:start w:val="3"/>
    </w:lvl>
  </w:abstractNum>
  <w:abstractNum w:abstractNumId="16">
    <w:nsid w:val="1816F8C4"/>
    <w:multiLevelType w:val="hybridMultilevel"/>
    <w:lvl w:ilvl="0">
      <w:lvlJc w:val="left"/>
      <w:lvlText w:val="(%1)"/>
      <w:numFmt w:val="lowerLetter"/>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1)"/>
      <w:numFmt w:val="lowerLetter"/>
      <w:start w:val="1"/>
    </w:lvl>
  </w:abstractNum>
  <w:abstractNum w:abstractNumId="19">
    <w:nsid w:val="759F82CD"/>
    <w:multiLevelType w:val="hybridMultilevel"/>
    <w:lvl w:ilvl="0">
      <w:lvlJc w:val="left"/>
      <w:lvlText w:val="%1"/>
      <w:numFmt w:val="upperLetter"/>
      <w:start w:val="35"/>
    </w:lvl>
  </w:abstractNum>
  <w:abstractNum w:abstractNumId="20">
    <w:nsid w:val="61E74EA3"/>
    <w:multiLevelType w:val="hybridMultilevel"/>
    <w:lvl w:ilvl="0">
      <w:lvlJc w:val="left"/>
      <w:lvlText w:val="(%1)"/>
      <w:numFmt w:val="upperLetter"/>
      <w:start w:val="1"/>
    </w:lvl>
  </w:abstractNum>
  <w:abstractNum w:abstractNumId="21">
    <w:nsid w:val="597B4D84"/>
    <w:multiLevelType w:val="hybridMultilevel"/>
    <w:lvl w:ilvl="0">
      <w:lvlJc w:val="left"/>
      <w:lvlText w:val="(%1)"/>
      <w:numFmt w:val="lowerLetter"/>
      <w:start w:val="1"/>
    </w:lvl>
  </w:abstractNum>
  <w:abstractNum w:abstractNumId="22">
    <w:nsid w:val="F819E7F"/>
    <w:multiLevelType w:val="hybridMultilevel"/>
    <w:lvl w:ilvl="0">
      <w:lvlJc w:val="left"/>
      <w:lvlText w:val="(%1)"/>
      <w:numFmt w:val="lowerLetter"/>
      <w:start w:val="1"/>
    </w:lvl>
  </w:abstractNum>
  <w:abstractNum w:abstractNumId="23">
    <w:nsid w:val="57C7D42D"/>
    <w:multiLevelType w:val="hybridMultilevel"/>
    <w:lvl w:ilvl="0">
      <w:lvlJc w:val="left"/>
      <w:lvlText w:val="(%1)"/>
      <w:numFmt w:val="lowerLetter"/>
      <w:start w:val="3"/>
    </w:lvl>
  </w:abstractNum>
  <w:abstractNum w:abstractNumId="24">
    <w:nsid w:val="312167AD"/>
    <w:multiLevelType w:val="hybridMultilevel"/>
    <w:lvl w:ilvl="0">
      <w:lvlJc w:val="left"/>
      <w:lvlText w:val="(%1)"/>
      <w:numFmt w:val="lowerLetter"/>
      <w:start w:val="1"/>
    </w:lvl>
  </w:abstractNum>
  <w:abstractNum w:abstractNumId="25">
    <w:nsid w:val="631B64D4"/>
    <w:multiLevelType w:val="hybridMultilevel"/>
    <w:lvl w:ilvl="0">
      <w:lvlJc w:val="left"/>
      <w:lvlText w:val="(%1)"/>
      <w:numFmt w:val="lowerRoman"/>
      <w:start w:val="5"/>
    </w:lvl>
  </w:abstractNum>
  <w:abstractNum w:abstractNumId="26">
    <w:nsid w:val="78B5E776"/>
    <w:multiLevelType w:val="hybridMultilevel"/>
    <w:lvl w:ilvl="0">
      <w:lvlJc w:val="left"/>
      <w:lvlText w:val="(%1)"/>
      <w:numFmt w:val="lowerRoman"/>
      <w:start w:val="5"/>
    </w:lvl>
  </w:abstractNum>
  <w:abstractNum w:abstractNumId="27">
    <w:nsid w:val="75486E47"/>
    <w:multiLevelType w:val="hybridMultilevel"/>
    <w:lvl w:ilvl="0">
      <w:lvlJc w:val="left"/>
      <w:lvlText w:val="%1"/>
      <w:numFmt w:val="upperLetter"/>
      <w:start w:val="1"/>
    </w:lvl>
    <w:lvl w:ilvl="1">
      <w:lvlJc w:val="left"/>
      <w:lvlText w:val="(%2)"/>
      <w:numFmt w:val="lowerLetter"/>
      <w:start w:val="1"/>
    </w:lvl>
  </w:abstractNum>
  <w:abstractNum w:abstractNumId="28">
    <w:nsid w:val="6E534CDE"/>
    <w:multiLevelType w:val="hybridMultilevel"/>
    <w:lvl w:ilvl="0">
      <w:lvlJc w:val="left"/>
      <w:lvlText w:val="(%1)"/>
      <w:numFmt w:val="upperLetter"/>
      <w:start w:val="1"/>
    </w:lvl>
    <w:lvl w:ilvl="1">
      <w:lvlJc w:val="left"/>
      <w:lvlText w:val="%2"/>
      <w:numFmt w:val="lowerLetter"/>
      <w:start w:val="1"/>
    </w:lvl>
  </w:abstractNum>
  <w:abstractNum w:abstractNumId="29">
    <w:nsid w:val="1A0DDE32"/>
    <w:multiLevelType w:val="hybridMultilevel"/>
    <w:lvl w:ilvl="0">
      <w:lvlJc w:val="left"/>
      <w:lvlText w:val="%1"/>
      <w:numFmt w:val="decimal"/>
      <w:start w:val="1"/>
    </w:lvl>
    <w:lvl w:ilvl="1">
      <w:lvlJc w:val="left"/>
      <w:lvlText w:val="(%2)"/>
      <w:numFmt w:val="lowerLetter"/>
      <w:start w:val="2"/>
    </w:lvl>
  </w:abstractNum>
  <w:abstractNum w:abstractNumId="30">
    <w:nsid w:val="65968C1C"/>
    <w:multiLevelType w:val="hybridMultilevel"/>
    <w:lvl w:ilvl="0">
      <w:lvlJc w:val="left"/>
      <w:lvlText w:val="(%1)"/>
      <w:numFmt w:val="decimal"/>
      <w:start w:val="3"/>
    </w:lvl>
    <w:lvl w:ilvl="1">
      <w:lvlJc w:val="left"/>
      <w:lvlText w:val="%2"/>
      <w:numFmt w:val="lowerLetter"/>
      <w:start w:val="1"/>
    </w:lvl>
  </w:abstractNum>
  <w:abstractNum w:abstractNumId="31">
    <w:nsid w:val="46263DEC"/>
    <w:multiLevelType w:val="hybridMultilevel"/>
    <w:lvl w:ilvl="0">
      <w:lvlJc w:val="left"/>
      <w:lvlText w:val="(%1)"/>
      <w:numFmt w:val="lowerRoman"/>
      <w:start w:val="1"/>
    </w:lvl>
  </w:abstractNum>
  <w:abstractNum w:abstractNumId="32">
    <w:nsid w:val="260D8C4A"/>
    <w:multiLevelType w:val="hybridMultilevel"/>
    <w:lvl w:ilvl="0">
      <w:lvlJc w:val="left"/>
      <w:lvlText w:val="(%1)"/>
      <w:numFmt w:val="decimal"/>
      <w:start w:val="2"/>
    </w:lvl>
  </w:abstractNum>
  <w:abstractNum w:abstractNumId="33">
    <w:nsid w:val="73D4D3C4"/>
    <w:multiLevelType w:val="hybridMultilevel"/>
    <w:lvl w:ilvl="0">
      <w:lvlJc w:val="left"/>
      <w:lvlText w:val="%1"/>
      <w:numFmt w:val="lowerLetter"/>
      <w:start w:val="1"/>
    </w:lvl>
    <w:lvl w:ilvl="1">
      <w:lvlJc w:val="left"/>
      <w:lvlText w:val="(%2)"/>
      <w:numFmt w:val="lowerLetter"/>
      <w:start w:val="1"/>
    </w:lvl>
  </w:abstractNum>
  <w:abstractNum w:abstractNumId="34">
    <w:nsid w:val="746F2E30"/>
    <w:multiLevelType w:val="hybridMultilevel"/>
    <w:lvl w:ilvl="0">
      <w:lvlJc w:val="left"/>
      <w:lvlText w:val="(%1)"/>
      <w:numFmt w:val="lowerLetter"/>
      <w:start w:val="1"/>
    </w:lvl>
    <w:lvl w:ilvl="1">
      <w:lvlJc w:val="left"/>
      <w:lvlText w:val="%2"/>
      <w:numFmt w:val="lowerLetter"/>
      <w:start w:val="1"/>
    </w:lvl>
  </w:abstractNum>
  <w:abstractNum w:abstractNumId="35">
    <w:nsid w:val="6FDE8AF6"/>
    <w:multiLevelType w:val="hybridMultilevel"/>
    <w:lvl w:ilvl="0">
      <w:lvlJc w:val="left"/>
      <w:lvlText w:val="(%1)"/>
      <w:numFmt w:val="lowerLetter"/>
      <w:start w:val="3"/>
    </w:lvl>
  </w:abstractNum>
  <w:abstractNum w:abstractNumId="36">
    <w:nsid w:val="3FC32E20"/>
    <w:multiLevelType w:val="hybridMultilevel"/>
    <w:lvl w:ilvl="0">
      <w:lvlJc w:val="left"/>
      <w:lvlText w:val="(%1)"/>
      <w:numFmt w:val="lowerLetter"/>
      <w:start w:val="1"/>
    </w:lvl>
  </w:abstractNum>
  <w:abstractNum w:abstractNumId="37">
    <w:nsid w:val="49C0E823"/>
    <w:multiLevelType w:val="hybridMultilevel"/>
    <w:lvl w:ilvl="0">
      <w:lvlJc w:val="left"/>
      <w:lvlText w:val="(%1)"/>
      <w:numFmt w:val="lowerLetter"/>
      <w:start w:val="1"/>
    </w:lvl>
  </w:abstractNum>
  <w:abstractNum w:abstractNumId="38">
    <w:nsid w:val="14D53685"/>
    <w:multiLevelType w:val="hybridMultilevel"/>
    <w:lvl w:ilvl="0">
      <w:lvlJc w:val="left"/>
      <w:lvlText w:val="(%1)"/>
      <w:numFmt w:val="lowerLetter"/>
      <w:start w:val="6"/>
    </w:lvl>
  </w:abstractNum>
  <w:abstractNum w:abstractNumId="39">
    <w:nsid w:val="230F856C"/>
    <w:multiLevelType w:val="hybridMultilevel"/>
    <w:lvl w:ilvl="0">
      <w:lvlJc w:val="left"/>
      <w:lvlText w:val="(%1)"/>
      <w:numFmt w:val="lowerLetter"/>
      <w:start w:val="1"/>
    </w:lvl>
  </w:abstractNum>
  <w:abstractNum w:abstractNumId="40">
    <w:nsid w:val="6EAA85FB"/>
    <w:multiLevelType w:val="hybridMultilevel"/>
    <w:lvl w:ilvl="0">
      <w:lvlJc w:val="left"/>
      <w:lvlText w:val="(%1)"/>
      <w:numFmt w:val="upperLetter"/>
      <w:start w:val="1"/>
    </w:lvl>
  </w:abstractNum>
  <w:abstractNum w:abstractNumId="41">
    <w:nsid w:val="3F06ECB2"/>
    <w:multiLevelType w:val="hybridMultilevel"/>
    <w:lvl w:ilvl="0">
      <w:lvlJc w:val="left"/>
      <w:lvlText w:val="(%1)"/>
      <w:numFmt w:val="lowerLetter"/>
      <w:start w:val="35"/>
    </w:lvl>
  </w:abstractNum>
  <w:abstractNum w:abstractNumId="42">
    <w:nsid w:val="3B594807"/>
    <w:multiLevelType w:val="hybridMultilevel"/>
    <w:lvl w:ilvl="0">
      <w:lvlJc w:val="left"/>
      <w:lvlText w:val="(%1)"/>
      <w:numFmt w:val="lowerLetter"/>
      <w:start w:val="2"/>
    </w:lvl>
  </w:abstractNum>
  <w:abstractNum w:abstractNumId="43">
    <w:nsid w:val="6CAA2304"/>
    <w:multiLevelType w:val="hybridMultilevel"/>
    <w:lvl w:ilvl="0">
      <w:lvlJc w:val="left"/>
      <w:lvlText w:val="(%1)"/>
      <w:numFmt w:val="lowerRoman"/>
      <w:start w:val="1"/>
    </w:lvl>
  </w:abstractNum>
  <w:abstractNum w:abstractNumId="44">
    <w:nsid w:val="3F7C2FF4"/>
    <w:multiLevelType w:val="hybridMultilevel"/>
    <w:lvl w:ilvl="0">
      <w:lvlJc w:val="left"/>
      <w:lvlText w:val="(%1)"/>
      <w:numFmt w:val="lowerRoman"/>
      <w:start w:val="3"/>
    </w:lvl>
  </w:abstractNum>
  <w:abstractNum w:abstractNumId="45">
    <w:nsid w:val="25413BEC"/>
    <w:multiLevelType w:val="hybridMultilevel"/>
    <w:lvl w:ilvl="0">
      <w:lvlJc w:val="left"/>
      <w:lvlText w:val="(%1)"/>
      <w:numFmt w:val="lowerLetter"/>
      <w:start w:val="1"/>
    </w:lvl>
  </w:abstractNum>
  <w:abstractNum w:abstractNumId="46">
    <w:nsid w:val="17180B0B"/>
    <w:multiLevelType w:val="hybridMultilevel"/>
    <w:lvl w:ilvl="0">
      <w:lvlJc w:val="left"/>
      <w:lvlText w:val="(%1)"/>
      <w:numFmt w:val="lowerLetter"/>
      <w:start w:val="1"/>
    </w:lvl>
  </w:abstractNum>
  <w:abstractNum w:abstractNumId="47">
    <w:nsid w:val="579328B9"/>
    <w:multiLevelType w:val="hybridMultilevel"/>
    <w:lvl w:ilvl="0">
      <w:lvlJc w:val="left"/>
      <w:lvlText w:val="(%1)"/>
      <w:numFmt w:val="lowerRoman"/>
      <w:start w:val="2"/>
    </w:lvl>
  </w:abstractNum>
  <w:abstractNum w:abstractNumId="48">
    <w:nsid w:val="5D205E20"/>
    <w:multiLevelType w:val="hybridMultilevel"/>
    <w:lvl w:ilvl="0">
      <w:lvlJc w:val="left"/>
      <w:lvlText w:val="(%1)"/>
      <w:numFmt w:val="lowerLetter"/>
      <w:start w:val="2"/>
    </w:lvl>
  </w:abstractNum>
  <w:abstractNum w:abstractNumId="49">
    <w:nsid w:val="11CCA8BA"/>
    <w:multiLevelType w:val="hybridMultilevel"/>
    <w:lvl w:ilvl="0">
      <w:lvlJc w:val="left"/>
      <w:lvlText w:val="."/>
      <w:numFmt w:val="bullet"/>
      <w:start w:val="1"/>
    </w:lvl>
  </w:abstractNum>
  <w:abstractNum w:abstractNumId="50">
    <w:nsid w:val="4D32AB86"/>
    <w:multiLevelType w:val="hybridMultilevel"/>
    <w:lvl w:ilvl="0">
      <w:lvlJc w:val="left"/>
      <w:lvlText w:val="."/>
      <w:numFmt w:val="bullet"/>
      <w:start w:val="1"/>
    </w:lvl>
  </w:abstractNum>
  <w:abstractNum w:abstractNumId="51">
    <w:nsid w:val="3F07ACC3"/>
    <w:multiLevelType w:val="hybridMultilevel"/>
    <w:lvl w:ilvl="0">
      <w:lvlJc w:val="left"/>
      <w:lvlText w:val="."/>
      <w:numFmt w:val="bullet"/>
      <w:start w:val="1"/>
    </w:lvl>
  </w:abstractNum>
  <w:abstractNum w:abstractNumId="52">
    <w:nsid w:val="6B47F63E"/>
    <w:multiLevelType w:val="hybridMultilevel"/>
    <w:lvl w:ilvl="0">
      <w:lvlJc w:val="left"/>
      <w:lvlText w:val="(%1)"/>
      <w:numFmt w:val="lowerLetter"/>
      <w:start w:val="1"/>
    </w:lvl>
  </w:abstractNum>
  <w:abstractNum w:abstractNumId="53">
    <w:nsid w:val="5CB44A05"/>
    <w:multiLevelType w:val="hybridMultilevel"/>
    <w:lvl w:ilvl="0">
      <w:lvlJc w:val="left"/>
      <w:lvlText w:val="(%1)"/>
      <w:numFmt w:val="lowerLetter"/>
      <w:start w:val="5"/>
    </w:lvl>
  </w:abstractNum>
  <w:abstractNum w:abstractNumId="54">
    <w:nsid w:val="16CF80F1"/>
    <w:multiLevelType w:val="hybridMultilevel"/>
    <w:lvl w:ilvl="0">
      <w:lvlJc w:val="left"/>
      <w:lvlText w:val="."/>
      <w:numFmt w:val="bullet"/>
      <w:start w:val="1"/>
    </w:lvl>
  </w:abstractNum>
  <w:abstractNum w:abstractNumId="55">
    <w:nsid w:val="1C695DEC"/>
    <w:multiLevelType w:val="hybridMultilevel"/>
    <w:lvl w:ilvl="0">
      <w:lvlJc w:val="left"/>
      <w:lvlText w:val="."/>
      <w:numFmt w:val="bullet"/>
      <w:start w:val="1"/>
    </w:lvl>
  </w:abstractNum>
  <w:abstractNum w:abstractNumId="56">
    <w:nsid w:val="3FCFAED9"/>
    <w:multiLevelType w:val="hybridMultilevel"/>
    <w:lvl w:ilvl="0">
      <w:lvlJc w:val="left"/>
      <w:lvlText w:val="."/>
      <w:numFmt w:val="bullet"/>
      <w:start w:val="1"/>
    </w:lvl>
  </w:abstractNum>
  <w:abstractNum w:abstractNumId="57">
    <w:nsid w:val="F856867"/>
    <w:multiLevelType w:val="hybridMultilevel"/>
    <w:lvl w:ilvl="0">
      <w:lvlJc w:val="left"/>
      <w:lvlText w:val="."/>
      <w:numFmt w:val="bullet"/>
      <w:start w:val="1"/>
    </w:lvl>
  </w:abstractNum>
  <w:abstractNum w:abstractNumId="58">
    <w:nsid w:val="11B1CC33"/>
    <w:multiLevelType w:val="hybridMultilevel"/>
    <w:lvl w:ilvl="0">
      <w:lvlJc w:val="left"/>
      <w:lvlText w:val="(%1)"/>
      <w:numFmt w:val="lowerLetter"/>
      <w:start w:val="1"/>
    </w:lvl>
  </w:abstractNum>
  <w:abstractNum w:abstractNumId="59">
    <w:nsid w:val="2E22FBB7"/>
    <w:multiLevelType w:val="hybridMultilevel"/>
    <w:lvl w:ilvl="0">
      <w:lvlJc w:val="left"/>
      <w:lvlText w:val="(%1)"/>
      <w:numFmt w:val="lowerLetter"/>
      <w:start w:val="1"/>
    </w:lvl>
  </w:abstractNum>
  <w:abstractNum w:abstractNumId="60">
    <w:nsid w:val="29934699"/>
    <w:multiLevelType w:val="hybridMultilevel"/>
    <w:lvl w:ilvl="0">
      <w:lvlJc w:val="left"/>
      <w:lvlText w:val="(%1)"/>
      <w:numFmt w:val="lowerLetter"/>
      <w:start w:val="2"/>
    </w:lvl>
  </w:abstractNum>
  <w:abstractNum w:abstractNumId="61">
    <w:nsid w:val="77485850"/>
    <w:multiLevelType w:val="hybridMultilevel"/>
    <w:lvl w:ilvl="0">
      <w:lvlJc w:val="left"/>
      <w:lvlText w:val="(%1)"/>
      <w:numFmt w:val="lowerLetter"/>
      <w:start w:val="1"/>
    </w:lvl>
  </w:abstractNum>
  <w:abstractNum w:abstractNumId="62">
    <w:nsid w:val="744939A3"/>
    <w:multiLevelType w:val="hybridMultilevel"/>
    <w:lvl w:ilvl="0">
      <w:lvlJc w:val="left"/>
      <w:lvlText w:val="(%1)"/>
      <w:numFmt w:val="lowerLetter"/>
      <w:start w:val="1"/>
    </w:lvl>
  </w:abstractNum>
  <w:abstractNum w:abstractNumId="63">
    <w:nsid w:val="4FA0D2E3"/>
    <w:multiLevelType w:val="hybridMultilevel"/>
    <w:lvl w:ilvl="0">
      <w:lvlJc w:val="left"/>
      <w:lvlText w:val="(%1)"/>
      <w:numFmt w:val="decimal"/>
      <w:start w:val="1"/>
    </w:lvl>
  </w:abstractNum>
  <w:abstractNum w:abstractNumId="64">
    <w:nsid w:val="6B1D2C14"/>
    <w:multiLevelType w:val="hybridMultilevel"/>
    <w:lvl w:ilvl="0">
      <w:lvlJc w:val="left"/>
      <w:lvlText w:val="(%1)"/>
      <w:numFmt w:val="decimal"/>
      <w:start w:val="3"/>
    </w:lvl>
  </w:abstractNum>
  <w:abstractNum w:abstractNumId="65">
    <w:nsid w:val="68B867D3"/>
    <w:multiLevelType w:val="hybridMultilevel"/>
    <w:lvl w:ilvl="0">
      <w:lvlJc w:val="left"/>
      <w:lvlText w:val="%1"/>
      <w:numFmt w:val="lowerLetter"/>
      <w:start w:val="1"/>
    </w:lvl>
    <w:lvl w:ilvl="1">
      <w:lvlJc w:val="left"/>
      <w:lvlText w:val="(%2)"/>
      <w:numFmt w:val="lowerLetter"/>
      <w:start w:val="35"/>
    </w:lvl>
  </w:abstractNum>
  <w:abstractNum w:abstractNumId="66">
    <w:nsid w:val="3F7F5DD9"/>
    <w:multiLevelType w:val="hybridMultilevel"/>
    <w:lvl w:ilvl="0">
      <w:lvlJc w:val="left"/>
      <w:lvlText w:val="(%1)"/>
      <w:numFmt w:val="lowerLetter"/>
      <w:start w:val="3"/>
    </w:lvl>
    <w:lvl w:ilvl="1">
      <w:lvlJc w:val="left"/>
      <w:lvlText w:val="%2"/>
      <w:numFmt w:val="lowerLetter"/>
      <w:start w:val="1"/>
    </w:lvl>
  </w:abstractNum>
  <w:abstractNum w:abstractNumId="67">
    <w:nsid w:val="2AE05A34"/>
    <w:multiLevelType w:val="hybridMultilevel"/>
    <w:lvl w:ilvl="0">
      <w:lvlJc w:val="left"/>
      <w:lvlText w:val="(%1)"/>
      <w:numFmt w:val="lowerLetter"/>
      <w:start w:val="4"/>
    </w:lvl>
  </w:abstractNum>
  <w:abstractNum w:abstractNumId="68">
    <w:nsid w:val="32794FF7"/>
    <w:multiLevelType w:val="hybridMultilevel"/>
    <w:lvl w:ilvl="0">
      <w:lvlJc w:val="left"/>
      <w:lvlText w:val="."/>
      <w:numFmt w:val="bullet"/>
      <w:start w:val="1"/>
    </w:lvl>
  </w:abstractNum>
  <w:abstractNum w:abstractNumId="69">
    <w:nsid w:val="5454945E"/>
    <w:multiLevelType w:val="hybridMultilevel"/>
    <w:lvl w:ilvl="0">
      <w:lvlJc w:val="left"/>
      <w:lvlText w:val="."/>
      <w:numFmt w:val="bullet"/>
      <w:start w:val="1"/>
    </w:lvl>
    <w:lvl w:ilvl="1">
      <w:lvlJc w:val="left"/>
      <w:lvlText w:val="(%2)"/>
      <w:numFmt w:val="lowerRoman"/>
      <w:start w:val="1"/>
    </w:lvl>
  </w:abstractNum>
  <w:abstractNum w:abstractNumId="70">
    <w:nsid w:val="4DEFDFA0"/>
    <w:multiLevelType w:val="hybridMultilevel"/>
    <w:lvl w:ilvl="0">
      <w:lvlJc w:val="left"/>
      <w:lvlText w:val="%1"/>
      <w:numFmt w:val="lowerLetter"/>
      <w:start w:val="1"/>
    </w:lvl>
    <w:lvl w:ilvl="1">
      <w:lvlJc w:val="left"/>
      <w:lvlText w:val="(%2)"/>
      <w:numFmt w:val="lowerLetter"/>
      <w:start w:val="2"/>
    </w:lvl>
  </w:abstractNum>
  <w:abstractNum w:abstractNumId="71">
    <w:nsid w:val="2123D5F2"/>
    <w:multiLevelType w:val="hybridMultilevel"/>
    <w:lvl w:ilvl="0">
      <w:lvlJc w:val="left"/>
      <w:lvlText w:val="(%1)"/>
      <w:numFmt w:val="lowerLetter"/>
      <w:start w:val="9"/>
    </w:lvl>
    <w:lvl w:ilvl="1">
      <w:lvlJc w:val="left"/>
      <w:lvlText w:val="(%2)"/>
      <w:numFmt w:val="lowerLetter"/>
      <w:start w:val="3"/>
    </w:lvl>
  </w:abstractNum>
  <w:abstractNum w:abstractNumId="72">
    <w:nsid w:val="135B8110"/>
    <w:multiLevelType w:val="hybridMultilevel"/>
    <w:lvl w:ilvl="0">
      <w:lvlJc w:val="left"/>
      <w:lvlText w:val="(%1)"/>
      <w:numFmt w:val="lowerLetter"/>
      <w:start w:val="1"/>
    </w:lvl>
  </w:abstractNum>
  <w:abstractNum w:abstractNumId="73">
    <w:nsid w:val="94927A8"/>
    <w:multiLevelType w:val="hybridMultilevel"/>
    <w:lvl w:ilvl="0">
      <w:lvlJc w:val="left"/>
      <w:lvlText w:val="(%1)"/>
      <w:numFmt w:val="lowerLetter"/>
      <w:start w:val="2"/>
    </w:lvl>
  </w:abstractNum>
  <w:abstractNum w:abstractNumId="74">
    <w:nsid w:val="DCDF8F6"/>
    <w:multiLevelType w:val="hybridMultilevel"/>
    <w:lvl w:ilvl="0">
      <w:lvlJc w:val="left"/>
      <w:lvlText w:val="(%1)"/>
      <w:numFmt w:val="lowerRoman"/>
      <w:start w:val="1"/>
    </w:lvl>
  </w:abstractNum>
  <w:abstractNum w:abstractNumId="75">
    <w:nsid w:val="52D7B105"/>
    <w:multiLevelType w:val="hybridMultilevel"/>
    <w:lvl w:ilvl="0">
      <w:lvlJc w:val="left"/>
      <w:lvlText w:val="."/>
      <w:numFmt w:val="bullet"/>
      <w:start w:val="1"/>
    </w:lvl>
  </w:abstractNum>
  <w:abstractNum w:abstractNumId="76">
    <w:nsid w:val="2E8A6394"/>
    <w:multiLevelType w:val="hybridMultilevel"/>
    <w:lvl w:ilvl="0">
      <w:lvlJc w:val="left"/>
      <w:lvlText w:val="(%1)"/>
      <w:numFmt w:val="lowerRoman"/>
    </w:lvl>
    <w:lvl w:ilvl="1">
      <w:lvlJc w:val="left"/>
      <w:lvlText w:val="."/>
      <w:numFmt w:val="bullet"/>
      <w:start w:val="1"/>
    </w:lvl>
  </w:abstractNum>
  <w:abstractNum w:abstractNumId="77">
    <w:nsid w:val="24E60401"/>
    <w:multiLevelType w:val="hybridMultilevel"/>
    <w:lvl w:ilvl="0">
      <w:lvlJc w:val="left"/>
      <w:lvlText w:val="(%1)"/>
      <w:numFmt w:val="lowerLetter"/>
      <w:start w:val="2"/>
    </w:lvl>
  </w:abstractNum>
  <w:abstractNum w:abstractNumId="78">
    <w:nsid w:val="2A6AD9BE"/>
    <w:multiLevelType w:val="hybridMultilevel"/>
    <w:lvl w:ilvl="0">
      <w:lvlJc w:val="left"/>
      <w:lvlText w:val="(%1)"/>
      <w:numFmt w:val="lowerLetter"/>
      <w:start w:val="1"/>
    </w:lvl>
    <w:lvl w:ilvl="1">
      <w:lvlJc w:val="left"/>
      <w:lvlText w:val="(%2)"/>
      <w:numFmt w:val="lowerRoman"/>
      <w:start w:val="1"/>
    </w:lvl>
  </w:abstractNum>
  <w:abstractNum w:abstractNumId="79">
    <w:nsid w:val="BAAC1B4"/>
    <w:multiLevelType w:val="hybridMultilevel"/>
    <w:lvl w:ilvl="0">
      <w:lvlJc w:val="left"/>
      <w:lvlText w:val="(%1)"/>
      <w:numFmt w:val="lowerLetter"/>
      <w:start w:val="2"/>
    </w:lvl>
  </w:abstractNum>
  <w:abstractNum w:abstractNumId="80">
    <w:nsid w:val="36B2ACBC"/>
    <w:multiLevelType w:val="hybridMultilevel"/>
    <w:lvl w:ilvl="0">
      <w:lvlJc w:val="left"/>
      <w:lvlText w:val="%1"/>
      <w:numFmt w:val="lowerLetter"/>
      <w:start w:val="1"/>
    </w:lvl>
    <w:lvl w:ilvl="1">
      <w:lvlJc w:val="left"/>
      <w:lvlText w:val="(%2)"/>
      <w:numFmt w:val="lowerLetter"/>
      <w:start w:val="3"/>
    </w:lvl>
  </w:abstractNum>
  <w:abstractNum w:abstractNumId="81">
    <w:nsid w:val="779D8544"/>
    <w:multiLevelType w:val="hybridMultilevel"/>
    <w:lvl w:ilvl="0">
      <w:lvlJc w:val="left"/>
      <w:lvlText w:val="(%1)"/>
      <w:numFmt w:val="lowerLetter"/>
      <w:start w:val="2"/>
    </w:lvl>
    <w:lvl w:ilvl="1">
      <w:lvlJc w:val="left"/>
      <w:lvlText w:val="(%2)"/>
      <w:numFmt w:val="lowerLetter"/>
      <w:start w:val="4"/>
    </w:lvl>
  </w:abstractNum>
  <w:abstractNum w:abstractNumId="82">
    <w:nsid w:val="4AB26E78"/>
    <w:multiLevelType w:val="hybridMultilevel"/>
    <w:lvl w:ilvl="0">
      <w:lvlJc w:val="left"/>
      <w:lvlText w:val="."/>
      <w:numFmt w:val="bullet"/>
      <w:start w:val="1"/>
    </w:lvl>
  </w:abstractNum>
  <w:abstractNum w:abstractNumId="83">
    <w:nsid w:val="21FAA2FA"/>
    <w:multiLevelType w:val="hybridMultilevel"/>
    <w:lvl w:ilvl="0">
      <w:lvlJc w:val="left"/>
      <w:lvlText w:val="(%1)"/>
      <w:numFmt w:val="lowerLetter"/>
      <w:start w:val="2"/>
    </w:lvl>
  </w:abstractNum>
  <w:abstractNum w:abstractNumId="84">
    <w:nsid w:val="5451CF49"/>
    <w:multiLevelType w:val="hybridMultilevel"/>
    <w:lvl w:ilvl="0">
      <w:lvlJc w:val="left"/>
      <w:lvlText w:val="."/>
      <w:numFmt w:val="bullet"/>
      <w:start w:val="1"/>
    </w:lvl>
  </w:abstractNum>
  <w:abstractNum w:abstractNumId="85">
    <w:nsid w:val="6181EF69"/>
    <w:multiLevelType w:val="hybridMultilevel"/>
    <w:lvl w:ilvl="0">
      <w:lvlJc w:val="left"/>
      <w:lvlText w:val="(%1)"/>
      <w:numFmt w:val="lowerLetter"/>
      <w:start w:val="2"/>
    </w:lvl>
  </w:abstractNum>
  <w:abstractNum w:abstractNumId="86">
    <w:nsid w:val="3E6400E6"/>
    <w:multiLevelType w:val="hybridMultilevel"/>
    <w:lvl w:ilvl="0">
      <w:lvlJc w:val="left"/>
      <w:lvlText w:val="%1"/>
      <w:numFmt w:val="lowerLetter"/>
      <w:start w:val="1"/>
    </w:lvl>
    <w:lvl w:ilvl="1">
      <w:lvlJc w:val="left"/>
      <w:lvlText w:val="(%2)"/>
      <w:numFmt w:val="lowerRoman"/>
      <w:start w:val="4"/>
    </w:lvl>
  </w:abstractNum>
  <w:abstractNum w:abstractNumId="87">
    <w:nsid w:val="14217E23"/>
    <w:multiLevelType w:val="hybridMultilevel"/>
    <w:lvl w:ilvl="0">
      <w:lvlJc w:val="left"/>
      <w:lvlText w:val="(%1)"/>
      <w:numFmt w:val="lowerLetter"/>
      <w:start w:val="5"/>
    </w:lvl>
    <w:lvl w:ilvl="1">
      <w:lvlJc w:val="left"/>
      <w:lvlText w:val="%2"/>
      <w:numFmt w:val="lowerRoman"/>
      <w:start w:val="1"/>
    </w:lvl>
  </w:abstractNum>
  <w:abstractNum w:abstractNumId="88">
    <w:nsid w:val="710757D0"/>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2"/>
    </w:lvl>
  </w:abstractNum>
  <w:abstractNum w:abstractNumId="89">
    <w:nsid w:val="5015CD1A"/>
    <w:multiLevelType w:val="hybridMultilevel"/>
    <w:lvl w:ilvl="0">
      <w:lvlJc w:val="left"/>
      <w:lvlText w:val="(%1)"/>
      <w:numFmt w:val="decimal"/>
      <w:start w:val="1"/>
    </w:lvl>
  </w:abstractNum>
  <w:abstractNum w:abstractNumId="90">
    <w:nsid w:val="424479DA"/>
    <w:multiLevelType w:val="hybridMultilevel"/>
    <w:lvl w:ilvl="0">
      <w:lvlJc w:val="left"/>
      <w:lvlText w:val="%1"/>
      <w:numFmt w:val="lowerLetter"/>
      <w:start w:val="1"/>
    </w:lvl>
    <w:lvl w:ilvl="1">
      <w:lvlJc w:val="left"/>
      <w:lvlText w:val="(%2)"/>
      <w:numFmt w:val="lowerRoman"/>
      <w:start w:val="4"/>
    </w:lvl>
  </w:abstractNum>
  <w:abstractNum w:abstractNumId="91">
    <w:nsid w:val="1A9A9E69"/>
    <w:multiLevelType w:val="hybridMultilevel"/>
    <w:lvl w:ilvl="0">
      <w:lvlJc w:val="left"/>
      <w:lvlText w:val="(%1)"/>
      <w:numFmt w:val="lowerLetter"/>
      <w:start w:val="7"/>
    </w:lvl>
    <w:lvl w:ilvl="1">
      <w:lvlJc w:val="left"/>
      <w:lvlText w:val="%2"/>
      <w:numFmt w:val="lowerRoman"/>
      <w:start w:val="1"/>
    </w:lvl>
  </w:abstractNum>
  <w:abstractNum w:abstractNumId="92">
    <w:nsid w:val="475E256A"/>
    <w:multiLevelType w:val="hybridMultilevel"/>
    <w:lvl w:ilvl="0">
      <w:lvlJc w:val="left"/>
      <w:lvlText w:val="."/>
      <w:numFmt w:val="bullet"/>
      <w:start w:val="1"/>
    </w:lvl>
  </w:abstractNum>
  <w:abstractNum w:abstractNumId="93">
    <w:nsid w:val="368DB37E"/>
    <w:multiLevelType w:val="hybridMultilevel"/>
    <w:lvl w:ilvl="0">
      <w:lvlJc w:val="left"/>
      <w:lvlText w:val="."/>
      <w:numFmt w:val="bullet"/>
      <w:start w:val="1"/>
    </w:lvl>
  </w:abstractNum>
  <w:abstractNum w:abstractNumId="94">
    <w:nsid w:val="6A3B714C"/>
    <w:multiLevelType w:val="hybridMultilevel"/>
    <w:lvl w:ilvl="0">
      <w:lvlJc w:val="left"/>
      <w:lvlText w:val="(%1)"/>
      <w:numFmt w:val="lowerLetter"/>
      <w:start w:val="2"/>
    </w:lvl>
  </w:abstractNum>
  <w:abstractNum w:abstractNumId="95">
    <w:nsid w:val="327B517E"/>
    <w:multiLevelType w:val="hybridMultilevel"/>
    <w:lvl w:ilvl="0">
      <w:lvlJc w:val="left"/>
      <w:lvlText w:val="(%1)"/>
      <w:numFmt w:val="lowerRoman"/>
      <w:start w:val="1"/>
    </w:lvl>
  </w:abstractNum>
  <w:abstractNum w:abstractNumId="96">
    <w:nsid w:val="1F461B51"/>
    <w:multiLevelType w:val="hybridMultilevel"/>
    <w:lvl w:ilvl="0">
      <w:lvlJc w:val="left"/>
      <w:lvlText w:val="%1"/>
      <w:numFmt w:val="lowerLetter"/>
      <w:start w:val="1"/>
    </w:lvl>
    <w:lvl w:ilvl="1">
      <w:lvlJc w:val="left"/>
      <w:lvlText w:val="(%2)"/>
      <w:numFmt w:val="lowerLetter"/>
      <w:start w:val="4"/>
    </w:lvl>
  </w:abstractNum>
  <w:abstractNum w:abstractNumId="97">
    <w:nsid w:val="29BACF25"/>
    <w:multiLevelType w:val="hybridMultilevel"/>
    <w:lvl w:ilvl="0">
      <w:lvlJc w:val="left"/>
      <w:lvlText w:val="(%1)"/>
      <w:numFmt w:val="lowerLetter"/>
      <w:start w:val="3"/>
    </w:lvl>
    <w:lvl w:ilvl="1">
      <w:lvlJc w:val="left"/>
      <w:lvlText w:val="%2"/>
      <w:numFmt w:val="lowerLetter"/>
      <w:start w:val="1"/>
    </w:lvl>
  </w:abstractNum>
  <w:abstractNum w:abstractNumId="98">
    <w:nsid w:val="5D5BABB3"/>
    <w:multiLevelType w:val="hybridMultilevel"/>
    <w:lvl w:ilvl="0">
      <w:lvlJc w:val="left"/>
      <w:lvlText w:val="(%1)"/>
      <w:numFmt w:val="lowerLetter"/>
      <w:start w:val="1"/>
    </w:lvl>
    <w:lvl w:ilvl="1">
      <w:lvlJc w:val="left"/>
      <w:lvlText w:val="(%2)"/>
      <w:numFmt w:val="lowerRoman"/>
      <w:start w:val="1"/>
    </w:lvl>
  </w:abstractNum>
  <w:abstractNum w:abstractNumId="99">
    <w:nsid w:val="51BF6B48"/>
    <w:multiLevelType w:val="hybridMultilevel"/>
    <w:lvl w:ilvl="0">
      <w:lvlJc w:val="left"/>
      <w:lvlText w:val="(%1)"/>
      <w:numFmt w:val="lowerRoman"/>
      <w:start w:val="3"/>
    </w:lvl>
    <w:lvl w:ilvl="1">
      <w:lvlJc w:val="left"/>
      <w:lvlText w:val="(%2)"/>
      <w:numFmt w:val="upperLetter"/>
      <w:start w:val="1"/>
    </w:lvl>
  </w:abstractNum>
  <w:abstractNum w:abstractNumId="100">
    <w:nsid w:val="7E0F6384"/>
    <w:multiLevelType w:val="hybridMultilevel"/>
    <w:lvl w:ilvl="0">
      <w:lvlJc w:val="left"/>
      <w:lvlText w:val="%1"/>
      <w:numFmt w:val="lowerLetter"/>
      <w:start w:val="1"/>
    </w:lvl>
    <w:lvl w:ilvl="1">
      <w:lvlJc w:val="left"/>
      <w:lvlText w:val="(%2)"/>
      <w:numFmt w:val="upperLetter"/>
      <w:start w:val="1"/>
    </w:lvl>
  </w:abstractNum>
  <w:abstractNum w:abstractNumId="101">
    <w:nsid w:val="2B4B8B53"/>
    <w:multiLevelType w:val="hybridMultilevel"/>
    <w:lvl w:ilvl="0">
      <w:lvlJc w:val="left"/>
      <w:lvlText w:val="(%1)"/>
      <w:numFmt w:val="lowerLetter"/>
      <w:start w:val="2"/>
    </w:lvl>
    <w:lvl w:ilvl="1">
      <w:lvlJc w:val="left"/>
      <w:lvlText w:val="%2"/>
      <w:numFmt w:val="upperLetter"/>
      <w:start w:val="1"/>
    </w:lvl>
  </w:abstractNum>
  <w:abstractNum w:abstractNumId="102">
    <w:nsid w:val="72E3413A"/>
    <w:multiLevelType w:val="hybridMultilevel"/>
    <w:lvl w:ilvl="0">
      <w:lvlJc w:val="left"/>
      <w:lvlText w:val="(%1)"/>
      <w:numFmt w:val="lowerLetter"/>
      <w:start w:val="3"/>
    </w:lvl>
  </w:abstractNum>
  <w:abstractNum w:abstractNumId="103">
    <w:nsid w:val="116AE494"/>
    <w:multiLevelType w:val="hybridMultilevel"/>
    <w:lvl w:ilvl="0">
      <w:lvlJc w:val="left"/>
      <w:lvlText w:val="."/>
      <w:numFmt w:val="bullet"/>
      <w:start w:val="1"/>
    </w:lvl>
  </w:abstractNum>
  <w:abstractNum w:abstractNumId="104">
    <w:nsid w:val="3494B2FB"/>
    <w:multiLevelType w:val="hybridMultilevel"/>
    <w:lvl w:ilvl="0">
      <w:lvlJc w:val="left"/>
      <w:lvlText w:val="(%1)"/>
      <w:numFmt w:val="lowerLetter"/>
      <w:start w:val="2"/>
    </w:lvl>
  </w:abstractNum>
  <w:abstractNum w:abstractNumId="105">
    <w:nsid w:val="B13A31"/>
    <w:multiLevelType w:val="hybridMultilevel"/>
    <w:lvl w:ilvl="0">
      <w:lvlJc w:val="left"/>
      <w:lvlText w:val="(%1)"/>
      <w:numFmt w:val="lowerRoman"/>
      <w:start w:val="1"/>
    </w:lvl>
  </w:abstractNum>
  <w:abstractNum w:abstractNumId="106">
    <w:nsid w:val="64429599"/>
    <w:multiLevelType w:val="hybridMultilevel"/>
    <w:lvl w:ilvl="0">
      <w:lvlJc w:val="left"/>
      <w:lvlText w:val="(%1)"/>
      <w:numFmt w:val="lowerLetter"/>
      <w:start w:val="1"/>
    </w:lvl>
    <w:lvl w:ilvl="1">
      <w:lvlJc w:val="left"/>
      <w:lvlText w:val="(%2)"/>
      <w:numFmt w:val="lowerLetter"/>
      <w:start w:val="9"/>
    </w:lvl>
  </w:abstractNum>
  <w:abstractNum w:abstractNumId="107">
    <w:nsid w:val="631F1690"/>
    <w:multiLevelType w:val="hybridMultilevel"/>
    <w:lvl w:ilvl="0">
      <w:lvlJc w:val="left"/>
      <w:lvlText w:val="(%1)"/>
      <w:numFmt w:val="lowerLetter"/>
      <w:start w:val="25"/>
    </w:lvl>
  </w:abstractNum>
  <w:abstractNum w:abstractNumId="108">
    <w:nsid w:val="25973E32"/>
    <w:multiLevelType w:val="hybridMultilevel"/>
    <w:lvl w:ilvl="0">
      <w:lvlJc w:val="left"/>
      <w:lvlText w:val="(%1)"/>
      <w:numFmt w:val="lowerLetter"/>
      <w:start w:val="9"/>
    </w:lvl>
  </w:abstractNum>
  <w:abstractNum w:abstractNumId="109">
    <w:nsid w:val="EAD6F57"/>
    <w:multiLevelType w:val="hybridMultilevel"/>
    <w:lvl w:ilvl="0">
      <w:lvlJc w:val="left"/>
      <w:lvlText w:val="(%1)"/>
      <w:numFmt w:val="lowerLetter"/>
      <w:start w:val="2"/>
    </w:lvl>
  </w:abstractNum>
  <w:abstractNum w:abstractNumId="110">
    <w:nsid w:val="6EC9D844"/>
    <w:multiLevelType w:val="hybridMultilevel"/>
    <w:lvl w:ilvl="0">
      <w:lvlJc w:val="left"/>
      <w:lvlText w:val="(%1)"/>
      <w:numFmt w:val="lowerLetter"/>
      <w:start w:val="3"/>
    </w:lvl>
    <w:lvl w:ilvl="1">
      <w:lvlJc w:val="left"/>
      <w:lvlText w:val="(%2)"/>
      <w:numFmt w:val="lowerRoman"/>
      <w:start w:val="1"/>
    </w:lvl>
  </w:abstractNum>
  <w:abstractNum w:abstractNumId="111">
    <w:nsid w:val="5C49EAEE"/>
    <w:multiLevelType w:val="hybridMultilevel"/>
    <w:lvl w:ilvl="0">
      <w:lvlJc w:val="left"/>
      <w:lvlText w:val="(%1)"/>
      <w:numFmt w:val="lowerRoman"/>
      <w:start w:val="4"/>
    </w:lvl>
  </w:abstractNum>
  <w:abstractNum w:abstractNumId="112">
    <w:nsid w:val="64AF49B"/>
    <w:multiLevelType w:val="hybridMultilevel"/>
    <w:lvl w:ilvl="0">
      <w:lvlJc w:val="left"/>
      <w:lvlText w:val="(%1)"/>
      <w:numFmt w:val="lowerRoman"/>
      <w:start w:val="5"/>
    </w:lvl>
  </w:abstractNum>
  <w:abstractNum w:abstractNumId="113">
    <w:nsid w:val="397C46BC"/>
    <w:multiLevelType w:val="hybridMultilevel"/>
    <w:lvl w:ilvl="0">
      <w:lvlJc w:val="left"/>
      <w:lvlText w:val="%1"/>
      <w:numFmt w:val="lowerLetter"/>
      <w:start w:val="1"/>
    </w:lvl>
    <w:lvl w:ilvl="1">
      <w:lvlJc w:val="left"/>
      <w:lvlText w:val="(%2)"/>
      <w:numFmt w:val="lowerLetter"/>
      <w:start w:val="4"/>
    </w:lvl>
  </w:abstractNum>
  <w:abstractNum w:abstractNumId="114">
    <w:nsid w:val="7E448DE9"/>
    <w:multiLevelType w:val="hybridMultilevel"/>
    <w:lvl w:ilvl="0">
      <w:lvlJc w:val="left"/>
      <w:lvlText w:val="(%1)"/>
      <w:numFmt w:val="lowerLetter"/>
      <w:start w:val="35"/>
    </w:lvl>
    <w:lvl w:ilvl="1">
      <w:lvlJc w:val="left"/>
      <w:lvlText w:val="%2"/>
      <w:numFmt w:val="lowerLetter"/>
      <w:start w:val="1"/>
    </w:lvl>
  </w:abstractNum>
  <w:abstractNum w:abstractNumId="115">
    <w:nsid w:val="5A9CC3E5"/>
    <w:multiLevelType w:val="hybridMultilevel"/>
    <w:lvl w:ilvl="0">
      <w:lvlJc w:val="left"/>
      <w:lvlText w:val="(%1)"/>
      <w:numFmt w:val="lowerLetter"/>
    </w:lvl>
    <w:lvl w:ilvl="1">
      <w:lvlJc w:val="left"/>
      <w:lvlText w:val="."/>
      <w:numFmt w:val="bullet"/>
      <w:start w:val="1"/>
    </w:lvl>
  </w:abstractNum>
  <w:abstractNum w:abstractNumId="116">
    <w:nsid w:val="1AFE3625"/>
    <w:multiLevelType w:val="hybridMultilevel"/>
    <w:lvl w:ilvl="0">
      <w:lvlJc w:val="left"/>
      <w:lvlText w:val="(%1)"/>
      <w:numFmt w:val="lowerLetter"/>
      <w:start w:val="2"/>
    </w:lvl>
  </w:abstractNum>
  <w:abstractNum w:abstractNumId="117">
    <w:nsid w:val="3CA88ECF"/>
    <w:multiLevelType w:val="hybridMultilevel"/>
    <w:lvl w:ilvl="0">
      <w:lvlJc w:val="left"/>
      <w:lvlText w:val="."/>
      <w:numFmt w:val="bullet"/>
      <w:start w:val="1"/>
    </w:lvl>
  </w:abstractNum>
  <w:abstractNum w:abstractNumId="118">
    <w:nsid w:val="6EBE4208"/>
    <w:multiLevelType w:val="hybridMultilevel"/>
    <w:lvl w:ilvl="0">
      <w:lvlJc w:val="left"/>
      <w:lvlText w:val="(%1)"/>
      <w:numFmt w:val="lowerLetter"/>
      <w:start w:val="1"/>
    </w:lvl>
    <w:lvl w:ilvl="1">
      <w:lvlJc w:val="left"/>
      <w:lvlText w:val="(%2)"/>
      <w:numFmt w:val="lowerLetter"/>
      <w:start w:val="9"/>
    </w:lvl>
  </w:abstractNum>
  <w:abstractNum w:abstractNumId="119">
    <w:nsid w:val="C058DF5"/>
    <w:multiLevelType w:val="hybridMultilevel"/>
    <w:lvl w:ilvl="0">
      <w:lvlJc w:val="left"/>
      <w:lvlText w:val="%1"/>
      <w:numFmt w:val="lowerLetter"/>
      <w:start w:val="1"/>
    </w:lvl>
    <w:lvl w:ilvl="1">
      <w:lvlJc w:val="left"/>
      <w:lvlText w:val="(%2)"/>
      <w:numFmt w:val="lowerLetter"/>
      <w:start w:val="35"/>
    </w:lvl>
  </w:abstractNum>
  <w:abstractNum w:abstractNumId="120">
    <w:nsid w:val="CBE5BE9"/>
    <w:multiLevelType w:val="hybridMultilevel"/>
    <w:lvl w:ilvl="0">
      <w:lvlJc w:val="left"/>
      <w:lvlText w:val="(%1)"/>
      <w:numFmt w:val="lowerLetter"/>
      <w:start w:val="3"/>
    </w:lvl>
    <w:lvl w:ilvl="1">
      <w:lvlJc w:val="left"/>
      <w:lvlText w:val="(%2)"/>
      <w:numFmt w:val="lowerLetter"/>
      <w:start w:val="9"/>
    </w:lvl>
  </w:abstractNum>
  <w:abstractNum w:abstractNumId="121">
    <w:nsid w:val="3102BBE2"/>
    <w:multiLevelType w:val="hybridMultilevel"/>
    <w:lvl w:ilvl="0">
      <w:lvlJc w:val="left"/>
      <w:lvlText w:val="%1"/>
      <w:numFmt w:val="lowerLetter"/>
      <w:start w:val="1"/>
    </w:lvl>
    <w:lvl w:ilvl="1">
      <w:lvlJc w:val="left"/>
      <w:lvlText w:val="(%2)"/>
      <w:numFmt w:val="lowerRoman"/>
      <w:start w:val="2"/>
    </w:lvl>
  </w:abstractNum>
  <w:abstractNum w:abstractNumId="122">
    <w:nsid w:val="26A02C5E"/>
    <w:multiLevelType w:val="hybridMultilevel"/>
    <w:lvl w:ilvl="0">
      <w:lvlJc w:val="left"/>
      <w:lvlText w:val="(%1)"/>
      <w:numFmt w:val="lowerLetter"/>
      <w:start w:val="4"/>
    </w:lvl>
    <w:lvl w:ilvl="1">
      <w:lvlJc w:val="left"/>
      <w:lvlText w:val="%2"/>
      <w:numFmt w:val="lowerRoman"/>
      <w:start w:val="1"/>
    </w:lvl>
  </w:abstractNum>
  <w:abstractNum w:abstractNumId="123">
    <w:nsid w:val="541C8153"/>
    <w:multiLevelType w:val="hybridMultilevel"/>
    <w:lvl w:ilvl="0">
      <w:lvlJc w:val="left"/>
      <w:lvlText w:val="(%1)"/>
      <w:numFmt w:val="lowerLetter"/>
      <w:start w:val="6"/>
    </w:lvl>
  </w:abstractNum>
  <w:abstractNum w:abstractNumId="124">
    <w:nsid w:val="67906F60"/>
    <w:multiLevelType w:val="hybridMultilevel"/>
    <w:lvl w:ilvl="0">
      <w:lvlJc w:val="left"/>
      <w:lvlText w:val="."/>
      <w:numFmt w:val="bullet"/>
      <w:start w:val="1"/>
    </w:lvl>
  </w:abstractNum>
  <w:abstractNum w:abstractNumId="125">
    <w:nsid w:val="10DB9DAA"/>
    <w:multiLevelType w:val="hybridMultilevel"/>
    <w:lvl w:ilvl="0">
      <w:lvlJc w:val="left"/>
      <w:lvlText w:val="(%1)"/>
      <w:numFmt w:val="lowerLetter"/>
      <w:start w:val="1"/>
    </w:lvl>
  </w:abstractNum>
  <w:abstractNum w:abstractNumId="126">
    <w:nsid w:val="697D2D2"/>
    <w:multiLevelType w:val="hybridMultilevel"/>
    <w:lvl w:ilvl="0">
      <w:lvlJc w:val="left"/>
      <w:lvlText w:val="(%1)"/>
      <w:numFmt w:val="lowerLetter"/>
      <w:start w:val="4"/>
    </w:lvl>
  </w:abstractNum>
  <w:abstractNum w:abstractNumId="127">
    <w:nsid w:val="6D68AB2"/>
    <w:multiLevelType w:val="hybridMultilevel"/>
    <w:lvl w:ilvl="0">
      <w:lvlJc w:val="left"/>
      <w:lvlText w:val="."/>
      <w:numFmt w:val="bullet"/>
      <w:start w:val="1"/>
    </w:lvl>
  </w:abstractNum>
  <w:abstractNum w:abstractNumId="128">
    <w:nsid w:val="3A966CD0"/>
    <w:multiLevelType w:val="hybridMultilevel"/>
    <w:lvl w:ilvl="0">
      <w:lvlJc w:val="left"/>
      <w:lvlText w:val="(%1)"/>
      <w:numFmt w:val="lowerLetter"/>
      <w:start w:val="1"/>
    </w:lvl>
  </w:abstractNum>
  <w:abstractNum w:abstractNumId="129">
    <w:nsid w:val="63F37E85"/>
    <w:multiLevelType w:val="hybridMultilevel"/>
    <w:lvl w:ilvl="0">
      <w:lvlJc w:val="left"/>
      <w:lvlText w:val="(%1)"/>
      <w:numFmt w:val="lowerLetter"/>
      <w:start w:val="4"/>
    </w:lvl>
  </w:abstractNum>
  <w:abstractNum w:abstractNumId="130">
    <w:nsid w:val="5895F5FA"/>
    <w:multiLevelType w:val="hybridMultilevel"/>
    <w:lvl w:ilvl="0">
      <w:lvlJc w:val="left"/>
      <w:lvlText w:val="(%1)"/>
      <w:numFmt w:val="lowerLetter"/>
      <w:start w:val="11"/>
    </w:lvl>
  </w:abstractNum>
  <w:abstractNum w:abstractNumId="131">
    <w:nsid w:val="38A5D054"/>
    <w:multiLevelType w:val="hybridMultilevel"/>
    <w:lvl w:ilvl="0">
      <w:lvlJc w:val="left"/>
      <w:lvlText w:val="(%1)"/>
      <w:numFmt w:val="lowerLetter"/>
      <w:start w:val="9"/>
    </w:lvl>
    <w:lvl w:ilvl="1">
      <w:lvlJc w:val="left"/>
      <w:lvlText w:val="(%2)"/>
      <w:numFmt w:val="lowerLetter"/>
      <w:start w:val="17"/>
    </w:lvl>
  </w:abstractNum>
  <w:abstractNum w:abstractNumId="132">
    <w:nsid w:val="F3F09D8"/>
    <w:multiLevelType w:val="hybridMultilevel"/>
    <w:lvl w:ilvl="0">
      <w:lvlJc w:val="left"/>
      <w:lvlText w:val="(%1)"/>
      <w:numFmt w:val="lowerLetter"/>
      <w:start w:val="19"/>
    </w:lvl>
  </w:abstractNum>
  <w:abstractNum w:abstractNumId="133">
    <w:nsid w:val="4B793735"/>
    <w:multiLevelType w:val="hybridMultilevel"/>
    <w:lvl w:ilvl="0">
      <w:lvlJc w:val="left"/>
      <w:lvlText w:val="."/>
      <w:numFmt w:val="bullet"/>
      <w:start w:val="1"/>
    </w:lvl>
  </w:abstractNum>
  <w:abstractNum w:abstractNumId="134">
    <w:nsid w:val="4A10B4E8"/>
    <w:multiLevelType w:val="hybridMultilevel"/>
    <w:lvl w:ilvl="0">
      <w:lvlJc w:val="left"/>
      <w:lvlText w:val="(%1)"/>
      <w:numFmt w:val="lowerLetter"/>
      <w:start w:val="1"/>
    </w:lvl>
  </w:abstractNum>
  <w:abstractNum w:abstractNumId="135">
    <w:nsid w:val="43D3BCD4"/>
    <w:multiLevelType w:val="hybridMultilevel"/>
    <w:lvl w:ilvl="0">
      <w:lvlJc w:val="left"/>
      <w:lvlText w:val="(%1)"/>
      <w:numFmt w:val="lowerLetter"/>
      <w:start w:val="4"/>
    </w:lvl>
    <w:lvl w:ilvl="1">
      <w:lvlJc w:val="left"/>
      <w:lvlText w:val="(%2)"/>
      <w:numFmt w:val="lowerLetter"/>
      <w:start w:val="9"/>
    </w:lvl>
  </w:abstractNum>
  <w:abstractNum w:abstractNumId="136">
    <w:nsid w:val="4C2A7166"/>
    <w:multiLevelType w:val="hybridMultilevel"/>
    <w:lvl w:ilvl="0">
      <w:lvlJc w:val="left"/>
      <w:lvlText w:val="%1"/>
      <w:numFmt w:val="lowerLetter"/>
      <w:start w:val="1"/>
    </w:lvl>
    <w:lvl w:ilvl="1">
      <w:lvlJc w:val="left"/>
      <w:lvlText w:val="(%2)"/>
      <w:numFmt w:val="lowerRoman"/>
      <w:start w:val="2"/>
    </w:lvl>
  </w:abstractNum>
  <w:abstractNum w:abstractNumId="137">
    <w:nsid w:val="2E534A82"/>
    <w:multiLevelType w:val="hybridMultilevel"/>
    <w:lvl w:ilvl="0">
      <w:lvlJc w:val="left"/>
      <w:lvlText w:val="(%1)"/>
      <w:numFmt w:val="lowerLetter"/>
      <w:start w:val="10"/>
    </w:lvl>
    <w:lvl w:ilvl="1">
      <w:lvlJc w:val="left"/>
      <w:lvlText w:val="(%2)"/>
      <w:numFmt w:val="lowerRoman"/>
      <w:start w:val="1"/>
    </w:lvl>
  </w:abstractNum>
  <w:abstractNum w:abstractNumId="138">
    <w:nsid w:val="26F2D364"/>
    <w:multiLevelType w:val="hybridMultilevel"/>
    <w:lvl w:ilvl="0">
      <w:lvlJc w:val="left"/>
      <w:lvlText w:val="(%1)"/>
      <w:numFmt w:val="lowerRoman"/>
      <w:start w:val="2"/>
    </w:lvl>
  </w:abstractNum>
  <w:abstractNum w:abstractNumId="139">
    <w:nsid w:val="71C1AF98"/>
    <w:multiLevelType w:val="hybridMultilevel"/>
    <w:lvl w:ilvl="0">
      <w:lvlJc w:val="left"/>
      <w:lvlText w:val="."/>
      <w:numFmt w:val="bullet"/>
      <w:start w:val="1"/>
    </w:lvl>
  </w:abstractNum>
  <w:abstractNum w:abstractNumId="140">
    <w:nsid w:val="3D00B9D9"/>
    <w:multiLevelType w:val="hybridMultilevel"/>
    <w:lvl w:ilvl="0">
      <w:lvlJc w:val="left"/>
      <w:lvlText w:val="(%1)"/>
      <w:numFmt w:val="lowerLetter"/>
      <w:start w:val="1"/>
    </w:lvl>
    <w:lvl w:ilvl="1">
      <w:lvlJc w:val="left"/>
      <w:lvlText w:val="(%2)"/>
      <w:numFmt w:val="lowerRoman"/>
      <w:start w:val="1"/>
    </w:lvl>
  </w:abstractNum>
  <w:abstractNum w:abstractNumId="141">
    <w:nsid w:val="15BCABA8"/>
    <w:multiLevelType w:val="hybridMultilevel"/>
    <w:lvl w:ilvl="0">
      <w:lvlJc w:val="left"/>
      <w:lvlText w:val="(%1)"/>
      <w:numFmt w:val="lowerRoman"/>
      <w:start w:val="4"/>
    </w:lvl>
  </w:abstractNum>
  <w:abstractNum w:abstractNumId="142">
    <w:nsid w:val="4E0B9A87"/>
    <w:multiLevelType w:val="hybridMultilevel"/>
    <w:lvl w:ilvl="0">
      <w:lvlJc w:val="left"/>
      <w:lvlText w:val="(%1)"/>
      <w:numFmt w:val="lowerRoman"/>
      <w:start w:val="5"/>
    </w:lvl>
  </w:abstractNum>
  <w:abstractNum w:abstractNumId="143">
    <w:nsid w:val="434BAE75"/>
    <w:multiLevelType w:val="hybridMultilevel"/>
    <w:lvl w:ilvl="0">
      <w:lvlJc w:val="left"/>
      <w:lvlText w:val="(%1)"/>
      <w:numFmt w:val="lowerLetter"/>
      <w:start w:val="2"/>
    </w:lvl>
    <w:lvl w:ilvl="1">
      <w:lvlJc w:val="left"/>
      <w:lvlText w:val="(%2)"/>
      <w:numFmt w:val="lowerRoman"/>
      <w:start w:val="1"/>
    </w:lvl>
  </w:abstractNum>
  <w:abstractNum w:abstractNumId="144">
    <w:nsid w:val="4F38F265"/>
    <w:multiLevelType w:val="hybridMultilevel"/>
    <w:lvl w:ilvl="0">
      <w:lvlJc w:val="left"/>
      <w:lvlText w:val="(%1)"/>
      <w:numFmt w:val="lowerLetter"/>
      <w:start w:val="3"/>
    </w:lvl>
    <w:lvl w:ilvl="1">
      <w:lvlJc w:val="left"/>
      <w:lvlText w:val="(%2)"/>
      <w:numFmt w:val="lowerRoman"/>
      <w:start w:val="1"/>
    </w:lvl>
  </w:abstractNum>
  <w:abstractNum w:abstractNumId="145">
    <w:nsid w:val="4C502870"/>
    <w:multiLevelType w:val="hybridMultilevel"/>
    <w:lvl w:ilvl="0">
      <w:lvlJc w:val="left"/>
      <w:lvlText w:val="(%1)"/>
      <w:numFmt w:val="lowerRoman"/>
      <w:start w:val="2"/>
    </w:lvl>
    <w:lvl w:ilvl="1">
      <w:lvlJc w:val="left"/>
      <w:lvlText w:val="(%2)"/>
      <w:numFmt w:val="lowerRoman"/>
      <w:start w:val="4"/>
    </w:lvl>
  </w:abstractNum>
  <w:abstractNum w:abstractNumId="146">
    <w:nsid w:val="1DE8725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147">
    <w:nsid w:val="6A37288A"/>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48">
    <w:nsid w:val="8F8B73F"/>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149">
    <w:nsid w:val="CA6B462"/>
    <w:multiLevelType w:val="hybridMultilevel"/>
    <w:lvl w:ilvl="0">
      <w:lvlJc w:val="left"/>
      <w:lvlText w:val="."/>
      <w:numFmt w:val="bullet"/>
      <w:start w:val="1"/>
    </w:lvl>
  </w:abstractNum>
  <w:abstractNum w:abstractNumId="150">
    <w:nsid w:val="763CB680"/>
    <w:multiLevelType w:val="hybridMultilevel"/>
    <w:lvl w:ilvl="0">
      <w:lvlJc w:val="left"/>
      <w:lvlText w:val="(%1)"/>
      <w:numFmt w:val="lowerLetter"/>
      <w:start w:val="1"/>
    </w:lvl>
  </w:abstractNum>
  <w:abstractNum w:abstractNumId="151">
    <w:nsid w:val="15B71329"/>
    <w:multiLevelType w:val="hybridMultilevel"/>
    <w:lvl w:ilvl="0">
      <w:lvlJc w:val="left"/>
      <w:lvlText w:val="(%1)"/>
      <w:numFmt w:val="lowerLetter"/>
      <w:start w:val="1"/>
    </w:lvl>
  </w:abstractNum>
  <w:abstractNum w:abstractNumId="152">
    <w:nsid w:val="3DA97044"/>
    <w:multiLevelType w:val="hybridMultilevel"/>
    <w:lvl w:ilvl="0">
      <w:lvlJc w:val="left"/>
      <w:lvlText w:val="(%1)"/>
      <w:numFmt w:val="lowerLetter"/>
      <w:start w:val="5"/>
    </w:lvl>
  </w:abstractNum>
  <w:abstractNum w:abstractNumId="153">
    <w:nsid w:val="1CDCE2DE"/>
    <w:multiLevelType w:val="hybridMultilevel"/>
    <w:lvl w:ilvl="0">
      <w:lvlJc w:val="left"/>
      <w:lvlText w:val="(%1)"/>
      <w:numFmt w:val="lowerLetter"/>
      <w:start w:val="7"/>
    </w:lvl>
  </w:abstractNum>
  <w:abstractNum w:abstractNumId="154">
    <w:nsid w:val="69D3947C"/>
    <w:multiLevelType w:val="hybridMultilevel"/>
    <w:lvl w:ilvl="0">
      <w:lvlJc w:val="left"/>
      <w:lvlText w:val="."/>
      <w:numFmt w:val="bullet"/>
      <w:start w:val="1"/>
    </w:lvl>
  </w:abstractNum>
  <w:abstractNum w:abstractNumId="155">
    <w:nsid w:val="2539DFA5"/>
    <w:multiLevelType w:val="hybridMultilevel"/>
    <w:lvl w:ilvl="0">
      <w:lvlJc w:val="left"/>
      <w:lvlText w:val="."/>
      <w:numFmt w:val="bullet"/>
      <w:start w:val="1"/>
    </w:lvl>
  </w:abstractNum>
  <w:abstractNum w:abstractNumId="156">
    <w:nsid w:val="2DB8808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7">
    <w:nsid w:val="706B674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58">
    <w:nsid w:val="2C106A57"/>
    <w:multiLevelType w:val="hybridMultilevel"/>
    <w:lvl w:ilvl="0">
      <w:lvlJc w:val="left"/>
      <w:lvlText w:val="(%1)"/>
      <w:numFmt w:val="lowerLetter"/>
      <w:start w:val="3"/>
    </w:lvl>
  </w:abstractNum>
  <w:abstractNum w:abstractNumId="159">
    <w:nsid w:val="684EED59"/>
    <w:multiLevelType w:val="hybridMultilevel"/>
    <w:lvl w:ilvl="0">
      <w:lvlJc w:val="left"/>
      <w:lvlText w:val="."/>
      <w:numFmt w:val="bullet"/>
      <w:start w:val="1"/>
    </w:lvl>
  </w:abstractNum>
  <w:abstractNum w:abstractNumId="160">
    <w:nsid w:val="545EE5D3"/>
    <w:multiLevelType w:val="hybridMultilevel"/>
    <w:lvl w:ilvl="0">
      <w:lvlJc w:val="left"/>
      <w:lvlText w:val="."/>
      <w:numFmt w:val="bullet"/>
      <w:start w:val="1"/>
    </w:lvl>
  </w:abstractNum>
  <w:abstractNum w:abstractNumId="161">
    <w:nsid w:val="4A66051"/>
    <w:multiLevelType w:val="hybridMultilevel"/>
    <w:lvl w:ilvl="0">
      <w:lvlJc w:val="left"/>
      <w:lvlText w:val="."/>
      <w:numFmt w:val="bullet"/>
      <w:start w:val="1"/>
    </w:lvl>
  </w:abstractNum>
  <w:abstractNum w:abstractNumId="162">
    <w:nsid w:val="20F4BDAD"/>
    <w:multiLevelType w:val="hybridMultilevel"/>
    <w:lvl w:ilvl="0">
      <w:lvlJc w:val="left"/>
      <w:lvlText w:val="(%1)"/>
      <w:numFmt w:val="lowerLetter"/>
      <w:start w:val="1"/>
    </w:lvl>
  </w:abstractNum>
  <w:abstractNum w:abstractNumId="163">
    <w:nsid w:val="639DEFAC"/>
    <w:multiLevelType w:val="hybridMultilevel"/>
    <w:lvl w:ilvl="0">
      <w:lvlJc w:val="left"/>
      <w:lvlText w:val="%1"/>
      <w:numFmt w:val="lowerLetter"/>
      <w:start w:val="1"/>
    </w:lvl>
    <w:lvl w:ilvl="1">
      <w:lvlJc w:val="left"/>
      <w:lvlText w:val="(%2)"/>
      <w:numFmt w:val="lowerLetter"/>
      <w:start w:val="3"/>
    </w:lvl>
  </w:abstractNum>
  <w:abstractNum w:abstractNumId="164">
    <w:nsid w:val="501F9786"/>
    <w:multiLevelType w:val="hybridMultilevel"/>
    <w:lvl w:ilvl="0">
      <w:lvlJc w:val="left"/>
      <w:lvlText w:val="(%1)"/>
      <w:numFmt w:val="lowerLetter"/>
      <w:start w:val="9"/>
    </w:lvl>
    <w:lvl w:ilvl="1">
      <w:lvlJc w:val="left"/>
      <w:lvlText w:val="%2"/>
      <w:numFmt w:val="lowerLetter"/>
      <w:start w:val="1"/>
    </w:lvl>
  </w:abstractNum>
  <w:abstractNum w:abstractNumId="165">
    <w:nsid w:val="6B057295"/>
    <w:multiLevelType w:val="hybridMultilevel"/>
    <w:lvl w:ilvl="0">
      <w:lvlJc w:val="left"/>
      <w:lvlText w:val="."/>
      <w:numFmt w:val="bullet"/>
      <w:start w:val="1"/>
    </w:lvl>
  </w:abstractNum>
  <w:abstractNum w:abstractNumId="166">
    <w:nsid w:val="2771AC80"/>
    <w:multiLevelType w:val="hybridMultilevel"/>
    <w:lvl w:ilvl="0">
      <w:lvlJc w:val="left"/>
      <w:lvlText w:val="."/>
      <w:numFmt w:val="bullet"/>
      <w:start w:val="1"/>
    </w:lvl>
  </w:abstractNum>
  <w:abstractNum w:abstractNumId="167">
    <w:nsid w:val="1C4A08EC"/>
    <w:multiLevelType w:val="hybridMultilevel"/>
    <w:lvl w:ilvl="0">
      <w:lvlJc w:val="left"/>
      <w:lvlText w:val="(%1)"/>
      <w:numFmt w:val="lowerLetter"/>
      <w:start w:val="1"/>
    </w:lvl>
  </w:abstractNum>
  <w:abstractNum w:abstractNumId="168">
    <w:nsid w:val="1958BD17"/>
    <w:multiLevelType w:val="hybridMultilevel"/>
    <w:lvl w:ilvl="0">
      <w:lvlJc w:val="left"/>
      <w:lvlText w:val="(%1)"/>
      <w:numFmt w:val="lowerLetter"/>
      <w:start w:val="2"/>
    </w:lvl>
  </w:abstractNum>
  <w:abstractNum w:abstractNumId="169">
    <w:nsid w:val="4E647FE4"/>
    <w:multiLevelType w:val="hybridMultilevel"/>
    <w:lvl w:ilvl="0">
      <w:lvlJc w:val="left"/>
      <w:lvlText w:val="(%1)"/>
      <w:numFmt w:val="lowerLetter"/>
      <w:start w:val="6"/>
    </w:lvl>
  </w:abstractNum>
  <w:abstractNum w:abstractNumId="170">
    <w:nsid w:val="E0BB885"/>
    <w:multiLevelType w:val="hybridMultilevel"/>
    <w:lvl w:ilvl="0">
      <w:lvlJc w:val="left"/>
      <w:lvlText w:val="(%1)"/>
      <w:numFmt w:val="lowerLetter"/>
      <w:start w:val="1"/>
    </w:lvl>
    <w:lvl w:ilvl="1">
      <w:lvlJc w:val="left"/>
      <w:lvlText w:val="(%2)"/>
      <w:numFmt w:val="lowerRoman"/>
      <w:start w:val="1"/>
    </w:lvl>
  </w:abstractNum>
  <w:abstractNum w:abstractNumId="171">
    <w:nsid w:val="565976F1"/>
    <w:multiLevelType w:val="hybridMultilevel"/>
    <w:lvl w:ilvl="0">
      <w:lvlJc w:val="left"/>
      <w:lvlText w:val="%1"/>
      <w:numFmt w:val="lowerLetter"/>
      <w:start w:val="1"/>
    </w:lvl>
    <w:lvl w:ilvl="1">
      <w:lvlJc w:val="left"/>
      <w:lvlText w:val="(%2)"/>
      <w:numFmt w:val="lowerRoman"/>
      <w:start w:val="3"/>
    </w:lvl>
  </w:abstractNum>
  <w:abstractNum w:abstractNumId="172">
    <w:nsid w:val="64212B8C"/>
    <w:multiLevelType w:val="hybridMultilevel"/>
    <w:lvl w:ilvl="0">
      <w:lvlJc w:val="left"/>
      <w:lvlText w:val="(%1)"/>
      <w:numFmt w:val="lowerLetter"/>
      <w:start w:val="2"/>
    </w:lvl>
    <w:lvl w:ilvl="1">
      <w:lvlJc w:val="left"/>
      <w:lvlText w:val="%2"/>
      <w:numFmt w:val="lowerRoman"/>
      <w:start w:val="1"/>
    </w:lvl>
  </w:abstractNum>
  <w:abstractNum w:abstractNumId="173">
    <w:nsid w:val="5C17530C"/>
    <w:multiLevelType w:val="hybridMultilevel"/>
    <w:lvl w:ilvl="0">
      <w:lvlJc w:val="left"/>
      <w:lvlText w:val="."/>
      <w:numFmt w:val="bullet"/>
      <w:start w:val="1"/>
    </w:lvl>
  </w:abstractNum>
  <w:abstractNum w:abstractNumId="174">
    <w:nsid w:val="19A52566"/>
    <w:multiLevelType w:val="hybridMultilevel"/>
    <w:lvl w:ilvl="0">
      <w:lvlJc w:val="left"/>
      <w:lvlText w:val="(%1)"/>
      <w:numFmt w:val="lowerLetter"/>
      <w:start w:val="1"/>
    </w:lvl>
    <w:lvl w:ilvl="1">
      <w:lvlJc w:val="left"/>
      <w:lvlText w:val="."/>
      <w:numFmt w:val="bullet"/>
      <w:start w:val="1"/>
    </w:lvl>
  </w:abstractNum>
  <w:abstractNum w:abstractNumId="175">
    <w:nsid w:val="335A1DF1"/>
    <w:multiLevelType w:val="hybridMultilevel"/>
    <w:lvl w:ilvl="0">
      <w:lvlJc w:val="left"/>
      <w:lvlText w:val="."/>
      <w:numFmt w:val="bullet"/>
      <w:start w:val="1"/>
    </w:lvl>
  </w:abstractNum>
  <w:abstractNum w:abstractNumId="176">
    <w:nsid w:val="28677B7C"/>
    <w:multiLevelType w:val="hybridMultilevel"/>
    <w:lvl w:ilvl="0">
      <w:lvlJc w:val="left"/>
      <w:lvlText w:val="."/>
      <w:numFmt w:val="bullet"/>
      <w:start w:val="1"/>
    </w:lvl>
  </w:abstractNum>
  <w:abstractNum w:abstractNumId="177">
    <w:nsid w:val="378D97C0"/>
    <w:multiLevelType w:val="hybridMultilevel"/>
    <w:lvl w:ilvl="0">
      <w:lvlJc w:val="left"/>
      <w:lvlText w:val="."/>
      <w:numFmt w:val="bullet"/>
      <w:start w:val="1"/>
    </w:lvl>
  </w:abstractNum>
  <w:abstractNum w:abstractNumId="178">
    <w:nsid w:val="1D91467C"/>
    <w:multiLevelType w:val="hybridMultilevel"/>
    <w:lvl w:ilvl="0">
      <w:lvlJc w:val="left"/>
      <w:lvlText w:val="."/>
      <w:numFmt w:val="bullet"/>
      <w:start w:val="1"/>
    </w:lvl>
  </w:abstractNum>
  <w:abstractNum w:abstractNumId="179">
    <w:nsid w:val="316032BB"/>
    <w:multiLevelType w:val="hybridMultilevel"/>
    <w:lvl w:ilvl="0">
      <w:lvlJc w:val="left"/>
      <w:lvlText w:val="(%1)"/>
      <w:numFmt w:val="lowerLetter"/>
      <w:start w:val="1"/>
    </w:lvl>
  </w:abstractNum>
  <w:abstractNum w:abstractNumId="180">
    <w:nsid w:val="44344C22"/>
    <w:multiLevelType w:val="hybridMultilevel"/>
    <w:lvl w:ilvl="0">
      <w:lvlJc w:val="left"/>
      <w:lvlText w:val="(%1)"/>
      <w:numFmt w:val="lowerLetter"/>
      <w:start w:val="2"/>
    </w:lvl>
  </w:abstractNum>
  <w:abstractNum w:abstractNumId="181">
    <w:nsid w:val="13CDFCFC"/>
    <w:multiLevelType w:val="hybridMultilevel"/>
    <w:lvl w:ilvl="0">
      <w:lvlJc w:val="left"/>
      <w:lvlText w:val="."/>
      <w:numFmt w:val="bullet"/>
      <w:start w:val="1"/>
    </w:lvl>
  </w:abstractNum>
  <w:abstractNum w:abstractNumId="182">
    <w:nsid w:val="471745E4"/>
    <w:multiLevelType w:val="hybridMultilevel"/>
    <w:lvl w:ilvl="0">
      <w:lvlJc w:val="left"/>
      <w:lvlText w:val="."/>
      <w:numFmt w:val="bullet"/>
      <w:start w:val="1"/>
    </w:lvl>
  </w:abstractNum>
  <w:abstractNum w:abstractNumId="183">
    <w:nsid w:val="1DDBC66"/>
    <w:multiLevelType w:val="hybridMultilevel"/>
    <w:lvl w:ilvl="0">
      <w:lvlJc w:val="left"/>
      <w:lvlText w:val="(%1)"/>
      <w:numFmt w:val="lowerLetter"/>
      <w:start w:val="1"/>
    </w:lvl>
    <w:lvl w:ilvl="1">
      <w:lvlJc w:val="left"/>
      <w:lvlText w:val="(%2)"/>
      <w:numFmt w:val="lowerRoman"/>
      <w:start w:val="1"/>
    </w:lvl>
  </w:abstractNum>
  <w:abstractNum w:abstractNumId="184">
    <w:nsid w:val="30AADFDA"/>
    <w:multiLevelType w:val="hybridMultilevel"/>
    <w:lvl w:ilvl="0">
      <w:lvlJc w:val="left"/>
      <w:lvlText w:val="(%1)"/>
      <w:numFmt w:val="lowerRoman"/>
      <w:start w:val="3"/>
    </w:lvl>
  </w:abstractNum>
  <w:abstractNum w:abstractNumId="185">
    <w:nsid w:val="30EADA61"/>
    <w:multiLevelType w:val="hybridMultilevel"/>
    <w:lvl w:ilvl="0">
      <w:lvlJc w:val="left"/>
      <w:lvlText w:val="(%1)"/>
      <w:numFmt w:val="lowerLetter"/>
      <w:start w:val="2"/>
    </w:lvl>
  </w:abstractNum>
  <w:abstractNum w:abstractNumId="186">
    <w:nsid w:val="27179C0B"/>
    <w:multiLevelType w:val="hybridMultilevel"/>
    <w:lvl w:ilvl="0">
      <w:lvlJc w:val="left"/>
      <w:lvlText w:val="(%1)"/>
      <w:numFmt w:val="lowerLetter"/>
      <w:start w:val="3"/>
    </w:lvl>
    <w:lvl w:ilvl="1">
      <w:lvlJc w:val="left"/>
      <w:lvlText w:val="(%2)"/>
      <w:numFmt w:val="lowerRoman"/>
      <w:start w:val="1"/>
    </w:lvl>
  </w:abstractNum>
  <w:abstractNum w:abstractNumId="187">
    <w:nsid w:val="5E636063"/>
    <w:multiLevelType w:val="hybridMultilevel"/>
    <w:lvl w:ilvl="0">
      <w:lvlJc w:val="left"/>
      <w:lvlText w:val="."/>
      <w:numFmt w:val="bullet"/>
      <w:start w:val="1"/>
    </w:lvl>
  </w:abstractNum>
  <w:abstractNum w:abstractNumId="188">
    <w:nsid w:val="215641AF"/>
    <w:multiLevelType w:val="hybridMultilevel"/>
    <w:lvl w:ilvl="0">
      <w:lvlJc w:val="left"/>
      <w:lvlText w:val="(%1)"/>
      <w:numFmt w:val="lowerLetter"/>
      <w:start w:val="2"/>
    </w:lvl>
  </w:abstractNum>
  <w:abstractNum w:abstractNumId="189">
    <w:nsid w:val="53280662"/>
    <w:multiLevelType w:val="hybridMultilevel"/>
    <w:lvl w:ilvl="0">
      <w:lvlJc w:val="left"/>
      <w:lvlText w:val="."/>
      <w:numFmt w:val="bullet"/>
      <w:start w:val="1"/>
    </w:lvl>
  </w:abstractNum>
  <w:abstractNum w:abstractNumId="190">
    <w:nsid w:val="46B24DBC"/>
    <w:multiLevelType w:val="hybridMultilevel"/>
    <w:lvl w:ilvl="0">
      <w:lvlJc w:val="left"/>
      <w:lvlText w:val="."/>
      <w:numFmt w:val="bullet"/>
      <w:start w:val="1"/>
    </w:lvl>
  </w:abstractNum>
  <w:abstractNum w:abstractNumId="191">
    <w:nsid w:val="75B52783"/>
    <w:multiLevelType w:val="hybridMultilevel"/>
    <w:lvl w:ilvl="0">
      <w:lvlJc w:val="left"/>
      <w:lvlText w:val="."/>
      <w:numFmt w:val="bullet"/>
      <w:start w:val="1"/>
    </w:lvl>
  </w:abstractNum>
  <w:abstractNum w:abstractNumId="192">
    <w:nsid w:val="57CE66B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3">
    <w:nsid w:val="67A70B69"/>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abstractNum>
  <w:abstractNum w:abstractNumId="194">
    <w:nsid w:val="5953172F"/>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195">
    <w:nsid w:val="27EDFE3A"/>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96">
    <w:nsid w:val="52AC7DFF"/>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97">
    <w:nsid w:val="C4C3AF"/>
    <w:multiLevelType w:val="hybridMultilevel"/>
    <w:lvl w:ilvl="0">
      <w:lvlJc w:val="left"/>
      <w:lvlText w:val="(%1)"/>
      <w:numFmt w:val="lowerLetter"/>
      <w:start w:val="3"/>
    </w:lvl>
  </w:abstractNum>
  <w:abstractNum w:abstractNumId="198">
    <w:nsid w:val="44380727"/>
    <w:multiLevelType w:val="hybridMultilevel"/>
    <w:lvl w:ilvl="0">
      <w:lvlJc w:val="left"/>
      <w:lvlText w:val="%1"/>
      <w:numFmt w:val="lowerLetter"/>
      <w:start w:val="1"/>
    </w:lvl>
    <w:lvl w:ilvl="1">
      <w:lvlJc w:val="left"/>
      <w:lvlText w:val="(%2)"/>
      <w:numFmt w:val="lowerLetter"/>
      <w:start w:val="3"/>
    </w:lvl>
  </w:abstractNum>
  <w:abstractNum w:abstractNumId="199">
    <w:nsid w:val="6C053B16"/>
    <w:multiLevelType w:val="hybridMultilevel"/>
    <w:lvl w:ilvl="0">
      <w:lvlJc w:val="left"/>
      <w:lvlText w:val="(%1)"/>
      <w:numFmt w:val="lowerLetter"/>
      <w:start w:val="61"/>
    </w:lvl>
    <w:lvl w:ilvl="1">
      <w:lvlJc w:val="left"/>
      <w:lvlText w:val="(%2)"/>
      <w:numFmt w:val="lowerLetter"/>
      <w:start w:val="5"/>
    </w:lvl>
  </w:abstractNum>
  <w:abstractNum w:abstractNumId="200">
    <w:nsid w:val="4F294393"/>
    <w:multiLevelType w:val="hybridMultilevel"/>
    <w:lvl w:ilvl="0">
      <w:lvlJc w:val="left"/>
      <w:lvlText w:val="(%1)"/>
      <w:numFmt w:val="lowerLetter"/>
      <w:start w:val="6"/>
    </w:lvl>
  </w:abstractNum>
  <w:abstractNum w:abstractNumId="201">
    <w:nsid w:val="5243BFAC"/>
    <w:multiLevelType w:val="hybridMultilevel"/>
    <w:lvl w:ilvl="0">
      <w:lvlJc w:val="left"/>
      <w:lvlText w:val="."/>
      <w:numFmt w:val="bullet"/>
      <w:start w:val="1"/>
    </w:lvl>
  </w:abstractNum>
  <w:abstractNum w:abstractNumId="202">
    <w:nsid w:val="425EB207"/>
    <w:multiLevelType w:val="hybridMultilevel"/>
    <w:lvl w:ilvl="0">
      <w:lvlJc w:val="left"/>
      <w:lvlText w:val="."/>
      <w:numFmt w:val="bullet"/>
      <w:start w:val="1"/>
    </w:lvl>
  </w:abstractNum>
  <w:abstractNum w:abstractNumId="203">
    <w:nsid w:val="334A6F1F"/>
    <w:multiLevelType w:val="hybridMultilevel"/>
    <w:lvl w:ilvl="0">
      <w:lvlJc w:val="left"/>
      <w:lvlText w:val="(%1)"/>
      <w:numFmt w:val="lowerLetter"/>
      <w:start w:val="1"/>
    </w:lvl>
  </w:abstractNum>
  <w:abstractNum w:abstractNumId="204">
    <w:nsid w:val="2E5B12B8"/>
    <w:multiLevelType w:val="hybridMultilevel"/>
    <w:lvl w:ilvl="0">
      <w:lvlJc w:val="left"/>
      <w:lvlText w:val="%1"/>
      <w:numFmt w:val="lowerLetter"/>
      <w:start w:val="1"/>
    </w:lvl>
    <w:lvl w:ilvl="1">
      <w:lvlJc w:val="left"/>
      <w:lvlText w:val="(%2)"/>
      <w:numFmt w:val="lowerLetter"/>
      <w:start w:val="1"/>
    </w:lvl>
  </w:abstractNum>
  <w:abstractNum w:abstractNumId="205">
    <w:nsid w:val="5C03D76D"/>
    <w:multiLevelType w:val="hybridMultilevel"/>
    <w:lvl w:ilvl="0">
      <w:lvlJc w:val="left"/>
      <w:lvlText w:val="(%1)"/>
      <w:numFmt w:val="lowerLetter"/>
      <w:start w:val="2"/>
    </w:lvl>
    <w:lvl w:ilvl="1">
      <w:lvlJc w:val="left"/>
      <w:lvlText w:val="%2"/>
      <w:numFmt w:val="lowerLetter"/>
      <w:start w:val="1"/>
    </w:lvl>
  </w:abstractNum>
  <w:abstractNum w:abstractNumId="206">
    <w:nsid w:val="66A48D11"/>
    <w:multiLevelType w:val="hybridMultilevel"/>
    <w:lvl w:ilvl="0">
      <w:lvlJc w:val="left"/>
      <w:lvlText w:val="."/>
      <w:numFmt w:val="bullet"/>
      <w:start w:val="1"/>
    </w:lvl>
  </w:abstractNum>
  <w:abstractNum w:abstractNumId="207">
    <w:nsid w:val="56C28E34"/>
    <w:multiLevelType w:val="hybridMultilevel"/>
    <w:lvl w:ilvl="0">
      <w:lvlJc w:val="left"/>
      <w:lvlText w:val="."/>
      <w:numFmt w:val="bullet"/>
      <w:start w:val="1"/>
    </w:lvl>
  </w:abstractNum>
  <w:abstractNum w:abstractNumId="208">
    <w:nsid w:val="13916F2D"/>
    <w:multiLevelType w:val="hybridMultilevel"/>
    <w:lvl w:ilvl="0">
      <w:lvlJc w:val="left"/>
      <w:lvlText w:val="."/>
      <w:numFmt w:val="bullet"/>
      <w:start w:val="1"/>
    </w:lvl>
  </w:abstractNum>
  <w:abstractNum w:abstractNumId="209">
    <w:nsid w:val="435D38D"/>
    <w:multiLevelType w:val="hybridMultilevel"/>
    <w:lvl w:ilvl="0">
      <w:lvlJc w:val="left"/>
      <w:lvlText w:val="(%1)"/>
      <w:numFmt w:val="lowerLetter"/>
      <w:start w:val="1"/>
    </w:lvl>
    <w:lvl w:ilvl="1">
      <w:lvlJc w:val="left"/>
      <w:lvlText w:val="(%2)"/>
      <w:numFmt w:val="lowerRoman"/>
      <w:start w:val="1"/>
    </w:lvl>
  </w:abstractNum>
  <w:abstractNum w:abstractNumId="210">
    <w:nsid w:val="822C0EF"/>
    <w:multiLevelType w:val="hybridMultilevel"/>
    <w:lvl w:ilvl="0">
      <w:lvlJc w:val="left"/>
      <w:lvlText w:val="."/>
      <w:numFmt w:val="bullet"/>
      <w:start w:val="1"/>
    </w:lvl>
  </w:abstractNum>
  <w:abstractNum w:abstractNumId="211">
    <w:nsid w:val="57C5BB4F"/>
    <w:multiLevelType w:val="hybridMultilevel"/>
    <w:lvl w:ilvl="0">
      <w:lvlJc w:val="left"/>
      <w:lvlText w:val="."/>
      <w:numFmt w:val="bullet"/>
      <w:start w:val="1"/>
    </w:lvl>
  </w:abstractNum>
  <w:abstractNum w:abstractNumId="212">
    <w:nsid w:val="1803D089"/>
    <w:multiLevelType w:val="hybridMultilevel"/>
    <w:lvl w:ilvl="0">
      <w:lvlJc w:val="left"/>
      <w:lvlText w:val="."/>
      <w:numFmt w:val="bullet"/>
      <w:start w:val="1"/>
    </w:lvl>
  </w:abstractNum>
  <w:abstractNum w:abstractNumId="213">
    <w:nsid w:val="4F3A06D4"/>
    <w:multiLevelType w:val="hybridMultilevel"/>
    <w:lvl w:ilvl="0">
      <w:lvlJc w:val="left"/>
      <w:lvlText w:val="."/>
      <w:numFmt w:val="bullet"/>
      <w:start w:val="1"/>
    </w:lvl>
  </w:abstractNum>
  <w:abstractNum w:abstractNumId="214">
    <w:nsid w:val="59A377B6"/>
    <w:multiLevelType w:val="hybridMultilevel"/>
    <w:lvl w:ilvl="0">
      <w:lvlJc w:val="left"/>
      <w:lvlText w:val="."/>
      <w:numFmt w:val="bullet"/>
      <w:start w:val="1"/>
    </w:lvl>
  </w:abstractNum>
  <w:abstractNum w:abstractNumId="215">
    <w:nsid w:val="48AEB063"/>
    <w:multiLevelType w:val="hybridMultilevel"/>
    <w:lvl w:ilvl="0">
      <w:lvlJc w:val="left"/>
      <w:lvlText w:val="(%1)"/>
      <w:numFmt w:val="lowerLetter"/>
      <w:start w:val="1"/>
    </w:lvl>
  </w:abstractNum>
  <w:abstractNum w:abstractNumId="216">
    <w:nsid w:val="24E135"/>
    <w:multiLevelType w:val="hybridMultilevel"/>
    <w:lvl w:ilvl="0">
      <w:lvlJc w:val="left"/>
      <w:lvlText w:val="(%1)"/>
      <w:numFmt w:val="lowerRoman"/>
      <w:start w:val="1"/>
    </w:lvl>
  </w:abstractNum>
  <w:abstractNum w:abstractNumId="217">
    <w:nsid w:val="BB13C1"/>
    <w:multiLevelType w:val="hybridMultilevel"/>
    <w:lvl w:ilvl="0">
      <w:lvlJc w:val="left"/>
      <w:lvlText w:val="."/>
      <w:numFmt w:val="bullet"/>
      <w:start w:val="1"/>
    </w:lvl>
  </w:abstractNum>
  <w:abstractNum w:abstractNumId="218">
    <w:nsid w:val="271210C7"/>
    <w:multiLevelType w:val="hybridMultilevel"/>
    <w:lvl w:ilvl="0">
      <w:lvlJc w:val="left"/>
      <w:lvlText w:val="(%1)"/>
      <w:numFmt w:val="lowerLetter"/>
      <w:start w:val="1"/>
    </w:lvl>
  </w:abstractNum>
  <w:abstractNum w:abstractNumId="219">
    <w:nsid w:val="217B22E4"/>
    <w:multiLevelType w:val="hybridMultilevel"/>
    <w:lvl w:ilvl="0">
      <w:lvlJc w:val="left"/>
      <w:lvlText w:val="(%1)"/>
      <w:numFmt w:val="lowerLetter"/>
      <w:start w:val="1"/>
    </w:lvl>
  </w:abstractNum>
  <w:abstractNum w:abstractNumId="220">
    <w:nsid w:val="53E31A24"/>
    <w:multiLevelType w:val="hybridMultilevel"/>
    <w:lvl w:ilvl="0">
      <w:lvlJc w:val="left"/>
      <w:lvlText w:val="(%1)"/>
      <w:numFmt w:val="upperLetter"/>
      <w:start w:val="5"/>
    </w:lvl>
    <w:lvl w:ilvl="1">
      <w:lvlJc w:val="left"/>
      <w:lvlText w:val="(%2)"/>
      <w:numFmt w:val="lowerLetter"/>
      <w:start w:val="3"/>
    </w:lvl>
  </w:abstractNum>
  <w:abstractNum w:abstractNumId="221">
    <w:nsid w:val="6DC45E83"/>
    <w:multiLevelType w:val="hybridMultilevel"/>
    <w:lvl w:ilvl="0">
      <w:lvlJc w:val="left"/>
      <w:lvlText w:val="%1"/>
      <w:numFmt w:val="decimal"/>
      <w:start w:val="1"/>
    </w:lvl>
    <w:lvl w:ilvl="1">
      <w:lvlJc w:val="left"/>
      <w:lvlText w:val="(%2)"/>
      <w:numFmt w:val="lowerLetter"/>
      <w:start w:val="1"/>
    </w:lvl>
  </w:abstractNum>
  <w:abstractNum w:abstractNumId="222">
    <w:nsid w:val="17304A67"/>
    <w:multiLevelType w:val="hybridMultilevel"/>
    <w:lvl w:ilvl="0">
      <w:lvlJc w:val="left"/>
      <w:lvlText w:val="(%1)"/>
      <w:numFmt w:val="decimal"/>
      <w:start w:val="2"/>
    </w:lvl>
    <w:lvl w:ilvl="1">
      <w:lvlJc w:val="left"/>
      <w:lvlText w:val="(%2)"/>
      <w:numFmt w:val="lowerLetter"/>
      <w:start w:val="2"/>
    </w:lvl>
  </w:abstractNum>
  <w:abstractNum w:abstractNumId="223">
    <w:nsid w:val="2BB180D8"/>
    <w:multiLevelType w:val="hybridMultilevel"/>
    <w:lvl w:ilvl="0">
      <w:lvlJc w:val="left"/>
      <w:lvlText w:val="(%1)"/>
      <w:numFmt w:val="lowerLetter"/>
      <w:start w:val="1"/>
    </w:lvl>
  </w:abstractNum>
  <w:abstractNum w:abstractNumId="224">
    <w:nsid w:val="556B69ED"/>
    <w:multiLevelType w:val="hybridMultilevel"/>
    <w:lvl w:ilvl="0">
      <w:lvlJc w:val="left"/>
      <w:lvlText w:val="(%1)"/>
      <w:numFmt w:val="lowerLetter"/>
      <w:start w:val="2"/>
    </w:lvl>
  </w:abstractNum>
  <w:abstractNum w:abstractNumId="225">
    <w:nsid w:val="70836196"/>
    <w:multiLevelType w:val="hybridMultilevel"/>
    <w:lvl w:ilvl="0">
      <w:lvlJc w:val="left"/>
      <w:lvlText w:val="(%1)"/>
      <w:numFmt w:val="lowerLetter"/>
      <w:start w:val="1"/>
    </w:lvl>
  </w:abstractNum>
  <w:abstractNum w:abstractNumId="226">
    <w:nsid w:val="539F7F12"/>
    <w:multiLevelType w:val="hybridMultilevel"/>
    <w:lvl w:ilvl="0">
      <w:lvlJc w:val="left"/>
      <w:lvlText w:val="(%1)"/>
      <w:numFmt w:val="lowerLetter"/>
      <w:start w:val="2"/>
    </w:lvl>
  </w:abstractNum>
  <w:abstractNum w:abstractNumId="227">
    <w:nsid w:val="2817E7EC"/>
    <w:multiLevelType w:val="hybridMultilevel"/>
    <w:lvl w:ilvl="0">
      <w:lvlJc w:val="left"/>
      <w:lvlText w:val="."/>
      <w:numFmt w:val="bullet"/>
      <w:start w:val="1"/>
    </w:lvl>
  </w:abstractNum>
  <w:abstractNum w:abstractNumId="228">
    <w:nsid w:val="71482545"/>
    <w:multiLevelType w:val="hybridMultilevel"/>
    <w:lvl w:ilvl="0">
      <w:lvlJc w:val="left"/>
      <w:lvlText w:val="(%1)"/>
      <w:numFmt w:val="lowerLetter"/>
      <w:start w:val="1"/>
    </w:lvl>
  </w:abstractNum>
  <w:abstractNum w:abstractNumId="229">
    <w:nsid w:val="17D78639"/>
    <w:multiLevelType w:val="hybridMultilevel"/>
    <w:lvl w:ilvl="0">
      <w:lvlJc w:val="left"/>
      <w:lvlText w:val="%1"/>
      <w:numFmt w:val="lowerLetter"/>
      <w:start w:val="1"/>
    </w:lvl>
    <w:lvl w:ilvl="1">
      <w:lvlJc w:val="left"/>
      <w:lvlText w:val="(%2)"/>
      <w:numFmt w:val="lowerRoman"/>
      <w:start w:val="2"/>
    </w:lvl>
  </w:abstractNum>
  <w:abstractNum w:abstractNumId="230">
    <w:nsid w:val="141D2302"/>
    <w:multiLevelType w:val="hybridMultilevel"/>
    <w:lvl w:ilvl="0">
      <w:lvlJc w:val="left"/>
      <w:lvlText w:val="(%1)"/>
      <w:numFmt w:val="lowerLetter"/>
      <w:start w:val="2"/>
    </w:lvl>
    <w:lvl w:ilvl="1">
      <w:lvlJc w:val="left"/>
      <w:lvlText w:val="%2"/>
      <w:numFmt w:val="lowerRoman"/>
      <w:start w:val="1"/>
    </w:lvl>
  </w:abstractNum>
  <w:abstractNum w:abstractNumId="231">
    <w:nsid w:val="407168D8"/>
    <w:multiLevelType w:val="hybridMultilevel"/>
    <w:lvl w:ilvl="0">
      <w:lvlJc w:val="left"/>
      <w:lvlText w:val="(%1)"/>
      <w:numFmt w:val="lowerLetter"/>
      <w:start w:val="3"/>
    </w:lvl>
  </w:abstractNum>
  <w:abstractNum w:abstractNumId="232">
    <w:nsid w:val="6A1B45E5"/>
    <w:multiLevelType w:val="hybridMultilevel"/>
    <w:lvl w:ilvl="0">
      <w:lvlJc w:val="left"/>
      <w:lvlText w:val="."/>
      <w:numFmt w:val="bullet"/>
      <w:start w:val="1"/>
    </w:lvl>
  </w:abstractNum>
  <w:abstractNum w:abstractNumId="233">
    <w:nsid w:val="567BD50A"/>
    <w:multiLevelType w:val="hybridMultilevel"/>
    <w:lvl w:ilvl="0">
      <w:lvlJc w:val="left"/>
      <w:lvlText w:val="(%1)"/>
      <w:numFmt w:val="lowerLetter"/>
      <w:start w:val="1"/>
    </w:lvl>
  </w:abstractNum>
  <w:abstractNum w:abstractNumId="234">
    <w:nsid w:val="73BBD7F8"/>
    <w:multiLevelType w:val="hybridMultilevel"/>
    <w:lvl w:ilvl="0">
      <w:lvlJc w:val="left"/>
      <w:lvlText w:val="."/>
      <w:numFmt w:val="bullet"/>
      <w:start w:val="1"/>
    </w:lvl>
  </w:abstractNum>
  <w:abstractNum w:abstractNumId="235">
    <w:nsid w:val="1876589D"/>
    <w:multiLevelType w:val="hybridMultilevel"/>
    <w:lvl w:ilvl="0">
      <w:lvlJc w:val="left"/>
      <w:lvlText w:val="."/>
      <w:numFmt w:val="bullet"/>
      <w:start w:val="1"/>
    </w:lvl>
  </w:abstractNum>
  <w:abstractNum w:abstractNumId="236">
    <w:nsid w:val="327FAC77"/>
    <w:multiLevelType w:val="hybridMultilevel"/>
    <w:lvl w:ilvl="0">
      <w:lvlJc w:val="left"/>
      <w:lvlText w:val="."/>
      <w:numFmt w:val="bullet"/>
      <w:start w:val="1"/>
    </w:lvl>
  </w:abstractNum>
  <w:abstractNum w:abstractNumId="237">
    <w:nsid w:val="5A606509"/>
    <w:multiLevelType w:val="hybridMultilevel"/>
    <w:lvl w:ilvl="0">
      <w:lvlJc w:val="left"/>
      <w:lvlText w:val="(%1)"/>
      <w:numFmt w:val="lowerLetter"/>
      <w:start w:val="1"/>
    </w:lvl>
  </w:abstractNum>
  <w:abstractNum w:abstractNumId="238">
    <w:nsid w:val="6F38E6D1"/>
    <w:multiLevelType w:val="hybridMultilevel"/>
    <w:lvl w:ilvl="0">
      <w:lvlJc w:val="left"/>
      <w:lvlText w:val="(%1)"/>
      <w:numFmt w:val="lowerLetter"/>
      <w:start w:val="2"/>
    </w:lvl>
  </w:abstractNum>
  <w:abstractNum w:abstractNumId="239">
    <w:nsid w:val="46111BA5"/>
    <w:multiLevelType w:val="hybridMultilevel"/>
    <w:lvl w:ilvl="0">
      <w:lvlJc w:val="left"/>
      <w:lvlText w:val="(%1)"/>
      <w:numFmt w:val="lowerLetter"/>
      <w:start w:val="6"/>
    </w:lvl>
  </w:abstractNum>
  <w:abstractNum w:abstractNumId="240">
    <w:nsid w:val="5E963896"/>
    <w:multiLevelType w:val="hybridMultilevel"/>
    <w:lvl w:ilvl="0">
      <w:lvlJc w:val="left"/>
      <w:lvlText w:val="%1."/>
      <w:numFmt w:val="decimal"/>
      <w:start w:val="2"/>
    </w:lvl>
  </w:abstractNum>
  <w:abstractNum w:abstractNumId="241">
    <w:nsid w:val="775BA7C1"/>
    <w:multiLevelType w:val="hybridMultilevel"/>
    <w:lvl w:ilvl="0">
      <w:lvlJc w:val="left"/>
      <w:lvlText w:val="(%1)"/>
      <w:numFmt w:val="lowerLetter"/>
      <w:start w:val="25"/>
    </w:lvl>
  </w:abstractNum>
  <w:abstractNum w:abstractNumId="242">
    <w:nsid w:val="1DD6D6F4"/>
    <w:multiLevelType w:val="hybridMultilevel"/>
    <w:lvl w:ilvl="0">
      <w:lvlJc w:val="left"/>
      <w:lvlText w:val="(%1)"/>
      <w:numFmt w:val="upperLetter"/>
      <w:start w:val="1"/>
    </w:lvl>
  </w:abstractNum>
  <w:abstractNum w:abstractNumId="243">
    <w:nsid w:val="769A091F"/>
    <w:multiLevelType w:val="hybridMultilevel"/>
    <w:lvl w:ilvl="0">
      <w:lvlJc w:val="left"/>
      <w:lvlText w:val="(%1)"/>
      <w:numFmt w:val="lowerRoman"/>
      <w:start w:val="4"/>
    </w:lvl>
  </w:abstractNum>
  <w:abstractNum w:abstractNumId="244">
    <w:nsid w:val="4695AE95"/>
    <w:multiLevelType w:val="hybridMultilevel"/>
    <w:lvl w:ilvl="0">
      <w:lvlJc w:val="left"/>
      <w:lvlText w:val="1"/>
      <w:numFmt w:val="bullet"/>
      <w:start w:val="1"/>
    </w:lvl>
  </w:abstractNum>
  <w:abstractNum w:abstractNumId="245">
    <w:nsid w:val="777A4EAA"/>
    <w:multiLevelType w:val="hybridMultilevel"/>
    <w:lvl w:ilvl="0">
      <w:lvlJc w:val="left"/>
      <w:lvlText w:val="2"/>
      <w:numFmt w:val="bullet"/>
      <w:start w:val="1"/>
    </w:lvl>
  </w:abstractNum>
  <w:abstractNum w:abstractNumId="246">
    <w:nsid w:val="3F48B982"/>
    <w:multiLevelType w:val="hybridMultilevel"/>
    <w:lvl w:ilvl="0">
      <w:lvlJc w:val="left"/>
      <w:lvlText w:val="1"/>
      <w:numFmt w:val="bullet"/>
      <w:start w:val="1"/>
    </w:lvl>
  </w:abstractNum>
  <w:abstractNum w:abstractNumId="247">
    <w:nsid w:val="46BA8FCA"/>
    <w:multiLevelType w:val="hybridMultilevel"/>
    <w:lvl w:ilvl="0">
      <w:lvlJc w:val="left"/>
      <w:lvlText w:val="2"/>
      <w:numFmt w:val="bullet"/>
      <w:start w:val="1"/>
    </w:lvl>
  </w:abstractNum>
  <w:abstractNum w:abstractNumId="248">
    <w:nsid w:val="7835626C"/>
    <w:multiLevelType w:val="hybridMultilevel"/>
    <w:lvl w:ilvl="0">
      <w:lvlJc w:val="left"/>
      <w:lvlText w:val="3"/>
      <w:numFmt w:val="bullet"/>
      <w:start w:val="1"/>
    </w:lvl>
  </w:abstractNum>
  <w:abstractNum w:abstractNumId="249">
    <w:nsid w:val="665ACA49"/>
    <w:multiLevelType w:val="hybridMultilevel"/>
    <w:lvl w:ilvl="0">
      <w:lvlJc w:val="left"/>
      <w:lvlText w:val="4"/>
      <w:numFmt w:val="bullet"/>
      <w:start w:val="1"/>
    </w:lvl>
  </w:abstractNum>
  <w:abstractNum w:abstractNumId="250">
    <w:nsid w:val="6835B2AE"/>
    <w:multiLevelType w:val="hybridMultilevel"/>
    <w:lvl w:ilvl="0">
      <w:lvlJc w:val="left"/>
      <w:lvlText w:val="%1."/>
      <w:numFmt w:val="decimal"/>
      <w:start w:val="1"/>
    </w:lvl>
  </w:abstractNum>
  <w:abstractNum w:abstractNumId="251">
    <w:nsid w:val="4C187C90"/>
    <w:multiLevelType w:val="hybridMultilevel"/>
    <w:lvl w:ilvl="0">
      <w:lvlJc w:val="left"/>
      <w:lvlText w:val="%1."/>
      <w:numFmt w:val="decimal"/>
      <w:start w:val="6"/>
    </w:lvl>
  </w:abstractNum>
  <w:abstractNum w:abstractNumId="252">
    <w:nsid w:val="541F28CD"/>
    <w:multiLevelType w:val="hybridMultilevel"/>
    <w:lvl w:ilvl="0">
      <w:lvlJc w:val="left"/>
      <w:lvlText w:val="5"/>
      <w:numFmt w:val="bullet"/>
      <w:start w:val="1"/>
    </w:lvl>
  </w:abstractNum>
  <w:abstractNum w:abstractNumId="253">
    <w:nsid w:val="7F65FD16"/>
    <w:multiLevelType w:val="hybridMultilevel"/>
    <w:lvl w:ilvl="0">
      <w:lvlJc w:val="left"/>
      <w:lvlText w:val="6"/>
      <w:numFmt w:val="bullet"/>
      <w:start w:val="1"/>
    </w:lvl>
  </w:abstractNum>
  <w:abstractNum w:abstractNumId="254">
    <w:nsid w:val="77C9FD68"/>
    <w:multiLevelType w:val="hybridMultilevel"/>
    <w:lvl w:ilvl="0">
      <w:lvlJc w:val="left"/>
      <w:lvlText w:val="7"/>
      <w:numFmt w:val="bullet"/>
      <w:start w:val="1"/>
    </w:lvl>
  </w:abstractNum>
  <w:abstractNum w:abstractNumId="255">
    <w:nsid w:val="298A92BA"/>
    <w:multiLevelType w:val="hybridMultilevel"/>
    <w:lvl w:ilvl="0">
      <w:lvlJc w:val="left"/>
      <w:lvlText w:val="8"/>
      <w:numFmt w:val="bullet"/>
      <w:start w:val="1"/>
    </w:lvl>
  </w:abstractNum>
  <w:abstractNum w:abstractNumId="256">
    <w:nsid w:val="6FE95EAC"/>
    <w:multiLevelType w:val="hybridMultilevel"/>
    <w:lvl w:ilvl="0">
      <w:lvlJc w:val="left"/>
      <w:lvlText w:val="9"/>
      <w:numFmt w:val="bullet"/>
      <w:start w:val="1"/>
    </w:lvl>
  </w:abstractNum>
  <w:abstractNum w:abstractNumId="257">
    <w:nsid w:val="4B697C7A"/>
    <w:multiLevelType w:val="hybridMultilevel"/>
    <w:lvl w:ilvl="0">
      <w:lvlJc w:val="left"/>
      <w:lvlText w:val="%1"/>
      <w:numFmt w:val="decimal"/>
      <w:start w:val="11"/>
    </w:lvl>
  </w:abstractNum>
  <w:abstractNum w:abstractNumId="258">
    <w:nsid w:val="51A27AA6"/>
    <w:multiLevelType w:val="hybridMultilevel"/>
    <w:lvl w:ilvl="0">
      <w:lvlJc w:val="left"/>
      <w:lvlText w:val="["/>
      <w:numFmt w:val="bullet"/>
      <w:start w:val="1"/>
    </w:lvl>
  </w:abstractNum>
  <w:abstractNum w:abstractNumId="259">
    <w:nsid w:val="613183F2"/>
    <w:multiLevelType w:val="hybridMultilevel"/>
    <w:lvl w:ilvl="0">
      <w:lvlJc w:val="left"/>
      <w:lvlText w:val="%1."/>
      <w:numFmt w:val="decimal"/>
      <w:start w:val="1"/>
    </w:lvl>
  </w:abstractNum>
  <w:abstractNum w:abstractNumId="260">
    <w:nsid w:val="634102B4"/>
    <w:multiLevelType w:val="hybridMultilevel"/>
    <w:lvl w:ilvl="0">
      <w:lvlJc w:val="left"/>
      <w:lvlText w:val="%1."/>
      <w:numFmt w:val="decimal"/>
      <w:start w:val="2"/>
    </w:lvl>
  </w:abstractNum>
  <w:abstractNum w:abstractNumId="261">
    <w:nsid w:val="65BF9DA8"/>
    <w:multiLevelType w:val="hybridMultilevel"/>
    <w:lvl w:ilvl="0">
      <w:lvlJc w:val="left"/>
      <w:lvlText w:val="(%1)"/>
      <w:numFmt w:val="upperLetter"/>
      <w:start w:val="24"/>
    </w:lvl>
  </w:abstractNum>
  <w:abstractNum w:abstractNumId="262">
    <w:nsid w:val="21A2ECCA"/>
    <w:multiLevelType w:val="hybridMultilevel"/>
    <w:lvl w:ilvl="0">
      <w:lvlJc w:val="left"/>
      <w:lvlText w:val="1"/>
      <w:numFmt w:val="bullet"/>
      <w:start w:val="1"/>
    </w:lvl>
  </w:abstractNum>
  <w:abstractNum w:abstractNumId="263">
    <w:nsid w:val="4D5C4899"/>
    <w:multiLevelType w:val="hybridMultilevel"/>
    <w:lvl w:ilvl="0">
      <w:lvlJc w:val="left"/>
      <w:lvlText w:val="(%1)"/>
      <w:numFmt w:val="lowerLetter"/>
      <w:start w:val="1"/>
    </w:lvl>
  </w:abstractNum>
  <w:abstractNum w:abstractNumId="264">
    <w:nsid w:val="3C3B72B2"/>
    <w:multiLevelType w:val="hybridMultilevel"/>
    <w:lvl w:ilvl="0">
      <w:lvlJc w:val="left"/>
      <w:lvlText w:val="(%1)"/>
      <w:numFmt w:val="lowerLetter"/>
      <w:start w:val="5"/>
    </w:lvl>
  </w:abstractNum>
  <w:abstractNum w:abstractNumId="265">
    <w:nsid w:val="155EC4C2"/>
    <w:multiLevelType w:val="hybridMultilevel"/>
    <w:lvl w:ilvl="0">
      <w:lvlJc w:val="left"/>
      <w:lvlText w:val="%1."/>
      <w:numFmt w:val="decimal"/>
      <w:start w:val="1"/>
    </w:lvl>
    <w:lvl w:ilvl="1">
      <w:lvlJc w:val="left"/>
      <w:lvlText w:val="(%2)"/>
      <w:numFmt w:val="lowerLetter"/>
      <w:start w:val="1"/>
    </w:lvl>
  </w:abstractNum>
  <w:abstractNum w:abstractNumId="266">
    <w:nsid w:val="65D2A137"/>
    <w:multiLevelType w:val="hybridMultilevel"/>
    <w:lvl w:ilvl="0">
      <w:lvlJc w:val="left"/>
      <w:lvlText w:val="%1."/>
      <w:numFmt w:val="decimal"/>
      <w:start w:val="1"/>
    </w:lvl>
    <w:lvl w:ilvl="1">
      <w:lvlJc w:val="left"/>
      <w:lvlText w:val="(%2)"/>
      <w:numFmt w:val="lowerLetter"/>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61" Type="http://schemas.openxmlformats.org/officeDocument/2006/relationships/hyperlink" Target="http://www.sec.gov/Archives/edgar/data/104889/000095013304000785/w94191exv3w1.htm" TargetMode="External"/><Relationship Id="rId62" Type="http://schemas.openxmlformats.org/officeDocument/2006/relationships/hyperlink" Target="http://www.sec.gov/Archives/edgar/data/104889/000095015713000428/ex3-1.htm" TargetMode="External"/><Relationship Id="rId63" Type="http://schemas.openxmlformats.org/officeDocument/2006/relationships/hyperlink" Target="http://www.sec.gov/Archives/edgar/data/104889/000095015713000428/ex3-2.htm" TargetMode="External"/><Relationship Id="rId64" Type="http://schemas.openxmlformats.org/officeDocument/2006/relationships/hyperlink" Target="http://www.sec.gov/Archives/edgar/data/104889/000095015718000572/ex4-1.htm" TargetMode="External"/><Relationship Id="rId65" Type="http://schemas.openxmlformats.org/officeDocument/2006/relationships/hyperlink" Target="http://www.sec.gov/Archives/edgar/data/104889/000010488920000031/dex42.htm" TargetMode="External"/><Relationship Id="rId66" Type="http://schemas.openxmlformats.org/officeDocument/2006/relationships/hyperlink" Target="https://www.sec.gov/Archives/edgar/data/104889/000010488922000011/a2021q410-k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2023-08-02T07:46:36Z</dcterms:created>
  <dcterms:modified xsi:type="dcterms:W3CDTF">2023-08-02T07:46:36Z</dcterms:modified>
</cp:coreProperties>
</file>