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Graham Holdings Company</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Delaware</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1-6714</w:t>
            </w:r>
          </w:p>
        </w:tc>
        <w:tc>
          <w:tcPr>
            <w:tcW w:w="3520" w:type="dxa"/>
            <w:vAlign w:val="bottom"/>
            <w:tcBorders>
              <w:bottom w:val="single" w:sz="8" w:color="auto"/>
            </w:tcBorders>
          </w:tcPr>
          <w:p>
            <w:pPr>
              <w:jc w:val="right"/>
              <w:ind w:right="1092"/>
              <w:spacing w:after="0"/>
              <w:rPr>
                <w:sz w:val="20"/>
                <w:szCs w:val="20"/>
                <w:color w:val="auto"/>
              </w:rPr>
            </w:pPr>
            <w:r>
              <w:rPr>
                <w:rFonts w:ascii="Arial" w:cs="Arial" w:eastAsia="Arial" w:hAnsi="Arial"/>
                <w:sz w:val="22"/>
                <w:szCs w:val="22"/>
                <w:color w:val="auto"/>
              </w:rPr>
              <w:t>53-0182885</w:t>
            </w:r>
          </w:p>
        </w:tc>
      </w:tr>
      <w:tr>
        <w:trPr>
          <w:trHeight w:val="280"/>
        </w:trPr>
        <w:tc>
          <w:tcPr>
            <w:tcW w:w="4240" w:type="dxa"/>
            <w:vAlign w:val="bottom"/>
          </w:tcPr>
          <w:p>
            <w:pPr>
              <w:jc w:val="center"/>
              <w:spacing w:after="0"/>
              <w:rPr>
                <w:sz w:val="20"/>
                <w:szCs w:val="20"/>
                <w:color w:val="auto"/>
              </w:rPr>
            </w:pPr>
            <w:r>
              <w:rPr>
                <w:rFonts w:ascii="Arial" w:cs="Arial" w:eastAsia="Arial" w:hAnsi="Arial"/>
                <w:sz w:val="22"/>
                <w:szCs w:val="22"/>
                <w:color w:val="auto"/>
                <w:w w:val="90"/>
              </w:rPr>
              <w:t>(State or other jurisdiction</w:t>
            </w:r>
          </w:p>
        </w:tc>
        <w:tc>
          <w:tcPr>
            <w:tcW w:w="3660" w:type="dxa"/>
            <w:vAlign w:val="bottom"/>
          </w:tcPr>
          <w:p>
            <w:pPr>
              <w:jc w:val="center"/>
              <w:spacing w:after="0"/>
              <w:rPr>
                <w:sz w:val="20"/>
                <w:szCs w:val="20"/>
                <w:color w:val="auto"/>
              </w:rPr>
            </w:pPr>
            <w:r>
              <w:rPr>
                <w:rFonts w:ascii="Arial" w:cs="Arial" w:eastAsia="Arial" w:hAnsi="Arial"/>
                <w:sz w:val="22"/>
                <w:szCs w:val="22"/>
                <w:color w:val="auto"/>
                <w:w w:val="90"/>
              </w:rPr>
              <w:t>(Commission</w:t>
            </w:r>
          </w:p>
        </w:tc>
        <w:tc>
          <w:tcPr>
            <w:tcW w:w="3520" w:type="dxa"/>
            <w:vAlign w:val="bottom"/>
          </w:tcPr>
          <w:p>
            <w:pPr>
              <w:jc w:val="center"/>
              <w:spacing w:after="0"/>
              <w:rPr>
                <w:sz w:val="20"/>
                <w:szCs w:val="20"/>
                <w:color w:val="auto"/>
              </w:rPr>
            </w:pPr>
            <w:r>
              <w:rPr>
                <w:rFonts w:ascii="Arial" w:cs="Arial" w:eastAsia="Arial" w:hAnsi="Arial"/>
                <w:sz w:val="22"/>
                <w:szCs w:val="22"/>
                <w:color w:val="auto"/>
                <w:w w:val="90"/>
              </w:rPr>
              <w:t>(IRS Employer</w:t>
            </w:r>
          </w:p>
        </w:tc>
      </w:tr>
      <w:tr>
        <w:trPr>
          <w:trHeight w:val="297"/>
        </w:trPr>
        <w:tc>
          <w:tcPr>
            <w:tcW w:w="4240" w:type="dxa"/>
            <w:vAlign w:val="bottom"/>
          </w:tcPr>
          <w:p>
            <w:pPr>
              <w:jc w:val="center"/>
              <w:spacing w:after="0"/>
              <w:rPr>
                <w:sz w:val="20"/>
                <w:szCs w:val="20"/>
                <w:color w:val="auto"/>
              </w:rPr>
            </w:pPr>
            <w:r>
              <w:rPr>
                <w:rFonts w:ascii="Arial" w:cs="Arial" w:eastAsia="Arial" w:hAnsi="Arial"/>
                <w:sz w:val="22"/>
                <w:szCs w:val="22"/>
                <w:color w:val="auto"/>
                <w:w w:val="91"/>
              </w:rPr>
              <w:t>of incorporation or organization)</w:t>
            </w:r>
          </w:p>
        </w:tc>
        <w:tc>
          <w:tcPr>
            <w:tcW w:w="3660" w:type="dxa"/>
            <w:vAlign w:val="bottom"/>
          </w:tcPr>
          <w:p>
            <w:pPr>
              <w:jc w:val="center"/>
              <w:spacing w:after="0"/>
              <w:rPr>
                <w:sz w:val="20"/>
                <w:szCs w:val="20"/>
                <w:color w:val="auto"/>
              </w:rPr>
            </w:pPr>
            <w:r>
              <w:rPr>
                <w:rFonts w:ascii="Arial" w:cs="Arial" w:eastAsia="Arial" w:hAnsi="Arial"/>
                <w:sz w:val="22"/>
                <w:szCs w:val="22"/>
                <w:color w:val="auto"/>
                <w:w w:val="91"/>
              </w:rPr>
              <w:t>File Number)</w:t>
            </w:r>
          </w:p>
        </w:tc>
        <w:tc>
          <w:tcPr>
            <w:tcW w:w="3520" w:type="dxa"/>
            <w:vAlign w:val="bottom"/>
          </w:tcPr>
          <w:p>
            <w:pPr>
              <w:jc w:val="center"/>
              <w:spacing w:after="0"/>
              <w:rPr>
                <w:sz w:val="20"/>
                <w:szCs w:val="20"/>
                <w:color w:val="auto"/>
              </w:rPr>
            </w:pPr>
            <w:r>
              <w:rPr>
                <w:rFonts w:ascii="Arial" w:cs="Arial" w:eastAsia="Arial" w:hAnsi="Arial"/>
                <w:sz w:val="22"/>
                <w:szCs w:val="22"/>
                <w:color w:val="auto"/>
                <w:w w:val="94"/>
              </w:rPr>
              <w:t>Identification No.)</w:t>
            </w:r>
          </w:p>
        </w:tc>
      </w:tr>
      <w:tr>
        <w:trPr>
          <w:trHeight w:val="659"/>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1300 North 17th St., Arlington, VA</w:t>
            </w:r>
          </w:p>
        </w:tc>
        <w:tc>
          <w:tcPr>
            <w:tcW w:w="3660" w:type="dxa"/>
            <w:vAlign w:val="bottom"/>
          </w:tcPr>
          <w:p>
            <w:pPr>
              <w:spacing w:after="0"/>
              <w:rPr>
                <w:sz w:val="24"/>
                <w:szCs w:val="24"/>
                <w:color w:val="auto"/>
              </w:rPr>
            </w:pPr>
          </w:p>
        </w:tc>
        <w:tc>
          <w:tcPr>
            <w:tcW w:w="3520" w:type="dxa"/>
            <w:vAlign w:val="bottom"/>
            <w:tcBorders>
              <w:bottom w:val="single" w:sz="8" w:color="auto"/>
            </w:tcBorders>
          </w:tcPr>
          <w:p>
            <w:pPr>
              <w:jc w:val="right"/>
              <w:ind w:right="1352"/>
              <w:spacing w:after="0"/>
              <w:rPr>
                <w:sz w:val="20"/>
                <w:szCs w:val="20"/>
                <w:color w:val="auto"/>
              </w:rPr>
            </w:pPr>
            <w:r>
              <w:rPr>
                <w:rFonts w:ascii="Arial" w:cs="Arial" w:eastAsia="Arial" w:hAnsi="Arial"/>
                <w:sz w:val="22"/>
                <w:szCs w:val="22"/>
                <w:color w:val="auto"/>
              </w:rPr>
              <w:t>22209</w:t>
            </w:r>
          </w:p>
        </w:tc>
      </w:tr>
      <w:tr>
        <w:trPr>
          <w:trHeight w:val="280"/>
        </w:trPr>
        <w:tc>
          <w:tcPr>
            <w:tcW w:w="4240" w:type="dxa"/>
            <w:vAlign w:val="bottom"/>
          </w:tcPr>
          <w:p>
            <w:pPr>
              <w:jc w:val="center"/>
              <w:spacing w:after="0"/>
              <w:rPr>
                <w:sz w:val="20"/>
                <w:szCs w:val="20"/>
                <w:color w:val="auto"/>
              </w:rPr>
            </w:pPr>
            <w:r>
              <w:rPr>
                <w:rFonts w:ascii="Arial" w:cs="Arial" w:eastAsia="Arial" w:hAnsi="Arial"/>
                <w:sz w:val="22"/>
                <w:szCs w:val="22"/>
                <w:color w:val="auto"/>
                <w:w w:val="90"/>
              </w:rPr>
              <w:t>(Address of principal executive offices)</w:t>
            </w:r>
          </w:p>
        </w:tc>
        <w:tc>
          <w:tcPr>
            <w:tcW w:w="36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22"/>
                <w:szCs w:val="22"/>
                <w:color w:val="auto"/>
                <w:w w:val="90"/>
              </w:rPr>
              <w:t>(Zip code)</w:t>
            </w:r>
          </w:p>
        </w:tc>
      </w:tr>
    </w:tbl>
    <w:p>
      <w:pPr>
        <w:spacing w:after="0" w:line="374"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Nicole Maddrey (703)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24765</wp:posOffset>
            </wp:positionV>
            <wp:extent cx="23241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4" w:lineRule="exact"/>
        <w:rPr>
          <w:sz w:val="24"/>
          <w:szCs w:val="24"/>
          <w:color w:val="auto"/>
        </w:rPr>
      </w:pPr>
    </w:p>
    <w:p>
      <w:pPr>
        <w:ind w:left="1140"/>
        <w:spacing w:after="0"/>
        <w:rPr>
          <w:sz w:val="20"/>
          <w:szCs w:val="20"/>
          <w:color w:val="auto"/>
        </w:rPr>
      </w:pPr>
      <w:r>
        <w:rPr>
          <w:rFonts w:ascii="Arial" w:cs="Arial" w:eastAsia="Arial" w:hAnsi="Arial"/>
          <w:sz w:val="21"/>
          <w:szCs w:val="2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right="660"/>
        <w:spacing w:after="0" w:line="263"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15" w:lineRule="exact"/>
        <w:rPr>
          <w:sz w:val="24"/>
          <w:szCs w:val="24"/>
          <w:color w:val="auto"/>
        </w:rPr>
      </w:pPr>
    </w:p>
    <w:p>
      <w:pPr>
        <w:ind w:right="300" w:firstLine="8"/>
        <w:spacing w:after="0" w:line="263" w:lineRule="auto"/>
        <w:tabs>
          <w:tab w:leader="none" w:pos="354"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13p-1 under the Securities Exchange Act (17 CFR 240.13p-1) for the reporting period from January 1 to December 31, 2018.</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66" w:lineRule="exact"/>
        <w:rPr>
          <w:sz w:val="20"/>
          <w:szCs w:val="20"/>
          <w:color w:val="auto"/>
        </w:rPr>
      </w:pPr>
    </w:p>
    <w:p>
      <w:pPr>
        <w:ind w:right="3580"/>
        <w:spacing w:after="0" w:line="263" w:lineRule="auto"/>
        <w:rPr>
          <w:sz w:val="20"/>
          <w:szCs w:val="20"/>
          <w:color w:val="auto"/>
        </w:rPr>
      </w:pPr>
      <w:r>
        <w:rPr>
          <w:rFonts w:ascii="Arial" w:cs="Arial" w:eastAsia="Arial" w:hAnsi="Arial"/>
          <w:sz w:val="22"/>
          <w:szCs w:val="22"/>
          <w:color w:val="auto"/>
        </w:rPr>
        <w:t>A copy of our Conflict Minerals Report is filed as Exhibit 1.01 and is publicly available at http://www.ghco.com/phoenix.zhtml?c=62487&amp;p=irol-sec</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Exhibits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700" w:type="dxa"/>
        <w:tblCellMar>
          <w:top w:w="0" w:type="dxa"/>
          <w:left w:w="0" w:type="dxa"/>
          <w:bottom w:w="0" w:type="dxa"/>
          <w:right w:w="0" w:type="dxa"/>
        </w:tblCellMar>
      </w:tblPr>
      <w:tr>
        <w:trPr>
          <w:trHeight w:val="285"/>
        </w:trPr>
        <w:tc>
          <w:tcPr>
            <w:tcW w:w="18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Designation</w:t>
            </w:r>
          </w:p>
        </w:tc>
        <w:tc>
          <w:tcPr>
            <w:tcW w:w="3620" w:type="dxa"/>
            <w:vAlign w:val="bottom"/>
            <w:tcBorders>
              <w:bottom w:val="single" w:sz="8" w:color="auto"/>
            </w:tcBorders>
          </w:tcPr>
          <w:p>
            <w:pPr>
              <w:ind w:left="660"/>
              <w:spacing w:after="0"/>
              <w:rPr>
                <w:sz w:val="20"/>
                <w:szCs w:val="20"/>
                <w:color w:val="auto"/>
              </w:rPr>
            </w:pPr>
            <w:r>
              <w:rPr>
                <w:rFonts w:ascii="Arial" w:cs="Arial" w:eastAsia="Arial" w:hAnsi="Arial"/>
                <w:sz w:val="22"/>
                <w:szCs w:val="22"/>
                <w:color w:val="auto"/>
              </w:rPr>
              <w:t>Description</w:t>
            </w:r>
          </w:p>
        </w:tc>
        <w:tc>
          <w:tcPr>
            <w:tcW w:w="4600" w:type="dxa"/>
            <w:vAlign w:val="bottom"/>
            <w:tcBorders>
              <w:bottom w:val="single" w:sz="8" w:color="auto"/>
            </w:tcBorders>
          </w:tcPr>
          <w:p>
            <w:pPr>
              <w:ind w:left="760"/>
              <w:spacing w:after="0"/>
              <w:rPr>
                <w:sz w:val="20"/>
                <w:szCs w:val="20"/>
                <w:color w:val="auto"/>
              </w:rPr>
            </w:pPr>
            <w:r>
              <w:rPr>
                <w:rFonts w:ascii="Arial" w:cs="Arial" w:eastAsia="Arial" w:hAnsi="Arial"/>
                <w:sz w:val="22"/>
                <w:szCs w:val="22"/>
                <w:color w:val="auto"/>
              </w:rPr>
              <w:t>Method of Filing</w:t>
            </w:r>
          </w:p>
        </w:tc>
      </w:tr>
      <w:tr>
        <w:trPr>
          <w:trHeight w:val="280"/>
        </w:trPr>
        <w:tc>
          <w:tcPr>
            <w:tcW w:w="1820" w:type="dxa"/>
            <w:vAlign w:val="bottom"/>
          </w:tcPr>
          <w:p>
            <w:pPr>
              <w:ind w:left="80"/>
              <w:spacing w:after="0"/>
              <w:rPr>
                <w:sz w:val="20"/>
                <w:szCs w:val="20"/>
                <w:color w:val="auto"/>
              </w:rPr>
            </w:pPr>
            <w:r>
              <w:rPr>
                <w:rFonts w:ascii="Arial" w:cs="Arial" w:eastAsia="Arial" w:hAnsi="Arial"/>
                <w:sz w:val="22"/>
                <w:szCs w:val="22"/>
                <w:color w:val="auto"/>
              </w:rPr>
              <w:t>Exhibit 1.01</w:t>
            </w:r>
          </w:p>
        </w:tc>
        <w:tc>
          <w:tcPr>
            <w:tcW w:w="3620" w:type="dxa"/>
            <w:vAlign w:val="bottom"/>
          </w:tcPr>
          <w:p>
            <w:pPr>
              <w:ind w:left="660"/>
              <w:spacing w:after="0"/>
              <w:rPr>
                <w:sz w:val="20"/>
                <w:szCs w:val="20"/>
                <w:color w:val="auto"/>
              </w:rPr>
            </w:pPr>
            <w:r>
              <w:rPr>
                <w:rFonts w:ascii="Arial" w:cs="Arial" w:eastAsia="Arial" w:hAnsi="Arial"/>
                <w:sz w:val="22"/>
                <w:szCs w:val="22"/>
                <w:color w:val="auto"/>
              </w:rPr>
              <w:t>Conflict Minerals Report</w:t>
            </w:r>
          </w:p>
        </w:tc>
        <w:tc>
          <w:tcPr>
            <w:tcW w:w="4600" w:type="dxa"/>
            <w:vAlign w:val="bottom"/>
          </w:tcPr>
          <w:p>
            <w:pPr>
              <w:ind w:left="760"/>
              <w:spacing w:after="0"/>
              <w:rPr>
                <w:sz w:val="20"/>
                <w:szCs w:val="20"/>
                <w:color w:val="auto"/>
              </w:rPr>
            </w:pPr>
            <w:r>
              <w:rPr>
                <w:rFonts w:ascii="Arial" w:cs="Arial" w:eastAsia="Arial" w:hAnsi="Arial"/>
                <w:sz w:val="22"/>
                <w:szCs w:val="22"/>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Graham Holdings Company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99"/>
        </w:trPr>
        <w:tc>
          <w:tcPr>
            <w:tcW w:w="81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Nicole Maddrey</w:t>
            </w:r>
          </w:p>
        </w:tc>
        <w:tc>
          <w:tcPr>
            <w:tcW w:w="3260" w:type="dxa"/>
            <w:vAlign w:val="bottom"/>
            <w:tcBorders>
              <w:bottom w:val="single" w:sz="8" w:color="auto"/>
            </w:tcBorders>
          </w:tcPr>
          <w:p>
            <w:pPr>
              <w:jc w:val="right"/>
              <w:ind w:right="712"/>
              <w:spacing w:after="0"/>
              <w:rPr>
                <w:sz w:val="20"/>
                <w:szCs w:val="20"/>
                <w:color w:val="auto"/>
              </w:rPr>
            </w:pPr>
            <w:r>
              <w:rPr>
                <w:rFonts w:ascii="Arial" w:cs="Arial" w:eastAsia="Arial" w:hAnsi="Arial"/>
                <w:sz w:val="22"/>
                <w:szCs w:val="22"/>
                <w:color w:val="auto"/>
              </w:rPr>
              <w:t>5/30/2019</w:t>
            </w:r>
          </w:p>
        </w:tc>
      </w:tr>
      <w:tr>
        <w:trPr>
          <w:trHeight w:val="280"/>
        </w:trPr>
        <w:tc>
          <w:tcPr>
            <w:tcW w:w="8120" w:type="dxa"/>
            <w:vAlign w:val="bottom"/>
          </w:tcPr>
          <w:p>
            <w:pPr>
              <w:ind w:left="80"/>
              <w:spacing w:after="0"/>
              <w:rPr>
                <w:sz w:val="20"/>
                <w:szCs w:val="20"/>
                <w:color w:val="auto"/>
              </w:rPr>
            </w:pPr>
            <w:r>
              <w:rPr>
                <w:rFonts w:ascii="Arial" w:cs="Arial" w:eastAsia="Arial" w:hAnsi="Arial"/>
                <w:sz w:val="22"/>
                <w:szCs w:val="22"/>
                <w:color w:val="auto"/>
              </w:rPr>
              <w:t>By Nicole Maddrey, Senior Vice President, General Counsel and Secretary</w:t>
            </w:r>
          </w:p>
        </w:tc>
        <w:tc>
          <w:tcPr>
            <w:tcW w:w="3260" w:type="dxa"/>
            <w:vAlign w:val="bottom"/>
          </w:tcPr>
          <w:p>
            <w:pPr>
              <w:jc w:val="center"/>
              <w:ind w:left="632"/>
              <w:spacing w:after="0"/>
              <w:rPr>
                <w:sz w:val="20"/>
                <w:szCs w:val="20"/>
                <w:color w:val="auto"/>
              </w:rPr>
            </w:pPr>
            <w:r>
              <w:rPr>
                <w:rFonts w:ascii="Arial" w:cs="Arial" w:eastAsia="Arial" w:hAnsi="Arial"/>
                <w:sz w:val="22"/>
                <w:szCs w:val="22"/>
                <w:color w:val="auto"/>
                <w:w w:val="91"/>
              </w:rPr>
              <w:t>(Date)</w:t>
            </w:r>
          </w:p>
        </w:tc>
      </w:tr>
    </w:tbl>
    <w:p>
      <w:pPr>
        <w:sectPr>
          <w:pgSz w:w="11900" w:h="16838" w:orient="portrait"/>
          <w:cols w:equalWidth="0" w:num="1">
            <w:col w:w="11400"/>
          </w:cols>
          <w:pgMar w:left="240" w:top="625" w:right="259" w:bottom="1440" w:gutter="0" w:footer="0" w:header="0"/>
        </w:sectPr>
      </w:pPr>
    </w:p>
    <w:bookmarkStart w:id="2" w:name="page3"/>
    <w:bookmarkEnd w:id="2"/>
    <w:p>
      <w:pPr>
        <w:ind w:left="143"/>
        <w:spacing w:after="0"/>
        <w:rPr>
          <w:sz w:val="20"/>
          <w:szCs w:val="20"/>
          <w:color w:val="auto"/>
        </w:rPr>
      </w:pPr>
      <w:r>
        <w:rPr>
          <w:rFonts w:ascii="Arial" w:cs="Arial" w:eastAsia="Arial" w:hAnsi="Arial"/>
          <w:sz w:val="22"/>
          <w:szCs w:val="22"/>
          <w:b w:val="1"/>
          <w:bCs w:val="1"/>
          <w:color w:val="auto"/>
        </w:rPr>
        <w:t>Exhibit 1.01 - Graham Holdings Company Conflict Minerals Report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3" w:hanging="423"/>
        <w:spacing w:after="0"/>
        <w:tabs>
          <w:tab w:leader="none" w:pos="423"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53" w:lineRule="exact"/>
        <w:rPr>
          <w:sz w:val="20"/>
          <w:szCs w:val="20"/>
          <w:color w:val="auto"/>
        </w:rPr>
      </w:pPr>
    </w:p>
    <w:p>
      <w:pPr>
        <w:ind w:left="143"/>
        <w:spacing w:after="0" w:line="288" w:lineRule="auto"/>
        <w:rPr>
          <w:sz w:val="20"/>
          <w:szCs w:val="20"/>
          <w:color w:val="auto"/>
        </w:rPr>
      </w:pPr>
      <w:r>
        <w:rPr>
          <w:rFonts w:ascii="Arial" w:cs="Arial" w:eastAsia="Arial" w:hAnsi="Arial"/>
          <w:sz w:val="19"/>
          <w:szCs w:val="19"/>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we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365" w:lineRule="exact"/>
        <w:rPr>
          <w:sz w:val="20"/>
          <w:szCs w:val="20"/>
          <w:color w:val="auto"/>
        </w:rPr>
      </w:pPr>
    </w:p>
    <w:p>
      <w:pPr>
        <w:ind w:left="143"/>
        <w:spacing w:after="0"/>
        <w:rPr>
          <w:sz w:val="20"/>
          <w:szCs w:val="20"/>
          <w:color w:val="auto"/>
        </w:rPr>
      </w:pPr>
      <w:r>
        <w:rPr>
          <w:rFonts w:ascii="Arial" w:cs="Arial" w:eastAsia="Arial" w:hAnsi="Arial"/>
          <w:sz w:val="22"/>
          <w:szCs w:val="22"/>
          <w:b w:val="1"/>
          <w:bCs w:val="1"/>
          <w:color w:val="auto"/>
        </w:rPr>
        <w:t>2. Company and Products Overview</w:t>
      </w:r>
    </w:p>
    <w:p>
      <w:pPr>
        <w:spacing w:after="0" w:line="226" w:lineRule="exact"/>
        <w:rPr>
          <w:sz w:val="20"/>
          <w:szCs w:val="20"/>
          <w:color w:val="auto"/>
        </w:rPr>
      </w:pPr>
    </w:p>
    <w:p>
      <w:pPr>
        <w:ind w:left="143" w:right="40"/>
        <w:spacing w:after="0" w:line="286" w:lineRule="auto"/>
        <w:rPr>
          <w:sz w:val="20"/>
          <w:szCs w:val="20"/>
          <w:color w:val="auto"/>
        </w:rPr>
      </w:pPr>
      <w:r>
        <w:rPr>
          <w:rFonts w:ascii="Arial" w:cs="Arial" w:eastAsia="Arial" w:hAnsi="Arial"/>
          <w:sz w:val="19"/>
          <w:szCs w:val="19"/>
          <w:color w:val="auto"/>
        </w:rPr>
        <w:t>This Conflict Minerals Report (the “Report”) for the year ended December 31, 2018, is presented by Graham Holdings Company (the “Company”) to comply with Rule 13p-1 under the Securities Exchange Act of 1934 (the “Conflict Minerals Rule”). The Company is a diversified education and media company, whose principal operations include educational services, television broadcasting, and online, print and local TV news; home health and hospice care; and manufacturing. The Company’s manufacturing companies include Group Dekko Corporation (“Dekko”), Forney Corporation (“Forney”) and Joyce/Dayton Corp (“Joyce”). The Company has reviewed its operations to determine which parts of its business may be subject to the disclosure requirements of the Conflicts Minerals Rule. The Company did not include products that were not entered into the stream of commerce in the calendar year ended December 31, 2018, or products manufactured or contracted to be manufactured by entities acquired by the Company after April 2017. Forney is a global supplier of products and systems that control and monitor combustion processes in electric utility and industrial applications. Joyce is a global supplier of screw jacks, linear actuators and lifting systems used in commercial and industrial applications.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As used in this Report, the words “we” and “our” refer to the Company.</w:t>
      </w:r>
    </w:p>
    <w:p>
      <w:pPr>
        <w:sectPr>
          <w:pgSz w:w="11900" w:h="16838" w:orient="portrait"/>
          <w:cols w:equalWidth="0" w:num="1">
            <w:col w:w="11223"/>
          </w:cols>
          <w:pgMar w:left="437" w:top="801" w:right="239" w:bottom="1440" w:gutter="0" w:footer="0" w:header="0"/>
        </w:sectPr>
      </w:pPr>
    </w:p>
    <w:bookmarkStart w:id="3" w:name="page4"/>
    <w:bookmarkEnd w:id="3"/>
    <w:p>
      <w:pPr>
        <w:spacing w:after="0" w:line="302" w:lineRule="auto"/>
        <w:rPr>
          <w:sz w:val="20"/>
          <w:szCs w:val="20"/>
          <w:color w:val="auto"/>
        </w:rPr>
      </w:pPr>
      <w:r>
        <w:rPr>
          <w:rFonts w:ascii="Arial" w:cs="Arial" w:eastAsia="Arial" w:hAnsi="Arial"/>
          <w:sz w:val="19"/>
          <w:szCs w:val="19"/>
          <w:color w:val="auto"/>
        </w:rPr>
        <w:t>Dekko, Forney and Joyce manufacture products that contain small amounts of 3TG. These products incorporate generic components obtained from other companies that contain tantalum, tin, tungsten and gold. The 3TG in these generic components are necessary to the functionality of Dekko’s, Forney’s and Joyce’s products. These generic components are purchased from manufacturers and distributors. Dekko, Forney and Joyce do not purchase any 3TG directly from mines, smelters or refiners.</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A portion of the purchased components and materials within Dekko power distribution products, lighting products, wire harnesses and electro-mechanical assemblies contain gold and tin used as an electrically conductive plating (including, electrical wire and cable (tin), plated terminals within connector assemblies (tin and gold), and tin plated copper purchased by Dekko to manufacture electrical terminals). Tin is the most predominant 3TG metal within Dekko’s products and may also be present in the form of solder used by component suppliers and by Dekko to establish electrical connections. Dekko’s lighting products may also contain tungsten (products utilizing incandescent or fluorescent lamp technologies). Printed circuit board assemblies subcontracted by Dekko for inclusion in their products and utilizing certain capacitors may also contain tantalum. Forney’s products that contain gold and tin are Printed Circuit Boards (“PCBs”) and connectors; Forney’s products that contain tantalum are capacitors; Forney’s products that contain tungsten are electrical materials such as resistors. Joyce’s products that contain gold and tin are electrical wiring, name plates, castings and covers; products that contain tantalum are screws and nuts.</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Supply Chain Overview</w:t>
      </w:r>
    </w:p>
    <w:p>
      <w:pPr>
        <w:spacing w:after="0" w:line="226"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Because Dekko, Forney and Joyce do not purchase 3TG directly from any mine, refiner or smelter, they are in a “downstream” position in the supply chain, that is, downstream in the supply chain from smelters to refiners to retailers. As such, Dekko, Forney and Joyce rely on their direct suppliers and distributors to provide information on the origin of the 3TG contained in components supplied to them, including sources of 3TG that are supplied to them from lower tier suppliers. See Section 4.1 below.</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3.1 Conflict Minerals Policy</w:t>
      </w:r>
    </w:p>
    <w:p>
      <w:pPr>
        <w:spacing w:after="0" w:line="226"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 xml:space="preserve">Dekko, Forney and Joyce adopted the following Conflict Minerals Policy (the “Policy”) that is available on Forney’s website at </w:t>
      </w:r>
      <w:r>
        <w:rPr>
          <w:rFonts w:ascii="Arial" w:cs="Arial" w:eastAsia="Arial" w:hAnsi="Arial"/>
          <w:sz w:val="21"/>
          <w:szCs w:val="21"/>
          <w:u w:val="single" w:color="auto"/>
          <w:color w:val="0000FF"/>
        </w:rPr>
        <w:t>http://forneycorp.com/conflict-minerals-policy</w:t>
      </w:r>
      <w:r>
        <w:rPr>
          <w:rFonts w:ascii="Arial" w:cs="Arial" w:eastAsia="Arial" w:hAnsi="Arial"/>
          <w:sz w:val="21"/>
          <w:szCs w:val="21"/>
          <w:color w:val="0000FF"/>
        </w:rPr>
        <w:t xml:space="preserve"> </w:t>
      </w:r>
      <w:r>
        <w:rPr>
          <w:rFonts w:ascii="Arial" w:cs="Arial" w:eastAsia="Arial" w:hAnsi="Arial"/>
          <w:sz w:val="21"/>
          <w:szCs w:val="21"/>
          <w:color w:val="000000"/>
        </w:rPr>
        <w:t>and on Joyce’s website at</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http://joycedayton.com/about-us/certifications</w:t>
      </w:r>
      <w:r>
        <w:rPr>
          <w:rFonts w:ascii="Arial" w:cs="Arial" w:eastAsia="Arial" w:hAnsi="Arial"/>
          <w:sz w:val="21"/>
          <w:szCs w:val="21"/>
          <w:color w:val="0000FF"/>
        </w:rPr>
        <w:t xml:space="preserve"> </w:t>
      </w:r>
      <w:r>
        <w:rPr>
          <w:rFonts w:ascii="Arial" w:cs="Arial" w:eastAsia="Arial" w:hAnsi="Arial"/>
          <w:sz w:val="21"/>
          <w:szCs w:val="21"/>
          <w:color w:val="000000"/>
        </w:rPr>
        <w:t>and on</w:t>
      </w:r>
      <w:r>
        <w:rPr>
          <w:rFonts w:ascii="Arial" w:cs="Arial" w:eastAsia="Arial" w:hAnsi="Arial"/>
          <w:sz w:val="21"/>
          <w:szCs w:val="21"/>
          <w:color w:val="0000FF"/>
        </w:rPr>
        <w:t xml:space="preserve"> </w:t>
      </w:r>
      <w:r>
        <w:rPr>
          <w:rFonts w:ascii="Arial" w:cs="Arial" w:eastAsia="Arial" w:hAnsi="Arial"/>
          <w:sz w:val="21"/>
          <w:szCs w:val="21"/>
          <w:color w:val="000000"/>
        </w:rPr>
        <w:t xml:space="preserve">Dekko’s website at </w:t>
      </w:r>
      <w:r>
        <w:rPr>
          <w:rFonts w:ascii="Arial" w:cs="Arial" w:eastAsia="Arial" w:hAnsi="Arial"/>
          <w:sz w:val="21"/>
          <w:szCs w:val="21"/>
          <w:u w:val="single" w:color="auto"/>
          <w:color w:val="0000FF"/>
        </w:rPr>
        <w:t>http://www.dekko.com/capabilities/#_tab4</w:t>
      </w:r>
      <w:r>
        <w:rPr>
          <w:rFonts w:ascii="Arial" w:cs="Arial" w:eastAsia="Arial" w:hAnsi="Arial"/>
          <w:sz w:val="21"/>
          <w:szCs w:val="21"/>
          <w:color w:val="000000"/>
        </w:rPr>
        <w:t>.</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21"/>
          <w:szCs w:val="21"/>
          <w:color w:val="auto"/>
        </w:rPr>
        <w:t>Under the Dodd-Frank Act of 2010, public companies are required to disclose measures they have taken to identify the source of “conflict minerals” in the products they manufacture or contract to manufacture (the “Conflicts Minerals Rule”). These “conflict minerals” are the source of financing for armed conflicts in the Democratic Republic of the Congo (the “DRC”) and adjoining countries. The Conflict Minerals Rule is intended to reduce a significant source of funding for armed groups that are committing human rights abuses in the DRC and adjoining countries.</w:t>
      </w:r>
    </w:p>
    <w:p>
      <w:pPr>
        <w:sectPr>
          <w:pgSz w:w="11900" w:h="16838" w:orient="portrait"/>
          <w:cols w:equalWidth="0" w:num="1">
            <w:col w:w="11040"/>
          </w:cols>
          <w:pgMar w:left="580" w:top="807" w:right="279" w:bottom="1440" w:gutter="0" w:footer="0" w:header="0"/>
        </w:sectPr>
      </w:pPr>
    </w:p>
    <w:bookmarkStart w:id="4" w:name="page5"/>
    <w:bookmarkEnd w:id="4"/>
    <w:p>
      <w:pPr>
        <w:jc w:val="both"/>
        <w:ind w:left="8" w:right="180"/>
        <w:spacing w:after="0" w:line="253" w:lineRule="auto"/>
        <w:rPr>
          <w:sz w:val="20"/>
          <w:szCs w:val="20"/>
          <w:color w:val="auto"/>
        </w:rPr>
      </w:pPr>
      <w:r>
        <w:rPr>
          <w:rFonts w:ascii="Arial" w:cs="Arial" w:eastAsia="Arial" w:hAnsi="Arial"/>
          <w:sz w:val="22"/>
          <w:szCs w:val="22"/>
          <w:color w:val="auto"/>
        </w:rPr>
        <w:t>“Conflict minerals” are four specific minerals and their derivatives: columbite-tantalite (the metal ore from which tantalum is extracted), cassiterite (the metal ore from which tin is extracted), wolframite (the metal ore from which tungsten is extracted), and gold.</w:t>
      </w:r>
    </w:p>
    <w:p>
      <w:pPr>
        <w:spacing w:after="0" w:line="186" w:lineRule="exact"/>
        <w:rPr>
          <w:sz w:val="20"/>
          <w:szCs w:val="20"/>
          <w:color w:val="auto"/>
        </w:rPr>
      </w:pPr>
    </w:p>
    <w:p>
      <w:pPr>
        <w:ind w:left="8"/>
        <w:spacing w:after="0" w:line="297" w:lineRule="auto"/>
        <w:rPr>
          <w:sz w:val="20"/>
          <w:szCs w:val="20"/>
          <w:color w:val="auto"/>
        </w:rPr>
      </w:pPr>
      <w:r>
        <w:rPr>
          <w:rFonts w:ascii="Arial" w:cs="Arial" w:eastAsia="Arial" w:hAnsi="Arial"/>
          <w:sz w:val="19"/>
          <w:szCs w:val="19"/>
          <w:color w:val="auto"/>
        </w:rPr>
        <w:t>We are committed to the responsible sourcing of “conflict minerals” throughout our supply chain for products that we manufacture that contain these minerals. To that end, we continue to put policies and systems in place to reduce the risk that the minerals used in any of our products originate from conflict mines in the DRC. We are committed to strengthening our efforts to ensure that we refrain from, directly or indirectly, taking or supporting any action that contributes to the financing of armed groups that are committing human rights abuses in the DRC and other covered countries.</w:t>
      </w:r>
    </w:p>
    <w:p>
      <w:pPr>
        <w:spacing w:after="0" w:line="357" w:lineRule="exact"/>
        <w:rPr>
          <w:sz w:val="20"/>
          <w:szCs w:val="20"/>
          <w:color w:val="auto"/>
        </w:rPr>
      </w:pPr>
    </w:p>
    <w:p>
      <w:pPr>
        <w:ind w:left="208" w:hanging="208"/>
        <w:spacing w:after="0"/>
        <w:tabs>
          <w:tab w:leader="none" w:pos="208"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Reasonable Country of Origin Inquiry (“RCOI”)</w:t>
      </w:r>
    </w:p>
    <w:p>
      <w:pPr>
        <w:spacing w:after="0" w:line="219" w:lineRule="exact"/>
        <w:rPr>
          <w:rFonts w:ascii="Arial" w:cs="Arial" w:eastAsia="Arial" w:hAnsi="Arial"/>
          <w:sz w:val="22"/>
          <w:szCs w:val="22"/>
          <w:b w:val="1"/>
          <w:bCs w:val="1"/>
          <w:color w:val="auto"/>
        </w:rPr>
      </w:pPr>
    </w:p>
    <w:p>
      <w:pPr>
        <w:ind w:left="8"/>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4.1 Requests for Information and Survey Responses</w:t>
      </w:r>
    </w:p>
    <w:p>
      <w:pPr>
        <w:spacing w:after="0" w:line="226" w:lineRule="exact"/>
        <w:rPr>
          <w:sz w:val="20"/>
          <w:szCs w:val="20"/>
          <w:color w:val="auto"/>
        </w:rPr>
      </w:pPr>
    </w:p>
    <w:p>
      <w:pPr>
        <w:ind w:left="8"/>
        <w:spacing w:after="0" w:line="284" w:lineRule="auto"/>
        <w:rPr>
          <w:sz w:val="20"/>
          <w:szCs w:val="20"/>
          <w:color w:val="auto"/>
        </w:rPr>
      </w:pPr>
      <w:r>
        <w:rPr>
          <w:rFonts w:ascii="Arial" w:cs="Arial" w:eastAsia="Arial" w:hAnsi="Arial"/>
          <w:sz w:val="19"/>
          <w:szCs w:val="19"/>
          <w:color w:val="auto"/>
        </w:rPr>
        <w:t>Dekko, Forney and Joyce conducted reasonable country of origin inquiries that were reasonably designed to determine whether any 3TG necessary to the functionality or production of any of their products originated in Covered Countries or are from recycled or scrap sources. We do not source 3TG directly from mines, smelters or refiners and are therefore several levels removed from them. As a result, we rely on the cooperation of our suppliers in the implementation of our conflict minerals policies and to provide us with information on the origin of the 3TG contained in the products they supply to us. Dekko, Forney and Joyce undertook an investigation of their suppliers of the generic components to determine the sources of the minerals incorporated into those components. Steps undertaken to determine sourcing involve identifying active purchased SKUs, determining 3TG content (if any) for each SKU; identifying applicable supplier(s) for each 3TG SKU (direct supplier); identifying the manufacturer (OEM) for each SKU (indirect 3TG supplier); providing suppliers with a RMI “Conflict Mineral Reporting Template” (CMRT) developed by the Responsible Minerals Initiative, (“the Template”); conducting a due diligence review of responses against expectations, including follow-up for clarification, correction or non-responsiveness; validating responses (review of reported smelters/refiners against information on the RMI website); identifying and executing corrective actions, where possible to address any identified smelters of high concerns. The Template is designed to provide information concerning the supplier’s policy for the sourcing of 3TG, identification of the 3TG present in the supplier’s products, the origin of those metals, whether 3TG comes from recycled or scrap sources and the supplier’s due diligence regarding conflict-free sourcing practices. In connection with Dekko’s due diligence efforts, it reviewed over 6,000 purchase SKUs for 3TG content, identifying 139 direct “3TG suppliers” associated with these SKUs for the 2018 RCOI, 41 of which are distributors and 6 of which are customers (customer supplied material). As part of their due diligence efforts, Dekko engaged in follow up activities with 23 suppliers regarding validation of their submitted data. Forney identified twelve suppliers of the generic components contained in its products and Joyce identified four suppliers of generic components contained in its products. Dekko, Forney and Joyce also sought country of origin information directly by reviewing the policies and statements on the manufacturers’ websites addressing Conflict Minerals.</w:t>
      </w:r>
    </w:p>
    <w:p>
      <w:pPr>
        <w:sectPr>
          <w:pgSz w:w="11900" w:h="16838" w:orient="portrait"/>
          <w:cols w:equalWidth="0" w:num="1">
            <w:col w:w="11048"/>
          </w:cols>
          <w:pgMar w:left="572" w:top="591" w:right="279" w:bottom="1440" w:gutter="0" w:footer="0" w:header="0"/>
        </w:sectPr>
      </w:pPr>
    </w:p>
    <w:bookmarkStart w:id="5" w:name="page6"/>
    <w:bookmarkEnd w:id="5"/>
    <w:p>
      <w:pPr>
        <w:ind w:right="40"/>
        <w:spacing w:after="0" w:line="286" w:lineRule="auto"/>
        <w:rPr>
          <w:sz w:val="20"/>
          <w:szCs w:val="20"/>
          <w:color w:val="auto"/>
        </w:rPr>
      </w:pPr>
      <w:r>
        <w:rPr>
          <w:rFonts w:ascii="Arial" w:cs="Arial" w:eastAsia="Arial" w:hAnsi="Arial"/>
          <w:sz w:val="19"/>
          <w:szCs w:val="19"/>
          <w:color w:val="auto"/>
        </w:rPr>
        <w:t>A large number of the Dekko, Forney and Joyce suppliers are distributors and not the actual manufacturer of the components supplied to them. In many cases, these distributors are unable to provide smelter information and direct the requestor to the manufacturer. For example, Dekko received 81 responses from their direct 3TG suppliers. In addition to requesting that distributors provide responses to the Template for Dekko’s direct supplier’s “indirect” 3TG suppliers, Dekko directly solicited from the indirect suppliers where possible. Dekko identified an additional 80 indirect 3TG suppliers (OEMs) through the 41 distributors that are among Dekko’s direct suppliers, of which an additional 56 responses were received. A total of 345 smelters and refiners were identified within Dekko’s supply chain as either applicable to Dekko products via confirmed 3TG content or potentially applicable (undetermined 3TG content in Dekko products). 325 of these were validated by the RMI Standard Smelter List (i.e. active, confirmed smelters); the remaining balance reported were either no longer operating smelters (indicating older reported data within the responding supplier’s supply chain) or did not meet the RMI definition of a smelter. Forney received responses from six suppliers which provided smelter information. Two of Forney’s sboliboliuppliers stated they do not knowingly purchase raw materials from conflict sources. Joyce received a response from one supplier that included the names of eleven smelters that have been identified as RAMP conformant smelters. See sections 4.2 and 5.4 of this report.</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4.2 RCOI Conclusion</w:t>
      </w:r>
    </w:p>
    <w:p>
      <w:pPr>
        <w:spacing w:after="0" w:line="226"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Based on our reasonable country of origin inquiry and after exercising due diligence measures that revealed that certain smelters/ refiners are not RMAP conformant, we are unable to conclude that none of the Conflict Minerals that are necessary to the functionality or production of our products originated in the Covered Countries and unable to conclude that they have not come from recycled or scrap resources.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Due Diligence Program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5.1 Design of Due Diligence; Conformity to a Recognized Due Diligence Framework</w:t>
      </w:r>
    </w:p>
    <w:p>
      <w:pPr>
        <w:spacing w:after="0" w:line="226"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Our due diligence measures have been designed to conform to the framework in the Organization for Economic Co-operation and Development (OECD) Due Diligence Guidance for Responsible Supply Chains of Minerals from Conflict-Affected and High-Risk Areas, third edition, April 2016 (OECD Guidance) and the related Supplements for gold, tin, tantalum and tungsten. This OECD framework (the “Framework”) is the only due diligence framework recognized by the SEC to date. The Framework stresses five main areas of due diligence design detailed below in Sections 5.2 to 5.6, namely: (1) establish strong company management systems, (2) identify and assess risks in the supply chain, (3) design and implement a strategy to respond to identified risks, (4) carry out an independent third party audit of smelter/refiner’s due diligence practices, and (5) report on supply chain due diligence.</w:t>
      </w:r>
    </w:p>
    <w:p>
      <w:pPr>
        <w:sectPr>
          <w:pgSz w:w="11900" w:h="16838" w:orient="portrait"/>
          <w:cols w:equalWidth="0" w:num="1">
            <w:col w:w="11060"/>
          </w:cols>
          <w:pgMar w:left="580" w:top="591"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5.2 Establish Strong Company Management Systems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Team</w:t>
      </w:r>
    </w:p>
    <w:p>
      <w:pPr>
        <w:spacing w:after="0" w:line="226"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Each of Dekko, Forney and Joyce have established a Conflicts Minerals management system that examines the potential use and source of Conflicts Minerals in product offerings.</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Minerals Policy</w:t>
      </w:r>
    </w:p>
    <w:p>
      <w:pPr>
        <w:spacing w:after="0" w:line="226" w:lineRule="exact"/>
        <w:rPr>
          <w:sz w:val="20"/>
          <w:szCs w:val="20"/>
          <w:color w:val="auto"/>
        </w:rPr>
      </w:pPr>
    </w:p>
    <w:p>
      <w:pPr>
        <w:ind w:right="120"/>
        <w:spacing w:after="0" w:line="294" w:lineRule="auto"/>
        <w:rPr>
          <w:sz w:val="20"/>
          <w:szCs w:val="20"/>
          <w:color w:val="auto"/>
        </w:rPr>
      </w:pPr>
      <w:r>
        <w:rPr>
          <w:rFonts w:ascii="Arial" w:cs="Arial" w:eastAsia="Arial" w:hAnsi="Arial"/>
          <w:sz w:val="19"/>
          <w:szCs w:val="19"/>
          <w:color w:val="auto"/>
        </w:rPr>
        <w:t>As noted above, Dekko, Forney and Joyce each adopted the Policy, which is designed to communicate their commitment to responsible sourcing of Conflict Minerals throughout their supply chain for products that they manufacture. The Policy discusses the fact that they are putting policies and systems into place to reduce the risk that Conflict Minerals used in their products originate in the Covered Countries. The Policy informs suppliers that because they do not source Conflict Minerals directly from miners, smelters or refiners, they will rely on the cooperation of their suppliers in the implementation of the Policy and in enabling them to meet their compliance obligations. The Policy is published on each of their respective websites.</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5.3 Identify and Assess Risk in the Supply Chain</w:t>
      </w:r>
    </w:p>
    <w:p>
      <w:pPr>
        <w:spacing w:after="0" w:line="226"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As described above, Dekko, Forney and Joyce conduct a survey of all of their suppliers using the Template to obtain chain of custody declarations from their suppliers. The Template includes questions on the use and origin of Conflict Minerals in their components, supplier engagement with sub-tier suppliers and smelters and points of origin of the Conflict Minerals. To strengthen engagement with suppliers, they added a Conflict Minerals clause to their purchase orders in order to communicate the expectations and requirements regarding the sourcing and disclosure of Conflict Minerals.</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5.4 Design and Implement a Strategy to Respond to Identified Risks</w:t>
      </w:r>
    </w:p>
    <w:p>
      <w:pPr>
        <w:spacing w:after="0" w:line="226" w:lineRule="exact"/>
        <w:rPr>
          <w:sz w:val="20"/>
          <w:szCs w:val="20"/>
          <w:color w:val="auto"/>
        </w:rPr>
      </w:pPr>
    </w:p>
    <w:p>
      <w:pPr>
        <w:ind w:right="140"/>
        <w:spacing w:after="0" w:line="312" w:lineRule="auto"/>
        <w:rPr>
          <w:sz w:val="20"/>
          <w:szCs w:val="20"/>
          <w:color w:val="auto"/>
        </w:rPr>
      </w:pPr>
      <w:r>
        <w:rPr>
          <w:rFonts w:ascii="Arial" w:cs="Arial" w:eastAsia="Arial" w:hAnsi="Arial"/>
          <w:sz w:val="19"/>
          <w:szCs w:val="19"/>
          <w:color w:val="auto"/>
        </w:rPr>
        <w:t>Smelter and refiner names provided by the suppliers were confirmed by comparing them to the information contained on the Responsible Minerals Initiative (RMI) website. We rely on RMI to determine if smelters and refiners reported by our suppliers are conformant with the Responsible Minerals Assurance Program (RMAP) to validate responsible sourcing.</w:t>
      </w: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5.5 Carry out Independent Third Party Audit of Smelter/Refiner’s Due Diligence Practices</w:t>
      </w:r>
    </w:p>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Dekko, Forney and Joyce do not have a direct relationship with smelters or refiners, nor do they perform direct audits of such entities in their supply chain. We leverage the audit work conducted by the RMI to comply with the OECD Guidance to conduct independent third-party audits. The RMI uses an independent third-party auditor to identify smelters and refiners that assure sourcing of only conflict-free minerals.</w:t>
      </w:r>
    </w:p>
    <w:p>
      <w:pPr>
        <w:sectPr>
          <w:pgSz w:w="11900" w:h="16838" w:orient="portrait"/>
          <w:cols w:equalWidth="0" w:num="1">
            <w:col w:w="11080"/>
          </w:cols>
          <w:pgMar w:left="580" w:top="585" w:right="239" w:bottom="1440" w:gutter="0" w:footer="0" w:header="0"/>
        </w:sectPr>
      </w:pPr>
    </w:p>
    <w:bookmarkStart w:id="7" w:name="page8"/>
    <w:bookmarkEnd w:id="7"/>
    <w:p>
      <w:pPr>
        <w:ind w:left="8"/>
        <w:spacing w:after="0"/>
        <w:rPr>
          <w:sz w:val="20"/>
          <w:szCs w:val="20"/>
          <w:color w:val="auto"/>
        </w:rPr>
      </w:pPr>
      <w:r>
        <w:rPr>
          <w:rFonts w:ascii="Arial" w:cs="Arial" w:eastAsia="Arial" w:hAnsi="Arial"/>
          <w:sz w:val="22"/>
          <w:szCs w:val="22"/>
          <w:b w:val="1"/>
          <w:bCs w:val="1"/>
          <w:color w:val="auto"/>
        </w:rPr>
        <w:t>5.6 Report on Supply Chain Due Diligence</w:t>
      </w:r>
    </w:p>
    <w:p>
      <w:pPr>
        <w:spacing w:after="0" w:line="226" w:lineRule="exact"/>
        <w:rPr>
          <w:sz w:val="20"/>
          <w:szCs w:val="20"/>
          <w:color w:val="auto"/>
        </w:rPr>
      </w:pPr>
    </w:p>
    <w:p>
      <w:pPr>
        <w:ind w:left="8" w:right="280"/>
        <w:spacing w:after="0" w:line="287" w:lineRule="auto"/>
        <w:rPr>
          <w:sz w:val="20"/>
          <w:szCs w:val="20"/>
          <w:color w:val="auto"/>
        </w:rPr>
      </w:pPr>
      <w:r>
        <w:rPr>
          <w:rFonts w:ascii="Arial" w:cs="Arial" w:eastAsia="Arial" w:hAnsi="Arial"/>
          <w:sz w:val="21"/>
          <w:szCs w:val="21"/>
          <w:color w:val="auto"/>
        </w:rPr>
        <w:t>Our Form SD and this Conflict Minerals Report are both available on our website at www.ghco.com. GHCO will file a Form SD with the Securities and Exchange Commission on an annual basis, pursuant to Rule 13p-1 of the Act.</w:t>
      </w:r>
    </w:p>
    <w:p>
      <w:pPr>
        <w:spacing w:after="0" w:line="362"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6. Results of Due Diligence Review-Facilities Used to Process the Necessary Conflict Minerals</w:t>
      </w:r>
    </w:p>
    <w:p>
      <w:pPr>
        <w:spacing w:after="0" w:line="226" w:lineRule="exact"/>
        <w:rPr>
          <w:sz w:val="20"/>
          <w:szCs w:val="20"/>
          <w:color w:val="auto"/>
        </w:rPr>
      </w:pPr>
    </w:p>
    <w:p>
      <w:pPr>
        <w:ind w:left="8" w:right="60"/>
        <w:spacing w:after="0" w:line="288" w:lineRule="auto"/>
        <w:rPr>
          <w:sz w:val="20"/>
          <w:szCs w:val="20"/>
          <w:color w:val="auto"/>
        </w:rPr>
      </w:pPr>
      <w:r>
        <w:rPr>
          <w:rFonts w:ascii="Arial" w:cs="Arial" w:eastAsia="Arial" w:hAnsi="Arial"/>
          <w:sz w:val="19"/>
          <w:szCs w:val="19"/>
          <w:color w:val="auto"/>
        </w:rPr>
        <w:t>As discussed above, Dekko, Forney and Joyce solicited all of their applicable (3TG) suppliers to gather information by means of the Template regarding the sourcing of 3TG in the products supplied to them. Based on the information provided by suppliers in the Template, the smelters used to process necessary conflict minerals include those listed on the attached Schedule</w:t>
      </w:r>
    </w:p>
    <w:p>
      <w:pPr>
        <w:spacing w:after="0" w:line="1" w:lineRule="exact"/>
        <w:rPr>
          <w:sz w:val="20"/>
          <w:szCs w:val="20"/>
          <w:color w:val="auto"/>
        </w:rPr>
      </w:pPr>
    </w:p>
    <w:p>
      <w:pPr>
        <w:ind w:left="8" w:hanging="8"/>
        <w:spacing w:after="0" w:line="256" w:lineRule="auto"/>
        <w:tabs>
          <w:tab w:leader="none" w:pos="224" w:val="left"/>
        </w:tabs>
        <w:numPr>
          <w:ilvl w:val="0"/>
          <w:numId w:val="4"/>
        </w:numPr>
        <w:rPr>
          <w:rFonts w:ascii="Arial" w:cs="Arial" w:eastAsia="Arial" w:hAnsi="Arial"/>
          <w:sz w:val="21"/>
          <w:szCs w:val="21"/>
          <w:color w:val="auto"/>
        </w:rPr>
      </w:pPr>
      <w:r>
        <w:rPr>
          <w:rFonts w:ascii="Arial" w:cs="Arial" w:eastAsia="Arial" w:hAnsi="Arial"/>
          <w:sz w:val="21"/>
          <w:szCs w:val="21"/>
          <w:color w:val="auto"/>
        </w:rPr>
        <w:t>With respect to those smelters that were identified by suppliers in their Template, the supplier’s reported validation status was confirmed by comparing it to the information contained on the RMI website. However, because some suppliers did not identify the smelters or refiners used for a particular component or product and because our own due diligence efforts were unable to identify all such smelters or refiners, we are unable to identify with certainty the specific facilities used to process the 3TG in our products and whether the 3TG in our products is from recycled or scrap sources. As a result, we do not have sufficient information to conclusively determine the identity of all of the smelters from which our suppliers source 3TG or the countries of origin of 3TG in the products supplied to us. As permitted by guidance from the SEC staff, we did not conduct an independent private sector audit of our supply chain due diligence but will do so in the future if, and to the extent, required by the SEC’s rules.</w:t>
      </w:r>
    </w:p>
    <w:p>
      <w:pPr>
        <w:spacing w:after="0" w:line="399"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7. Steps to Mitigate Risk and Improve Due Diligence</w:t>
      </w:r>
    </w:p>
    <w:p>
      <w:pPr>
        <w:spacing w:after="0" w:line="226" w:lineRule="exact"/>
        <w:rPr>
          <w:sz w:val="20"/>
          <w:szCs w:val="20"/>
          <w:color w:val="auto"/>
        </w:rPr>
      </w:pPr>
    </w:p>
    <w:p>
      <w:pPr>
        <w:ind w:left="8" w:right="200"/>
        <w:spacing w:after="0" w:line="289" w:lineRule="auto"/>
        <w:rPr>
          <w:sz w:val="20"/>
          <w:szCs w:val="20"/>
          <w:color w:val="auto"/>
        </w:rPr>
      </w:pPr>
      <w:r>
        <w:rPr>
          <w:rFonts w:ascii="Arial" w:cs="Arial" w:eastAsia="Arial" w:hAnsi="Arial"/>
          <w:sz w:val="19"/>
          <w:szCs w:val="19"/>
          <w:color w:val="auto"/>
        </w:rPr>
        <w:t>The Company is working to strengthen its commitment to the responsible sourcing of conflict minerals. Dekko, Forney and Joyce will continue to include in new purchase orders or contracts, specific language that requires suppliers to cooperate with them by providing information about the supplier’s source of Conflict Minerals and smelters. In addition, we will continue working with suppliers to obtain 3TG sourcing information, strengthen procedures to engage with manufacturers and distributors to obtain accurate and complete information about their supply chains and work to increase response rates and the quality of supplier provided smelter lists. Cooperation with respect to 3TG sourcing by our upstream suppliers, as well as the specification of conflict-free OEM supply sources by our customers, will ultimately determine our ability to mitigate risk, as well as be a factor in awarding future purchases. Dekko, Forney and Joyce will continue to work with suppliers as needed to better communicate the requirements of the Conflicts Mineral Rule and to increase transparency of mineral sourcing.</w:t>
      </w:r>
    </w:p>
    <w:p>
      <w:pPr>
        <w:sectPr>
          <w:pgSz w:w="11900" w:h="16838" w:orient="portrait"/>
          <w:cols w:equalWidth="0" w:num="1">
            <w:col w:w="11088"/>
          </w:cols>
          <w:pgMar w:left="572" w:top="801"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Schedule 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 Used to Process Conflict Minerals</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3TG Metal</w:t>
            </w:r>
          </w:p>
        </w:tc>
        <w:tc>
          <w:tcPr>
            <w:tcW w:w="1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Smelter</w:t>
            </w:r>
          </w:p>
        </w:tc>
        <w:tc>
          <w:tcPr>
            <w:tcW w:w="170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Smelter Name</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Smelter Facility</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Whether</w:t>
            </w:r>
          </w:p>
        </w:tc>
        <w:tc>
          <w:tcPr>
            <w:tcW w:w="1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RMAP</w:t>
            </w:r>
          </w:p>
        </w:tc>
        <w:tc>
          <w:tcPr>
            <w:tcW w:w="192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Whether 3TG Mined in</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Mine Location(s),</w:t>
            </w: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Identification</w:t>
            </w:r>
          </w:p>
        </w:tc>
        <w:tc>
          <w:tcPr>
            <w:tcW w:w="17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Location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Smelter</w:t>
            </w:r>
          </w:p>
        </w:tc>
        <w:tc>
          <w:tcPr>
            <w:tcW w:w="18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Validation</w:t>
            </w:r>
          </w:p>
        </w:tc>
        <w:tc>
          <w:tcPr>
            <w:tcW w:w="19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Covered Country</w:t>
            </w: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if known</w:t>
            </w: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(RMI)</w:t>
            </w:r>
          </w:p>
        </w:tc>
        <w:tc>
          <w:tcPr>
            <w:tcW w:w="17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Location in</w:t>
            </w:r>
          </w:p>
        </w:tc>
        <w:tc>
          <w:tcPr>
            <w:tcW w:w="18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Status</w:t>
            </w:r>
          </w:p>
        </w:tc>
        <w:tc>
          <w:tcPr>
            <w:tcW w:w="19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Covered</w:t>
            </w:r>
          </w:p>
        </w:tc>
        <w:tc>
          <w:tcPr>
            <w:tcW w:w="18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Countries</w:t>
            </w:r>
          </w:p>
        </w:tc>
        <w:tc>
          <w:tcPr>
            <w:tcW w:w="184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CID000004</w:t>
            </w:r>
          </w:p>
        </w:tc>
        <w:tc>
          <w:tcPr>
            <w:tcW w:w="170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color w:val="auto"/>
              </w:rPr>
              <w:t>A.L.M.T. TUNGSTEN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Corp.</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CID000015</w:t>
            </w:r>
          </w:p>
        </w:tc>
        <w:tc>
          <w:tcPr>
            <w:tcW w:w="170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rPr>
              <w:t>Advanced Chemical</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Company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CID000019</w:t>
            </w:r>
          </w:p>
        </w:tc>
        <w:tc>
          <w:tcPr>
            <w:tcW w:w="170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rPr>
              <w:t>Aida Chemical Industries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CID000035</w:t>
            </w:r>
          </w:p>
        </w:tc>
        <w:tc>
          <w:tcPr>
            <w:tcW w:w="170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rPr>
              <w:t>Allgemeine Gold-und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Silberscheideanstalt A.G.</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rPr>
              <w:t>Almalyk Mining and</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CID000041</w:t>
            </w:r>
          </w:p>
        </w:tc>
        <w:tc>
          <w:tcPr>
            <w:tcW w:w="1700" w:type="dxa"/>
            <w:vAlign w:val="bottom"/>
            <w:tcBorders>
              <w:right w:val="single" w:sz="8" w:color="auto"/>
            </w:tcBorders>
            <w:vMerge w:val="restart"/>
          </w:tcPr>
          <w:p>
            <w:pPr>
              <w:spacing w:after="0" w:line="149" w:lineRule="exact"/>
              <w:rPr>
                <w:sz w:val="20"/>
                <w:szCs w:val="20"/>
                <w:color w:val="auto"/>
              </w:rPr>
            </w:pPr>
            <w:r>
              <w:rPr>
                <w:rFonts w:ascii="Arial" w:cs="Arial" w:eastAsia="Arial" w:hAnsi="Arial"/>
                <w:sz w:val="14"/>
                <w:szCs w:val="14"/>
                <w:color w:val="auto"/>
              </w:rPr>
              <w:t>Metallurgical Complex</w:t>
            </w:r>
          </w:p>
        </w:tc>
        <w:tc>
          <w:tcPr>
            <w:tcW w:w="160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UZBEKISTAN</w:t>
            </w:r>
          </w:p>
        </w:tc>
        <w:tc>
          <w:tcPr>
            <w:tcW w:w="10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84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(AMMC)</w:t>
            </w:r>
          </w:p>
        </w:tc>
        <w:tc>
          <w:tcPr>
            <w:tcW w:w="16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CID000058</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AngloGold Ashanti Corrego</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line="135" w:lineRule="exact"/>
              <w:rPr>
                <w:sz w:val="20"/>
                <w:szCs w:val="20"/>
                <w:color w:val="auto"/>
              </w:rPr>
            </w:pPr>
            <w:r>
              <w:rPr>
                <w:rFonts w:ascii="Arial" w:cs="Arial" w:eastAsia="Arial" w:hAnsi="Arial"/>
                <w:sz w:val="14"/>
                <w:szCs w:val="14"/>
                <w:color w:val="auto"/>
              </w:rPr>
              <w:t>do Sitio Mineracao</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CID000077</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Argor-Heraeus S.A.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SWITZERLAND</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CID000082</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Asahi Pretec Corp.</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CID000090</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Asaka Riken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CID000092</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Asaka Riken Co.,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CID000103</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Atasay Kuyumculuk Sanayi</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TURKEY</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line="135" w:lineRule="exact"/>
              <w:rPr>
                <w:sz w:val="20"/>
                <w:szCs w:val="20"/>
                <w:color w:val="auto"/>
              </w:rPr>
            </w:pPr>
            <w:r>
              <w:rPr>
                <w:rFonts w:ascii="Arial" w:cs="Arial" w:eastAsia="Arial" w:hAnsi="Arial"/>
                <w:sz w:val="14"/>
                <w:szCs w:val="14"/>
                <w:color w:val="auto"/>
              </w:rPr>
              <w:t>Ve Ticaret A.S.</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CID000105</w:t>
            </w: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Kennametal Huntsville</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CID000113</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Aurubis AG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w w:val="96"/>
              </w:rPr>
              <w:t>Bangko Sentral ng Pilipinas</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CID000128</w:t>
            </w:r>
          </w:p>
        </w:tc>
        <w:tc>
          <w:tcPr>
            <w:tcW w:w="17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(Central Bank of the</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PHILIPPINES</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Philippines)</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CID000157</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Boliden AB</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SWEDEN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CID000176</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9"/>
              </w:rPr>
              <w:t>C. Hafner GmbH + Co. KG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CID000180</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Caridad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MEXICO</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CID000185</w:t>
            </w:r>
          </w:p>
        </w:tc>
        <w:tc>
          <w:tcPr>
            <w:tcW w:w="17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CCR Refinery - Glencore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CANADA</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Canada Corporation</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CID000189</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Cendres + Metaux S.A.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CID000197</w:t>
            </w:r>
          </w:p>
        </w:tc>
        <w:tc>
          <w:tcPr>
            <w:tcW w:w="17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Yunnan Copper Industry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CID000211</w:t>
            </w:r>
          </w:p>
        </w:tc>
        <w:tc>
          <w:tcPr>
            <w:tcW w:w="170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w w:val="99"/>
              </w:rPr>
              <w:t>Changsha South Tantalum</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Niobium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CID000218</w:t>
            </w:r>
          </w:p>
        </w:tc>
        <w:tc>
          <w:tcPr>
            <w:tcW w:w="170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rPr>
              <w:t>Guangdong Xianglu</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Tungsten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CID000228</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6"/>
              </w:rPr>
              <w:t>Chenzhou Yunxiang Mining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line="135" w:lineRule="exact"/>
              <w:rPr>
                <w:sz w:val="20"/>
                <w:szCs w:val="20"/>
                <w:color w:val="auto"/>
              </w:rPr>
            </w:pPr>
            <w:r>
              <w:rPr>
                <w:rFonts w:ascii="Arial" w:cs="Arial" w:eastAsia="Arial" w:hAnsi="Arial"/>
                <w:sz w:val="14"/>
                <w:szCs w:val="14"/>
                <w:color w:val="auto"/>
              </w:rPr>
              <w:t>and Metallurgy 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CID000233</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Chimet S.p.A.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CID000244</w:t>
            </w:r>
          </w:p>
        </w:tc>
        <w:tc>
          <w:tcPr>
            <w:tcW w:w="17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Jiangxi Ketai Advanced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Material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CID000258</w:t>
            </w:r>
          </w:p>
        </w:tc>
        <w:tc>
          <w:tcPr>
            <w:tcW w:w="170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rPr>
              <w:t>Chongyi Zhangyuan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20" w:type="dxa"/>
            <w:vAlign w:val="bottom"/>
            <w:tcBorders>
              <w:right w:val="single" w:sz="8" w:color="auto"/>
            </w:tcBorders>
          </w:tcPr>
          <w:p>
            <w:pPr>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Tungsten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CID000264</w:t>
            </w:r>
          </w:p>
        </w:tc>
        <w:tc>
          <w:tcPr>
            <w:tcW w:w="17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Chugai Mining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9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CID000278</w:t>
            </w:r>
          </w:p>
        </w:tc>
        <w:tc>
          <w:tcPr>
            <w:tcW w:w="1700" w:type="dxa"/>
            <w:vAlign w:val="bottom"/>
            <w:tcBorders>
              <w:right w:val="single" w:sz="8" w:color="auto"/>
            </w:tcBorders>
          </w:tcPr>
          <w:p>
            <w:pPr>
              <w:spacing w:after="0" w:line="151" w:lineRule="exact"/>
              <w:rPr>
                <w:sz w:val="20"/>
                <w:szCs w:val="20"/>
                <w:color w:val="auto"/>
              </w:rPr>
            </w:pPr>
            <w:r>
              <w:rPr>
                <w:rFonts w:ascii="Arial" w:cs="Arial" w:eastAsia="Arial" w:hAnsi="Arial"/>
                <w:sz w:val="14"/>
                <w:szCs w:val="14"/>
                <w:color w:val="auto"/>
              </w:rPr>
              <w:t>CNMC (Guangxi) PGMA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184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19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2" w:right="2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CID000291</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Guangdong Rising Rare</w:t>
            </w:r>
          </w:p>
        </w:tc>
        <w:tc>
          <w:tcPr>
            <w:tcW w:w="16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Metals-EO Materials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CID000292</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Alpha</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CID000295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Cooperativa Metalurgica de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Rondonia Ltda.</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CID000306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CV Gita Pesona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CID000307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Justindo</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CID000309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3"/>
              </w:rPr>
              <w:t>PT Aries Kencana Sejahtera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CID000313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Premium Tin Indonesia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CID000315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CV United Smelting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CID000328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Daejin Indus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CID000343</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Daye Non-Ferrous Metals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Mining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CID000345</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Dayu Weiliang Tungsten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CID000359</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DSC (Do Sung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Corporation)</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CID000362</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DODUCO Contacts and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Refining GmbH</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CID000401</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Dowa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CID000402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Dowa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CID000410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Duoluoshan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CID000425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Eco-System Recycling Co.,</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BOLIVIA</w:t>
            </w: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CID000438</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EM Vinto</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(PLURINATIONAL</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STATE OF)</w:t>
            </w: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CID000448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Estanho de Rondonia S.A.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CID000456</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Exotech Inc.</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CID000460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F&amp;X Electro-Materials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CID000468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Fenix Metals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POLAND</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CID000493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OJSC Novosibirsk Refinery</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FEDERATION</w:t>
            </w: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CID000499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Fujian Jinxin Tungsten Co.,</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CID000522</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Refinery of Seemine Gold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CID000538</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Gejiu Non-Ferrous Metal</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Processing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CID000555</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Gejiu Zili Mining And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Metallurgy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CID000568</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5"/>
              </w:rPr>
              <w:t>Global Tungsten &amp; Powders</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Corp.</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CID000616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Guangdong Zhiyuan New</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Material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Guoda Safina High-Tech</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CID000651</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Environmental Refinery</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CID000671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Hangzhou Fuchunjiang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Smelting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CID000689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HeeSung Metal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CID000694</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Heimerle + Meule GmbH</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CID000707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Heraeus Metals Hong Kong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CID000711</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Heraeus Precious Metals</w:t>
            </w:r>
          </w:p>
        </w:tc>
        <w:tc>
          <w:tcPr>
            <w:tcW w:w="16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GmbH &amp; Co. KG</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CID000731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Hi-Temp Specialty Metals,</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Inc.</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CID000760</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Huichang Jinshunda Tin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CID000766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Hunan Chenzhou Mining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CID000767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Hunan Chenzhou Mining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CID000769</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Hunan Chunchang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Nonferrous Metals Co., Ltd.</w:t>
            </w:r>
          </w:p>
        </w:tc>
        <w:tc>
          <w:tcPr>
            <w:tcW w:w="1600" w:type="dxa"/>
            <w:vAlign w:val="bottom"/>
            <w:tcBorders>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vMerge w:val="continue"/>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Hunan Guiyang yinxing</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CID000773</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Nonferrous Smelting Co.,</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CID000778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HwaSeong CJ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Inner Mongolia Qiankun</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CID000801</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Gold and Silver Refinery</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Share Co., Ltd.</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CID000807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Ishifuku Metal Industry Co.,</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CID000814</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Istanbul Gold Refinery</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TURKEY</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CID000823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 Mint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CID000825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6"/>
              </w:rPr>
              <w:t>Japan New Metals Co.,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CID000855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Jiangxi Copper Co.,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CID000875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5"/>
              </w:rPr>
              <w:t>Ganzhou Huaxing Tungsten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Products 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CID000914</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JiuJiang JinXin Nonferrous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Metals 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CID000917</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Jiujiang Tanbre Co.,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CID000920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Asahi Refining USA Inc.</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CID000924</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Asahi Refining Canada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JSC Ekaterinburg Non-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CID000927</w:t>
            </w:r>
          </w:p>
        </w:tc>
        <w:tc>
          <w:tcPr>
            <w:tcW w:w="17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Ferrous Metal Processing</w:t>
            </w:r>
          </w:p>
        </w:tc>
        <w:tc>
          <w:tcPr>
            <w:tcW w:w="16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Plant</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CID000929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JSC Uralelectromed</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CID000937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JX Nippon Mining &amp;</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Metals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CID000942</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Gejiu Kai Meng Industry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and Trade LLC</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CID000956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Kazakhmys Smelting LLC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CID000957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Kazzinc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CID000966</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Kennametal Fallon</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CID000969</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Kennecott Utah Copper</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LLC</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CID000973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King-Tan Tantalum Industry</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CID000981</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Kojima Chemicals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CID001029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Kyrgyzaltyn JSC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KYRGYZSTAN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CID001032</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L'azurde Company For</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SAUDI ARABIA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Jewelry</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CID001056</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Lingbao Gold Co., Ltd.</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tcPr>
          <w:p>
            <w:pPr>
              <w:spacing w:after="0"/>
              <w:rPr>
                <w:sz w:val="20"/>
                <w:szCs w:val="20"/>
                <w:color w:val="auto"/>
              </w:rPr>
            </w:pPr>
          </w:p>
        </w:tc>
        <w:tc>
          <w:tcPr>
            <w:tcW w:w="194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CID001058</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Lingbao Jinyuan Tonghui</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Refinery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CID001070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 Tin Group Co.,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CID001076</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LSM Brasil S.A.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CID001078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LS-NIKKO Copper Inc.</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CID001093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Luoyang Zijin Yinhui Gold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Refinery 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CID001105</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Malaysia Smelting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MALAYSIA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Corporation (MSC)</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CID001113</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Materion</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CID001119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Matsuda Sangyo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CID001142</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Metallic Resources, Inc.</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CID001147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Metalor Technologies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(Suzhou)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CID001149</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Metalor Technologies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(Hong Kong)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CID001152</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Metalor Technologies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SINGAPORE</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(Singapore) Pte.,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CID001153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Metalor Technologies S.A.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CID001157</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Metalor USA Refining</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Corporation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CID001161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Metalurgica Met-Mex</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MEXICO</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Penoles S.A. De C.V.</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CID001163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Metallurgical Products India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Pvt.,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CID001173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Mineracao Taboca S.A.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CID001175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Mineracao Taboca S.A.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CID001182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Minsur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PERU</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CID001188</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Mitsubishi Materials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Corporation</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CID001191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Mitsubishi Materials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Corporation</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CID001192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Mitsui Mining and Smelting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CID001193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Mitsui Mining and Smelting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CID001200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NPM Silmet AS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ESTONIA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CID001204</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Moscow Special Alloys</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Processing Plant</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CID001220</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Nadir Metal Rafineri San.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TURKEY</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Ve Tic. A.S.</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CID001231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Jiangxi New Nanshan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Technology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CID001236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Navoi Mining and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UZBEKISTAN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Metallurgical Combinat</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CID001259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Nihon Material Co.,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CID001277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Ningxia Orient Tantalum</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Industry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CID001314</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O.M. Manufacturing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THAILAND</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(Thailand)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CID001322</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Elemetal Refining, LLC</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CID001325</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Ohura Precious Metal</w:t>
            </w:r>
          </w:p>
        </w:tc>
        <w:tc>
          <w:tcPr>
            <w:tcW w:w="16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Industry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OJSC "The Gulidov</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CID001326</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Krasnoyarsk Non-Ferrous</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Metals Plant" (OJSC</w:t>
            </w:r>
          </w:p>
        </w:tc>
        <w:tc>
          <w:tcPr>
            <w:tcW w:w="160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4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vMerge w:val="continue"/>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820" w:type="dxa"/>
            <w:vAlign w:val="bottom"/>
            <w:tcBorders>
              <w:right w:val="single" w:sz="8" w:color="auto"/>
            </w:tcBorders>
          </w:tcPr>
          <w:p>
            <w:pPr>
              <w:spacing w:after="0"/>
              <w:rPr>
                <w:sz w:val="4"/>
                <w:szCs w:val="4"/>
                <w:color w:val="auto"/>
              </w:rPr>
            </w:pPr>
          </w:p>
        </w:tc>
        <w:tc>
          <w:tcPr>
            <w:tcW w:w="1940" w:type="dxa"/>
            <w:vAlign w:val="bottom"/>
            <w:tcBorders>
              <w:right w:val="single" w:sz="8" w:color="auto"/>
            </w:tcBorders>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Krastsvetmet)</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Operaciones Metalurgical</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BOLIVIA</w:t>
            </w: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CID001337</w:t>
            </w:r>
          </w:p>
        </w:tc>
        <w:tc>
          <w:tcPr>
            <w:tcW w:w="1720" w:type="dxa"/>
            <w:vAlign w:val="bottom"/>
            <w:tcBorders>
              <w:right w:val="single" w:sz="8" w:color="auto"/>
            </w:tcBorders>
            <w:vMerge w:val="continue"/>
          </w:tcPr>
          <w:p>
            <w:pPr>
              <w:spacing w:after="0"/>
              <w:rPr>
                <w:sz w:val="5"/>
                <w:szCs w:val="5"/>
                <w:color w:val="auto"/>
              </w:rPr>
            </w:pPr>
          </w:p>
        </w:tc>
        <w:tc>
          <w:tcPr>
            <w:tcW w:w="160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(PLURINATIONAL</w:t>
            </w:r>
          </w:p>
        </w:tc>
        <w:tc>
          <w:tcPr>
            <w:tcW w:w="1020" w:type="dxa"/>
            <w:vAlign w:val="bottom"/>
            <w:tcBorders>
              <w:right w:val="single" w:sz="8" w:color="auto"/>
            </w:tcBorders>
            <w:vMerge w:val="restart"/>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S.A.</w:t>
            </w:r>
          </w:p>
        </w:tc>
        <w:tc>
          <w:tcPr>
            <w:tcW w:w="16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STATE OF)</w:t>
            </w:r>
          </w:p>
        </w:tc>
        <w:tc>
          <w:tcPr>
            <w:tcW w:w="10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CID001352</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PAMP S.A.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SWITZERLAND</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CID001362</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Penglai Penggang Gold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Industry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CID001386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Prioksky Plant of Non-</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Ferrous Metals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CID001397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PT Aneka Tambang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(Persero) Tbk</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CID001399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Artha Cipta Langgeng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CID001402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Babel Inti Perkasa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CID001406</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PT Babel Surya Alam</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Lestari</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CID001419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PT Bangka Tin Industry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CID001421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PT Belitung Industri</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Sejahtera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CID001428</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PT Bukit Timah</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CID001434</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DS Jaya Abadi</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CID001438</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9"/>
              </w:rPr>
              <w:t>PT Eunindo Usaha Mandiri</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CID001448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Karimun Mining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CID001453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Mitra Stania Prima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CID001457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Panca Mega Persada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CID001458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Prima Timah Utama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CID001460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Refined Bangka Tin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CID001463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PT Sariwiguna Binasentosa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CID001468</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PT Stanindo Inti Perkasa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CID001471</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PT Sumber Jaya Indah</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CID001477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PT Timah (Persero) Tbk</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Kundur</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CID001482</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PT Timah (Persero) Tbk</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Mentok</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CID001486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Timah Nusantara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CID001490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PT Tinindo Inter Nusa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CID001493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Tommy Utama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CID001498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PX Precinox S.A.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CID001508</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QuantumClean</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CID001512</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Rand Refinery (Pty)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SOUTH AFRICA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RFH Tantalum Smeltery</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CID001522</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Co., Ltd./Yanling Jincheng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Tantalum &amp; Niobium Co.,</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840" w:type="dxa"/>
            <w:vAlign w:val="bottom"/>
            <w:tcBorders>
              <w:left w:val="single" w:sz="8" w:color="auto"/>
              <w:right w:val="single" w:sz="8" w:color="auto"/>
            </w:tcBorders>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60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820" w:type="dxa"/>
            <w:vAlign w:val="bottom"/>
            <w:tcBorders>
              <w:right w:val="single" w:sz="8" w:color="auto"/>
            </w:tcBorders>
          </w:tcPr>
          <w:p>
            <w:pPr>
              <w:spacing w:after="0"/>
              <w:rPr>
                <w:sz w:val="4"/>
                <w:szCs w:val="4"/>
                <w:color w:val="auto"/>
              </w:rPr>
            </w:pPr>
          </w:p>
        </w:tc>
        <w:tc>
          <w:tcPr>
            <w:tcW w:w="1940" w:type="dxa"/>
            <w:vAlign w:val="bottom"/>
            <w:tcBorders>
              <w:right w:val="single" w:sz="8" w:color="auto"/>
            </w:tcBorders>
            <w:vMerge w:val="continue"/>
          </w:tcPr>
          <w:p>
            <w:pPr>
              <w:spacing w:after="0"/>
              <w:rPr>
                <w:sz w:val="4"/>
                <w:szCs w:val="4"/>
                <w:color w:val="auto"/>
              </w:rPr>
            </w:pPr>
          </w:p>
        </w:tc>
        <w:tc>
          <w:tcPr>
            <w:tcW w:w="1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CID001534</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Royal Canadian Mint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CANADA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CID001539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Rui Da Hung</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TAIWAN, PROVINCE</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OF CHINA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CID001546</w:t>
            </w:r>
          </w:p>
        </w:tc>
        <w:tc>
          <w:tcPr>
            <w:tcW w:w="17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Sabin Metal Corp.</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w:t>
            </w:r>
          </w:p>
        </w:tc>
        <w:tc>
          <w:tcPr>
            <w:tcW w:w="10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CID001555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Samduck Precious Metals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Progressing toward</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w:t>
            </w: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vMerge w:val="continue"/>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CID001562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Samwon Metals Corp.</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CID001573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Schone Edelmetaal B.V.</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NETHERLANDS</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CID001585</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SEMPSA Joyeria Plateria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SPAIN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Shandong Tiancheng</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CID001619</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Biological Gold Industrial</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CID001622</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Shandong Zhaojin Gold &amp;</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Silver Refinery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CID001736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Sichuan Tianze Precious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Metals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SOE Shyolkovsky Factory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CID001756</w:t>
            </w:r>
          </w:p>
        </w:tc>
        <w:tc>
          <w:tcPr>
            <w:tcW w:w="17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of Secondary Precious</w:t>
            </w:r>
          </w:p>
        </w:tc>
        <w:tc>
          <w:tcPr>
            <w:tcW w:w="160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restart"/>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Metals</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CID001758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Soft Metais Ltda.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CID001761</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Solar Applied Materials</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TAIWAN, PROVINCE</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Technology Corp.</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OF CHINA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CID001769</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Solikamsk Magnesium</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Works OAO</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CID001798</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Sumitomo Metal Mining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CID001810</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Super Dragon Technology</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TAIWAN, PROVINCE</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OF CHINA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CID001869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Taki Chemical Co.,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CID001875</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Tanaka Kikinzoku Kogyo</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K.K.</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CID001889</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Tejing (Vietnam) Tungsten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VIET NAM</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CID001891</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Telex Metals</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CID001898</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Thaisarco</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THAILAND</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CID001908</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Gejiu Yunxin Nonferrous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Electrolysis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CID001909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Great Wall Precious Metals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Co., Ltd. of CBPM</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CID001916</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The Refinery of Shandong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Gold Mining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CID001938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Tokuriki Honten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CID001947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Tongling Nonferrous Metals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Group 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CID001955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Torecom</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CID001969</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Ulba Metallurgical Plant</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KAZAKHSTAN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JSC</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CID001977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Umicore Brasil Ltda.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CID00128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Umicore S.A. Business Unit</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BELGIUM</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Precious Metals Refining</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CID001993</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Precious Metal</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Refining, Inc.</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CID002003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Valcambi S.A.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SWITZERLAND</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CID002011</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Vietnam Youngsun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VIET NAM</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8"/>
              </w:rPr>
              <w:t>Tungsten Industry Co., Ltd.</w:t>
            </w:r>
          </w:p>
        </w:tc>
        <w:tc>
          <w:tcPr>
            <w:tcW w:w="1600" w:type="dxa"/>
            <w:vAlign w:val="bottom"/>
            <w:tcBorders>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CID002030</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Western Australian Mint</w:t>
            </w:r>
          </w:p>
        </w:tc>
        <w:tc>
          <w:tcPr>
            <w:tcW w:w="16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AUSTRALIA</w:t>
            </w:r>
          </w:p>
        </w:tc>
        <w:tc>
          <w:tcPr>
            <w:tcW w:w="10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(T/a The Perth Mint)</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CID002036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White Solder Metalurgia 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Mineracao Ltda.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CID002044</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Wolfram Bergbau und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AUSTRIA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Hutten AG</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CID002082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Xiamen Tungsten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CID002095</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Xinhai Rendan Shaoguan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Tungsten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CID002100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Yamakin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CID002129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Yokohama Metal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CID002158</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Yunnan Chengfeng Non-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ferrous Metals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CID002180</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Yunnan Tin Company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Limited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CID002214</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Zhongkuang Gold Industry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CID002224</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Zhongyuan Gold Smelter of</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Zhongjin Gold Corporation</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CID002232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Zhuzhou Cemented Carbide</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Group 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CID002243</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Gold Refinery of Zijin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Mining Group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CID002282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Morris and Watson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NEW ZEALAND</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CID002290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SAFINA A.S.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CZECH REPUBLIC</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CID002307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5"/>
              </w:rPr>
              <w:t>Yichun Jin Yang Rare Metal</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CID002312</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Guangdong Jinding Gold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Limited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Jiangxi Minmetals Gao'an</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CID002313</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Non-ferrous Metals Co.,</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Ltd.</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CID002314</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Umicore Precious Metals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THAILAND</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Thailand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CID002315</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Ganzhou Jiangwu</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Ferrotungsten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CID002316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Jiangxi Yaosheng Tungsten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CID002317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Jiangxi Xinsheng Tungsten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Industry 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6"/>
              </w:rPr>
              <w:t>Jiangxi Tonggu Non-ferrous</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CID002318</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Metallurgical &amp; Chemical</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CID002319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Malipo Haiyu Tungsten Co.,</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CID002320</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Xiamen Tungsten (H.C.)</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CID002321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Jiangxi Gan Bei Tungsten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CID002455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CV Venus Inti Perkasa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CID002459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Geib Refining Corporation</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CID002468</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Magnu's Minerais Metais 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Ligas Ltda.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CID002478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Tirus Putra Mandiri</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Hengyang King Xing</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CID002492</w:t>
            </w:r>
          </w:p>
        </w:tc>
        <w:tc>
          <w:tcPr>
            <w:tcW w:w="17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Lifeng New Materials Co.,</w:t>
            </w:r>
          </w:p>
        </w:tc>
        <w:tc>
          <w:tcPr>
            <w:tcW w:w="160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Ltd.</w:t>
            </w:r>
          </w:p>
        </w:tc>
        <w:tc>
          <w:tcPr>
            <w:tcW w:w="16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CID002494</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Ganzhou Seadragon W &amp;</w:t>
            </w:r>
          </w:p>
        </w:tc>
        <w:tc>
          <w:tcPr>
            <w:tcW w:w="16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Mo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CID002500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Melt Metais e Ligas S.A.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CID002502</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Asia Tungsten Products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VIET NAM</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Vietnam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CID002503</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PT ATD Makmur Mandiri</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Jaya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CID002504</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D Block Metals, LLC</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CID002505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6"/>
              </w:rPr>
              <w:t>FIR Metals &amp; Resource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CID002506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Jiujiang Zhongao Tantalum</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&amp; Niobium 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XinXing HaoRong</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CID002508</w:t>
            </w:r>
          </w:p>
        </w:tc>
        <w:tc>
          <w:tcPr>
            <w:tcW w:w="17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Electronic Material Co.,</w:t>
            </w:r>
          </w:p>
        </w:tc>
        <w:tc>
          <w:tcPr>
            <w:tcW w:w="160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Ltd.</w:t>
            </w:r>
          </w:p>
        </w:tc>
        <w:tc>
          <w:tcPr>
            <w:tcW w:w="16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CID002509</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MMTC-PAMP India Pvt.,</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CID002510</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Republic Metals</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Corporation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CID002511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KGHM Polska Miedz</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POLAND</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Active</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Spolka Akcyjna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CID002512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Jiangxi Dinghai Tantalum &amp;</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Niobium 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CID002513</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Chenzhou Diamond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Tungsten Products Co., Ltd.</w:t>
            </w:r>
          </w:p>
        </w:tc>
        <w:tc>
          <w:tcPr>
            <w:tcW w:w="1600" w:type="dxa"/>
            <w:vAlign w:val="bottom"/>
            <w:tcBorders>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vMerge w:val="continue"/>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CID002515</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Fidelity Printers and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ZIMBABWE</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Refiners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CID002516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Singway Technology Co.,</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TAIWAN, PROVINCE</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OF CHINA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CID002517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O.M. Manufacturing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PHILIPPINES</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Philippines, Inc.</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CID002519</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Henan Yuguang Gold &amp;</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Lead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CID002525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Shandong Humon Smelting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CID002527</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Shenzhen Zhonghenglong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Real Industry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CID002530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Inti Stania Prima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CID002535</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Jiangxi Xiushui Xianggan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Nonferrous Metals Co., Ltd.</w:t>
            </w:r>
          </w:p>
        </w:tc>
        <w:tc>
          <w:tcPr>
            <w:tcW w:w="1600" w:type="dxa"/>
            <w:vAlign w:val="bottom"/>
            <w:tcBorders>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CID002536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Ganzhou Yatai Tungsten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CID002539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KEMET Blue Metals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MEXICO</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CID002540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Plansee SE Liezen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AUSTRIA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Pr>
          <w:p>
            <w:pPr>
              <w:ind w:left="20"/>
              <w:spacing w:after="0" w:line="157" w:lineRule="exact"/>
              <w:rPr>
                <w:sz w:val="20"/>
                <w:szCs w:val="20"/>
                <w:color w:val="auto"/>
              </w:rPr>
            </w:pPr>
            <w:r>
              <w:rPr>
                <w:rFonts w:ascii="Arial" w:cs="Arial" w:eastAsia="Arial" w:hAnsi="Arial"/>
                <w:sz w:val="14"/>
                <w:szCs w:val="14"/>
                <w:color w:val="auto"/>
              </w:rPr>
              <w:t>Does not meet defin</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color w:val="auto"/>
              </w:rPr>
              <w:t>of smelter/refiner</w:t>
            </w: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CID002541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H.C. Starck Tungsten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GmbH</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CID002542</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H.C. Starck Smelting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GmbH &amp; Co. KG</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Nui Phao H.C. Starck</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CID002543</w:t>
            </w:r>
          </w:p>
        </w:tc>
        <w:tc>
          <w:tcPr>
            <w:tcW w:w="17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Tungsten Chemicals</w:t>
            </w:r>
          </w:p>
        </w:tc>
        <w:tc>
          <w:tcPr>
            <w:tcW w:w="160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VIET NAM</w:t>
            </w:r>
          </w:p>
        </w:tc>
        <w:tc>
          <w:tcPr>
            <w:tcW w:w="1020" w:type="dxa"/>
            <w:vAlign w:val="bottom"/>
            <w:tcBorders>
              <w:right w:val="single" w:sz="8" w:color="auto"/>
            </w:tcBorders>
            <w:vMerge w:val="restart"/>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Manufacturing LLC</w:t>
            </w:r>
          </w:p>
        </w:tc>
        <w:tc>
          <w:tcPr>
            <w:tcW w:w="16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CID002544</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H.C. Starck Co.,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THAILAND</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CID002545</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H.C. Starck Tantalum and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Niobium GmbH</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CID002547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H.C. Starck Hermsdorf</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GmbH</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CID002548</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H.C. Starck Inc.</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CID002549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H.C. Starck Ltd.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CID002550</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H.C. Starck Smelting</w:t>
            </w:r>
          </w:p>
        </w:tc>
        <w:tc>
          <w:tcPr>
            <w:tcW w:w="160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GmbH &amp; Co. KG</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CID002551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Jiangwu H.C. Starck</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40" w:type="dxa"/>
            <w:vAlign w:val="bottom"/>
            <w:tcBorders>
              <w:bottom w:val="single" w:sz="8" w:color="auto"/>
              <w:right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5"/>
              </w:rPr>
              <w:t>Tungsten Products Co., Ltd.</w:t>
            </w:r>
          </w:p>
        </w:tc>
        <w:tc>
          <w:tcPr>
            <w:tcW w:w="1600" w:type="dxa"/>
            <w:vAlign w:val="bottom"/>
            <w:tcBorders>
              <w:bottom w:val="single" w:sz="8" w:color="auto"/>
              <w:right w:val="single" w:sz="8" w:color="auto"/>
            </w:tcBorders>
            <w:vMerge w:val="continue"/>
          </w:tcPr>
          <w:p>
            <w:pPr>
              <w:spacing w:after="0"/>
              <w:rPr>
                <w:sz w:val="16"/>
                <w:szCs w:val="16"/>
                <w:color w:val="auto"/>
              </w:rPr>
            </w:pPr>
          </w:p>
        </w:tc>
        <w:tc>
          <w:tcPr>
            <w:tcW w:w="102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vMerge w:val="continue"/>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CID002557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Global Advanced Metals</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Boyertown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CID002558</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Global Advanced Metals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JAPAN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Aizu</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CID002560</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Al Etihad Gold LLC</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ARAB</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EMIRATES</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CID002561</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Emirates Gold DMCC</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ARAB</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EMIRATES</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CID002562</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5"/>
              </w:rPr>
              <w:t>International Precious Metal</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ARAB</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Refiners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EMIRATES</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CID002563</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Kaloti Precious Metals</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ARAB</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EMIRATES</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CID002567</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Sudan Gold Refinery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SUDAN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CID002568</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KEMET Blue Powder</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CID002570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CV Ayi Jaya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CID002571</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Tranzact, Inc.</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Electro-Mechanical Facility</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CID002572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of the Cao Bang Minerals &amp;</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89"/>
        </w:trPr>
        <w:tc>
          <w:tcPr>
            <w:tcW w:w="840" w:type="dxa"/>
            <w:vAlign w:val="bottom"/>
            <w:tcBorders>
              <w:left w:val="single" w:sz="8" w:color="auto"/>
              <w:right w:val="single" w:sz="8" w:color="auto"/>
            </w:tcBorders>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ind w:left="20"/>
              <w:spacing w:after="0" w:line="90" w:lineRule="exact"/>
              <w:rPr>
                <w:sz w:val="20"/>
                <w:szCs w:val="20"/>
                <w:color w:val="auto"/>
              </w:rPr>
            </w:pPr>
            <w:r>
              <w:rPr>
                <w:rFonts w:ascii="Arial" w:cs="Arial" w:eastAsia="Arial" w:hAnsi="Arial"/>
                <w:sz w:val="10"/>
                <w:szCs w:val="10"/>
                <w:color w:val="auto"/>
              </w:rPr>
              <w:t>Metallurgy Joint Stock</w:t>
            </w:r>
          </w:p>
        </w:tc>
        <w:tc>
          <w:tcPr>
            <w:tcW w:w="160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Company</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Nghe Tinh Non-Ferrous</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CID002573</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Metals Joint Stock</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VIET NAM</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Company</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Tuyen Quang Non-Ferrous</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CID002574</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Metals Joint Stock</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VIET NAM</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Company</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CID002579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3"/>
              </w:rPr>
              <w:t>Hunan Chuangda Vanadium</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Tungsten Co., Ltd. Wuji</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CID002580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T.C.A S.p.A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CID002582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Remondis Argentia B.V.</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NETHERLANDS</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CID002584</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Fujairah Gold FZE</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ARAB</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EMIRATES</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CID002587</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Tony Goetz NV</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BELGIUM</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CID002589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Niagara Refining LLC</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CID002592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CV Dua Sekawan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CID002593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CV Tiga Sekawan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CID002605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Zinc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CID002606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Marsam Metals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CID002615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TOO Tau-Ken-Altyn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KAZAKHSTAN</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CID002645</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Ganzhou Haichuang</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Tungsten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CID002647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Jiangxi Dayu Longxintai</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Tungsten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CID002649</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Hydrometallurg, JSC</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CID002696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Cipta Persada Mulia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An Vinh Joint Stock</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CID002703</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Mineral Processing</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VIET NAM</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Company</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CID002706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Resind Industria 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Comercio Ltda.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CID002707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Resind Industria 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Comercio Ltda.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84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CID002708</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Abington Reldan Metals,</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UNITED STATES OF</w:t>
            </w:r>
          </w:p>
        </w:tc>
        <w:tc>
          <w:tcPr>
            <w:tcW w:w="1020" w:type="dxa"/>
            <w:vAlign w:val="bottom"/>
            <w:tcBorders>
              <w:top w:val="single" w:sz="8" w:color="auto"/>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tcPr>
          <w:p>
            <w:pPr>
              <w:spacing w:after="0"/>
              <w:rPr>
                <w:sz w:val="14"/>
                <w:szCs w:val="14"/>
                <w:color w:val="auto"/>
              </w:rPr>
            </w:pPr>
          </w:p>
        </w:tc>
        <w:tc>
          <w:tcPr>
            <w:tcW w:w="1940" w:type="dxa"/>
            <w:vAlign w:val="bottom"/>
            <w:tcBorders>
              <w:top w:val="single" w:sz="8" w:color="auto"/>
              <w:right w:val="single" w:sz="8" w:color="auto"/>
            </w:tcBorders>
          </w:tcPr>
          <w:p>
            <w:pPr>
              <w:spacing w:after="0"/>
              <w:rPr>
                <w:sz w:val="14"/>
                <w:szCs w:val="14"/>
                <w:color w:val="auto"/>
              </w:rPr>
            </w:pPr>
          </w:p>
        </w:tc>
        <w:tc>
          <w:tcPr>
            <w:tcW w:w="136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LLC</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CID002724</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Unecha Refractory metals</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plant</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CID002756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Super Ligas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CID002757</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PT O.M. Indonesia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Pr>
          <w:p>
            <w:pPr>
              <w:ind w:left="20"/>
              <w:spacing w:after="0" w:line="151" w:lineRule="exact"/>
              <w:rPr>
                <w:sz w:val="20"/>
                <w:szCs w:val="20"/>
                <w:color w:val="auto"/>
              </w:rPr>
            </w:pPr>
            <w:r>
              <w:rPr>
                <w:rFonts w:ascii="Arial" w:cs="Arial" w:eastAsia="Arial" w:hAnsi="Arial"/>
                <w:sz w:val="14"/>
                <w:szCs w:val="14"/>
                <w:color w:val="auto"/>
              </w:rPr>
              <w:t>Does not meet defin</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color w:val="auto"/>
              </w:rPr>
              <w:t>of smelter/refiner</w:t>
            </w: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tcBorders>
            <w:vMerge w:val="continue"/>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CID002761</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SAAMP</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FRANCE</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CID002762</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L'Orfebre S.A.</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ANDORRA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CID002763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8853 S.p.A.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CID002765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Italpreziosi</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CID002773</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Metallo Belgium N.V.</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BELGIUM</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CID002774</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Metallo Spain S.L.U.</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SPAIN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CID002776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Bangka Prima Tin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CID002777</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SAXONIA Edelmetalle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GmbH</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CID002778</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WIELAND Edelmetalle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GmbH</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Ogussa Osterreichische</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CID002779</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Gold- und Silber-</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AUSTRIA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Scheideanstalt GmbH</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South-East Nonferrous</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CID002815</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Metal Company Limited of</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Hengyang City</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CID002816</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Sukses Inti Makmur</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CID002825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 Thai Minerals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VIET NAM</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No longer operating</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CID002827</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Philippine Chuangxin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PHILIPPINES</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Industrial Co., Inc.</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CID002829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Kijang Jaya Mandiri</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8"/>
              </w:rPr>
              <w:t>Xinfeng Huarui Tungsten &amp;</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CID002830</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Molybdenum New Material</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CID002833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ACL Metais Eireli</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BRAZIL</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CID002835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Menara Cipta Mulia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CID002842</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Jiangxi Tuohong New Raw</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Material</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region</w:t>
            </w: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CID002843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Woltech Korea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CID002844</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HuiChang Hill Tin Industry</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Co., Ltd.</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CID002845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Moliren Ltd.</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MACEDONIA, THE</w:t>
            </w: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CID002847</w:t>
            </w:r>
          </w:p>
        </w:tc>
        <w:tc>
          <w:tcPr>
            <w:tcW w:w="17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Power Resources Ltd.</w:t>
            </w:r>
          </w:p>
        </w:tc>
        <w:tc>
          <w:tcPr>
            <w:tcW w:w="160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FORMER YUGOSLAV</w:t>
            </w:r>
          </w:p>
        </w:tc>
        <w:tc>
          <w:tcPr>
            <w:tcW w:w="1020" w:type="dxa"/>
            <w:vAlign w:val="bottom"/>
            <w:tcBorders>
              <w:right w:val="single" w:sz="8" w:color="auto"/>
            </w:tcBorders>
            <w:vMerge w:val="restart"/>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vMerge w:val="continue"/>
          </w:tcPr>
          <w:p>
            <w:pPr>
              <w:spacing w:after="0"/>
              <w:rPr>
                <w:sz w:val="5"/>
                <w:szCs w:val="5"/>
                <w:color w:val="auto"/>
              </w:rPr>
            </w:pPr>
          </w:p>
        </w:tc>
        <w:tc>
          <w:tcPr>
            <w:tcW w:w="1360" w:type="dxa"/>
            <w:vAlign w:val="bottom"/>
            <w:tcBorders>
              <w:right w:val="single" w:sz="8" w:color="auto"/>
            </w:tcBorders>
            <w:vMerge w:val="restart"/>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REPUBLIC OF</w:t>
            </w:r>
          </w:p>
        </w:tc>
        <w:tc>
          <w:tcPr>
            <w:tcW w:w="10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CID002848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Gejiu Fengming Metallurgy</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Chemical Plant</w:t>
            </w:r>
          </w:p>
        </w:tc>
        <w:tc>
          <w:tcPr>
            <w:tcW w:w="160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Guanyang Guida</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CID002849</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Nonferrous Metal Smelting</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Plant</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CID002850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AU Traders and Refiners</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SOUTH AFRICA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CID002852</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GCC Gujrat Gold Centre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Pvt.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CID002853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Sai Refinery</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CID002854</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Universal Precious Metals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ZAMBIA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Yes</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Refining Zambia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CID002857</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Modeltech Sdn Bhd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CID002858</w:t>
            </w: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Modeltech Sdn Bhd</w:t>
            </w:r>
          </w:p>
        </w:tc>
        <w:tc>
          <w:tcPr>
            <w:tcW w:w="1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MALAYSIA</w:t>
            </w:r>
          </w:p>
        </w:tc>
        <w:tc>
          <w:tcPr>
            <w:tcW w:w="102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CID002859</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Gejiu Jinye Mineral</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Company</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CID002863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Bangalore Refinery</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CID002865</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Kyshtym Copper-</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RUSSIAN</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Electrolytic Plant ZAO</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FEDERATION</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CID002866</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Morris and Watson Gold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AUSTRALIA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Coast</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CID002867</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Degussa Sonne / Mond</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GERMANY</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Goldhandel GmbH</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CID002870</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PT Lautan Harmonis</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Sejahtera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CID002872</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Pease &amp; Curren</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CID002918</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SungEel HiMetal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CID002919</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Planta Recuperadora de</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CHILE</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Metales SpA</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CID002973</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Safimet S.p.A</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ITALY</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CID003116</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Guangdong Hanhe Non-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Ferrous Metal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State Research Institute</w:t>
            </w:r>
          </w:p>
        </w:tc>
        <w:tc>
          <w:tcPr>
            <w:tcW w:w="16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CID003153</w:t>
            </w:r>
          </w:p>
        </w:tc>
        <w:tc>
          <w:tcPr>
            <w:tcW w:w="17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Center for Physical</w:t>
            </w:r>
          </w:p>
        </w:tc>
        <w:tc>
          <w:tcPr>
            <w:tcW w:w="16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LITHUANIA</w:t>
            </w:r>
          </w:p>
        </w:tc>
        <w:tc>
          <w:tcPr>
            <w:tcW w:w="1020" w:type="dxa"/>
            <w:vAlign w:val="bottom"/>
            <w:tcBorders>
              <w:right w:val="single" w:sz="8" w:color="auto"/>
            </w:tcBorders>
          </w:tcPr>
          <w:p>
            <w:pPr>
              <w:ind w:left="400"/>
              <w:spacing w:after="0" w:line="149" w:lineRule="exact"/>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8"/>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Sciences and Technology</w:t>
            </w:r>
          </w:p>
        </w:tc>
        <w:tc>
          <w:tcPr>
            <w:tcW w:w="16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Tungsten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CID003182</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Hunan Litian Tungsten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Active</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Industry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CID003185</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African Gold Refinery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UGANDA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Yes</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may source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CID003189</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NH Recytech Company</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Active</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CID003190</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Chifeng Dajingzi Tin</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Industry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Tantalum</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CID003191</w:t>
            </w:r>
          </w:p>
        </w:tc>
        <w:tc>
          <w:tcPr>
            <w:tcW w:w="17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Jiujiang Janny New</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CHINA</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sources from defined DRC</w:t>
            </w: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Material Co., Ltd.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region</w:t>
            </w: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CID003195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DS PRETECH Co., Ltd.</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KOREA, REPUBLIC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CID003205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PT Bangka Serumpun</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INDONESIA</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53"/>
        </w:trPr>
        <w:tc>
          <w:tcPr>
            <w:tcW w:w="84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CID003208</w:t>
            </w:r>
          </w:p>
        </w:tc>
        <w:tc>
          <w:tcPr>
            <w:tcW w:w="17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Pongpipat Company</w:t>
            </w: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MYANMAR</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Limited</w:t>
            </w:r>
          </w:p>
        </w:tc>
        <w:tc>
          <w:tcPr>
            <w:tcW w:w="160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CID003324</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QG Refining, LLC</w:t>
            </w:r>
          </w:p>
        </w:tc>
        <w:tc>
          <w:tcPr>
            <w:tcW w:w="160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AMERICA</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Tin</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CID003325</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Tin Technology &amp; Refining</w:t>
            </w:r>
          </w:p>
        </w:tc>
        <w:tc>
          <w:tcPr>
            <w:tcW w:w="16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STATES OF</w:t>
            </w:r>
          </w:p>
        </w:tc>
        <w:tc>
          <w:tcPr>
            <w:tcW w:w="1020" w:type="dxa"/>
            <w:vAlign w:val="bottom"/>
            <w:tcBorders>
              <w:right w:val="single" w:sz="8" w:color="auto"/>
            </w:tcBorders>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RMAP Conformant</w:t>
            </w:r>
          </w:p>
        </w:tc>
        <w:tc>
          <w:tcPr>
            <w:tcW w:w="19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AMERICA</w:t>
            </w:r>
          </w:p>
        </w:tc>
        <w:tc>
          <w:tcPr>
            <w:tcW w:w="102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Gold</w:t>
            </w:r>
          </w:p>
        </w:tc>
        <w:tc>
          <w:tcPr>
            <w:tcW w:w="11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CID003348</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Dijllah Gold Refinery FZC</w:t>
            </w:r>
          </w:p>
        </w:tc>
        <w:tc>
          <w:tcPr>
            <w:tcW w:w="160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UNITED ARAB</w:t>
            </w:r>
          </w:p>
        </w:tc>
        <w:tc>
          <w:tcPr>
            <w:tcW w:w="10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4"/>
                <w:szCs w:val="14"/>
                <w:color w:val="auto"/>
              </w:rPr>
              <w:t>No</w:t>
            </w:r>
          </w:p>
        </w:tc>
        <w:tc>
          <w:tcPr>
            <w:tcW w:w="18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01"/>
        </w:trPr>
        <w:tc>
          <w:tcPr>
            <w:tcW w:w="840" w:type="dxa"/>
            <w:vAlign w:val="bottom"/>
            <w:tcBorders>
              <w:left w:val="single" w:sz="8" w:color="auto"/>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EMIRATES</w:t>
            </w:r>
          </w:p>
        </w:tc>
        <w:tc>
          <w:tcPr>
            <w:tcW w:w="10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840" w:type="dxa"/>
            <w:vAlign w:val="bottom"/>
            <w:tcBorders>
              <w:left w:val="single" w:sz="8" w:color="auto"/>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71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2019-12-02T05:03:39Z</dcterms:created>
  <dcterms:modified xsi:type="dcterms:W3CDTF">2019-12-02T05:03:39Z</dcterms:modified>
</cp:coreProperties>
</file>