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403860</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443230</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May 3, 2013</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5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40" w:lineRule="exact"/>
        <w:rPr>
          <w:sz w:val="24"/>
          <w:szCs w:val="24"/>
          <w:color w:val="auto"/>
        </w:rPr>
      </w:pPr>
    </w:p>
    <w:p>
      <w:pPr>
        <w:ind w:left="5669" w:right="2560" w:hanging="5669"/>
        <w:spacing w:after="0" w:line="261" w:lineRule="auto"/>
        <w:tabs>
          <w:tab w:leader="none" w:pos="92" w:val="left"/>
        </w:tabs>
        <w:numPr>
          <w:ilvl w:val="0"/>
          <w:numId w:val="2"/>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177165</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88" w:right="1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3250" cy="1587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May 3, 2013, The Washington Post Company issued a press release announcing the Company’s earnings for the first quarter ended March 31, 20 copy of this press release is furnished with this report as an exhibit to this Form 8-K.</w:t>
      </w: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Exhibit 99.1 The Washington Post Company Earnings Release Dated May 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149" w:right="139" w:bottom="1440" w:gutter="0" w:footer="0" w:header="0"/>
        </w:sectPr>
      </w:pPr>
    </w:p>
    <w:bookmarkStart w:id="2" w:name="page3"/>
    <w:bookmarkEnd w:id="2"/>
    <w:p>
      <w:pPr>
        <w:ind w:left="5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ind w:left="580" w:right="40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The Washington Post Company</w:t>
            </w:r>
          </w:p>
        </w:tc>
        <w:tc>
          <w:tcPr>
            <w:tcW w:w="4720" w:type="dxa"/>
            <w:vAlign w:val="bottom"/>
            <w:gridSpan w:val="3"/>
          </w:tcPr>
          <w:p>
            <w:pPr>
              <w:spacing w:after="0"/>
              <w:rPr>
                <w:sz w:val="16"/>
                <w:szCs w:val="16"/>
                <w:color w:val="auto"/>
              </w:rPr>
            </w:pPr>
          </w:p>
        </w:tc>
      </w:tr>
      <w:tr>
        <w:trPr>
          <w:trHeight w:val="202"/>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4"/>
          </w:tcPr>
          <w:p>
            <w:pPr>
              <w:ind w:left="820"/>
              <w:spacing w:after="0"/>
              <w:rPr>
                <w:sz w:val="20"/>
                <w:szCs w:val="20"/>
                <w:color w:val="auto"/>
              </w:rPr>
            </w:pPr>
            <w:r>
              <w:rPr>
                <w:rFonts w:ascii="Arial" w:cs="Arial" w:eastAsia="Arial" w:hAnsi="Arial"/>
                <w:sz w:val="17"/>
                <w:szCs w:val="17"/>
                <w:color w:val="auto"/>
              </w:rPr>
              <w:t>(Registrant)</w:t>
            </w:r>
          </w:p>
        </w:tc>
      </w:tr>
      <w:tr>
        <w:trPr>
          <w:trHeight w:val="709"/>
        </w:trPr>
        <w:tc>
          <w:tcPr>
            <w:tcW w:w="58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7"/>
                <w:szCs w:val="17"/>
                <w:color w:val="auto"/>
              </w:rPr>
              <w:t>Date May 3, 2013</w:t>
            </w: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60" w:type="dxa"/>
            <w:vAlign w:val="bottom"/>
            <w:gridSpan w:val="4"/>
          </w:tcPr>
          <w:p>
            <w:pPr>
              <w:ind w:left="940"/>
              <w:spacing w:after="0"/>
              <w:rPr>
                <w:sz w:val="20"/>
                <w:szCs w:val="20"/>
                <w:color w:val="auto"/>
              </w:rPr>
            </w:pPr>
            <w:r>
              <w:rPr>
                <w:rFonts w:ascii="Arial" w:cs="Arial" w:eastAsia="Arial" w:hAnsi="Arial"/>
                <w:sz w:val="17"/>
                <w:szCs w:val="17"/>
                <w:color w:val="auto"/>
              </w:rPr>
              <w:t>/s/ Hal S. Jones</w:t>
            </w:r>
          </w:p>
        </w:tc>
      </w:tr>
      <w:tr>
        <w:trPr>
          <w:trHeight w:val="190"/>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100" w:type="dxa"/>
            <w:vAlign w:val="bottom"/>
            <w:tcBorders>
              <w:top w:val="single" w:sz="8" w:color="auto"/>
            </w:tcBorders>
            <w:gridSpan w:val="2"/>
          </w:tcPr>
          <w:p>
            <w:pPr>
              <w:ind w:left="740"/>
              <w:spacing w:after="0" w:line="190" w:lineRule="exact"/>
              <w:rPr>
                <w:sz w:val="20"/>
                <w:szCs w:val="20"/>
                <w:color w:val="auto"/>
              </w:rPr>
            </w:pPr>
            <w:r>
              <w:rPr>
                <w:rFonts w:ascii="Arial" w:cs="Arial" w:eastAsia="Arial" w:hAnsi="Arial"/>
                <w:sz w:val="17"/>
                <w:szCs w:val="17"/>
                <w:color w:val="auto"/>
              </w:rPr>
              <w:t>Hal S. Jones</w:t>
            </w:r>
          </w:p>
        </w:tc>
        <w:tc>
          <w:tcPr>
            <w:tcW w:w="4260" w:type="dxa"/>
            <w:vAlign w:val="bottom"/>
            <w:gridSpan w:val="2"/>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20" w:type="dxa"/>
            <w:vAlign w:val="bottom"/>
            <w:gridSpan w:val="6"/>
          </w:tcPr>
          <w:p>
            <w:pPr>
              <w:ind w:left="2000"/>
              <w:spacing w:after="0" w:line="186" w:lineRule="exact"/>
              <w:rPr>
                <w:sz w:val="20"/>
                <w:szCs w:val="20"/>
                <w:color w:val="auto"/>
              </w:rPr>
            </w:pPr>
            <w:r>
              <w:rPr>
                <w:rFonts w:ascii="Arial" w:cs="Arial" w:eastAsia="Arial" w:hAnsi="Arial"/>
                <w:sz w:val="17"/>
                <w:szCs w:val="17"/>
                <w:color w:val="auto"/>
              </w:rPr>
              <w:t>Senior Vice President - Finance</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4"/>
          </w:tcPr>
          <w:p>
            <w:pPr>
              <w:ind w:left="140"/>
              <w:spacing w:after="0"/>
              <w:rPr>
                <w:sz w:val="20"/>
                <w:szCs w:val="20"/>
                <w:color w:val="auto"/>
              </w:rPr>
            </w:pPr>
            <w:r>
              <w:rPr>
                <w:rFonts w:ascii="Arial" w:cs="Arial" w:eastAsia="Arial" w:hAnsi="Arial"/>
                <w:sz w:val="17"/>
                <w:szCs w:val="17"/>
                <w:color w:val="auto"/>
              </w:rPr>
              <w:t>(Principal Financial Officer)</w:t>
            </w:r>
          </w:p>
        </w:tc>
      </w:tr>
      <w:tr>
        <w:trPr>
          <w:trHeight w:val="763"/>
        </w:trPr>
        <w:tc>
          <w:tcPr>
            <w:tcW w:w="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700" w:type="dxa"/>
            <w:vAlign w:val="bottom"/>
            <w:gridSpan w:val="3"/>
          </w:tcPr>
          <w:p>
            <w:pPr>
              <w:jc w:val="right"/>
              <w:ind w:right="377"/>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1149" w:right="1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38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The Washington Post Company Earnings Release dated May 3, 2013.</w:t>
      </w:r>
    </w:p>
    <w:p>
      <w:pPr>
        <w:spacing w:after="0" w:line="2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1149"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7"/>
                <w:szCs w:val="17"/>
                <w:color w:val="auto"/>
              </w:rPr>
              <w:t>Contact:</w:t>
            </w:r>
          </w:p>
        </w:tc>
        <w:tc>
          <w:tcPr>
            <w:tcW w:w="5300" w:type="dxa"/>
            <w:vAlign w:val="bottom"/>
          </w:tcPr>
          <w:p>
            <w:pPr>
              <w:ind w:left="280"/>
              <w:spacing w:after="0"/>
              <w:rPr>
                <w:sz w:val="20"/>
                <w:szCs w:val="20"/>
                <w:color w:val="auto"/>
              </w:rPr>
            </w:pPr>
            <w:r>
              <w:rPr>
                <w:rFonts w:ascii="Arial" w:cs="Arial" w:eastAsia="Arial" w:hAnsi="Arial"/>
                <w:sz w:val="17"/>
                <w:szCs w:val="17"/>
                <w:color w:val="auto"/>
              </w:rPr>
              <w:t>Hal S. Jones</w:t>
            </w:r>
          </w:p>
        </w:tc>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6"/>
              </w:rPr>
              <w:t>For Immediate Release</w:t>
            </w:r>
          </w:p>
        </w:tc>
      </w:tr>
      <w:tr>
        <w:trPr>
          <w:trHeight w:val="202"/>
        </w:trPr>
        <w:tc>
          <w:tcPr>
            <w:tcW w:w="880" w:type="dxa"/>
            <w:vAlign w:val="bottom"/>
          </w:tcPr>
          <w:p>
            <w:pPr>
              <w:spacing w:after="0"/>
              <w:rPr>
                <w:sz w:val="17"/>
                <w:szCs w:val="17"/>
                <w:color w:val="auto"/>
              </w:rPr>
            </w:pPr>
          </w:p>
        </w:tc>
        <w:tc>
          <w:tcPr>
            <w:tcW w:w="5300" w:type="dxa"/>
            <w:vAlign w:val="bottom"/>
          </w:tcPr>
          <w:p>
            <w:pPr>
              <w:ind w:left="260"/>
              <w:spacing w:after="0"/>
              <w:rPr>
                <w:sz w:val="20"/>
                <w:szCs w:val="20"/>
                <w:color w:val="auto"/>
              </w:rPr>
            </w:pPr>
            <w:r>
              <w:rPr>
                <w:rFonts w:ascii="Arial" w:cs="Arial" w:eastAsia="Arial" w:hAnsi="Arial"/>
                <w:sz w:val="17"/>
                <w:szCs w:val="17"/>
                <w:color w:val="auto"/>
              </w:rPr>
              <w:t>(202) 334-6645</w:t>
            </w:r>
          </w:p>
        </w:tc>
        <w:tc>
          <w:tcPr>
            <w:tcW w:w="1720" w:type="dxa"/>
            <w:vAlign w:val="bottom"/>
          </w:tcPr>
          <w:p>
            <w:pPr>
              <w:ind w:left="80"/>
              <w:spacing w:after="0"/>
              <w:rPr>
                <w:sz w:val="20"/>
                <w:szCs w:val="20"/>
                <w:color w:val="auto"/>
              </w:rPr>
            </w:pPr>
            <w:r>
              <w:rPr>
                <w:rFonts w:ascii="Arial" w:cs="Arial" w:eastAsia="Arial" w:hAnsi="Arial"/>
                <w:sz w:val="17"/>
                <w:szCs w:val="17"/>
                <w:color w:val="auto"/>
              </w:rPr>
              <w:t>May 3, 2013</w:t>
            </w:r>
          </w:p>
        </w:tc>
      </w:tr>
    </w:tbl>
    <w:p>
      <w:pPr>
        <w:spacing w:after="0" w:line="35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THE WASHINGTON POST COMPANY REPORTS</w:t>
      </w:r>
    </w:p>
    <w:p>
      <w:pPr>
        <w:jc w:val="center"/>
        <w:ind w:left="1160"/>
        <w:spacing w:after="0"/>
        <w:rPr>
          <w:sz w:val="20"/>
          <w:szCs w:val="20"/>
          <w:color w:val="auto"/>
        </w:rPr>
      </w:pPr>
      <w:r>
        <w:rPr>
          <w:rFonts w:ascii="Arial" w:cs="Arial" w:eastAsia="Arial" w:hAnsi="Arial"/>
          <w:sz w:val="17"/>
          <w:szCs w:val="17"/>
          <w:color w:val="auto"/>
        </w:rPr>
        <w:t>FIRST QUARTER EARNINGS</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WASHINGTON – The Washington Post Company (NYSE: WPO) today reported net income attributable to common shares of $4.7 million ($0.64 per s for the first quarter ended March 31, 2013, compared to $31.0 million ($4.07 per share) for the first quarter of last year. Net income includes $1.4 millio losses ($0.18 per share) and $17.6 million in income ($2.35 per share) from discontinued operations for the first quarter of 2013 and 2012, respectivel Income from continuing operations attributable to common shares was $6.1 million ($0.82 per share) for the first quarter of 2013, compared to $13.5 m ($1.72 per share) for the first quarter of 2012. As a result of the Company’s share repurchases, there were 5% fewer diluted average shares outstandi the first quarter of 2013.</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results for the first quarter of 2013 and 2012 were affected by a number of significant items as described in the following paragraphs. Excluding th items, income from continuing operations attributable to common shares was $25.2 million ($3.46 per share) for the first quarter of 2013, compared to million ($1.18 per share) for the first quarter of 2012. (Refer to the Non-GAAP Financial Information schedule at the end of this release for additional 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quarter of 2013:</w:t>
      </w:r>
    </w:p>
    <w:p>
      <w:pPr>
        <w:spacing w:after="0" w:line="127" w:lineRule="exact"/>
        <w:rPr>
          <w:sz w:val="20"/>
          <w:szCs w:val="20"/>
          <w:color w:val="auto"/>
        </w:rPr>
      </w:pPr>
    </w:p>
    <w:p>
      <w:pPr>
        <w:ind w:left="300" w:hanging="155"/>
        <w:spacing w:after="0" w:line="246" w:lineRule="auto"/>
        <w:tabs>
          <w:tab w:leader="none" w:pos="257" w:val="left"/>
        </w:tabs>
        <w:numPr>
          <w:ilvl w:val="0"/>
          <w:numId w:val="3"/>
        </w:numPr>
        <w:rPr>
          <w:rFonts w:ascii="Arial" w:cs="Arial" w:eastAsia="Arial" w:hAnsi="Arial"/>
          <w:sz w:val="17"/>
          <w:szCs w:val="17"/>
          <w:color w:val="auto"/>
        </w:rPr>
      </w:pPr>
      <w:r>
        <w:rPr>
          <w:rFonts w:ascii="Arial" w:cs="Arial" w:eastAsia="Arial" w:hAnsi="Arial"/>
          <w:sz w:val="17"/>
          <w:szCs w:val="17"/>
          <w:color w:val="auto"/>
        </w:rPr>
        <w:t>$25.3 million in early retirement, severance and restructuring charges at the newspaper publishing and education divisions (after-tax impact of $16 million, or $2.23 per share); and</w:t>
      </w:r>
    </w:p>
    <w:p>
      <w:pPr>
        <w:spacing w:after="0" w:line="120" w:lineRule="exact"/>
        <w:rPr>
          <w:rFonts w:ascii="Arial" w:cs="Arial" w:eastAsia="Arial" w:hAnsi="Arial"/>
          <w:sz w:val="17"/>
          <w:szCs w:val="17"/>
          <w:color w:val="auto"/>
        </w:rPr>
      </w:pPr>
    </w:p>
    <w:p>
      <w:pPr>
        <w:ind w:left="260" w:hanging="120"/>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$4.6 million in non-operating unrealized foreign currency losses (after-tax impact of $3.0 million, or $0.41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quarter of 2012:</w:t>
      </w:r>
    </w:p>
    <w:p>
      <w:pPr>
        <w:spacing w:after="0" w:line="115" w:lineRule="exact"/>
        <w:rPr>
          <w:sz w:val="20"/>
          <w:szCs w:val="20"/>
          <w:color w:val="auto"/>
        </w:rPr>
      </w:pPr>
    </w:p>
    <w:p>
      <w:pPr>
        <w:ind w:left="260" w:hanging="115"/>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$1.9 million in severance and early retirement charges at the newspaper publishing division (after-tax impact of $1.2 million, or $0.16 per share);</w:t>
      </w:r>
    </w:p>
    <w:p>
      <w:pPr>
        <w:spacing w:after="0" w:line="151" w:lineRule="exact"/>
        <w:rPr>
          <w:rFonts w:ascii="Arial" w:cs="Arial" w:eastAsia="Arial" w:hAnsi="Arial"/>
          <w:sz w:val="16"/>
          <w:szCs w:val="16"/>
          <w:color w:val="auto"/>
        </w:rPr>
      </w:pPr>
    </w:p>
    <w:p>
      <w:pPr>
        <w:ind w:left="260" w:hanging="11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$5.8 million gain on the sale of a cost method investment (after-tax impact of $3.7 million, or $0.48 per share); and</w:t>
      </w:r>
    </w:p>
    <w:p>
      <w:pPr>
        <w:spacing w:after="0" w:line="139" w:lineRule="exact"/>
        <w:rPr>
          <w:rFonts w:ascii="Arial" w:cs="Arial" w:eastAsia="Arial" w:hAnsi="Arial"/>
          <w:sz w:val="17"/>
          <w:szCs w:val="17"/>
          <w:color w:val="auto"/>
        </w:rPr>
      </w:pPr>
    </w:p>
    <w:p>
      <w:pPr>
        <w:ind w:left="260" w:hanging="11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$2.7 million in non-operating unrealized foreign currency gains (after-tax impact of $1.7 million, or $0.22 per share).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Revenue for the first quarter of 2013 was $959.1 million, up slightly compared to $ 955.5 million in the first quarter of 2012. The Company reported ope income of $23.1 million in the first quarter of 2013, compared to operating income of $21.3 million in the first quarter of 2012. Revenues increased at t television broadcasting and cable television divisions, offset by declines at the education and newspaper publishing divisions. Operating results impro the education, television broadcasting and cable television divisions, offset by a decline at the newspaper publishing division.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Education division revenue totaled $527.8 million for the first quarter of 2013, a 3% decline from revenue of $546.7 million for the first quarter of 2012.</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Kaplan reported a first quarter 2013 operating loss of $4.1 million, compared to an $11.9 million operating loss in the first quarter of 2012.</w:t>
      </w:r>
    </w:p>
    <w:p>
      <w:pPr>
        <w:spacing w:after="0" w:line="17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response to student demand levels, Kaplan has formulated and implemented restructuring plans at its various businesses, with the objective of establishing lower cost levels in future periods. Across all businesses, restructuring costs totaled $9.5 million in the first quarter of 2013. Kaplan curren expects to incur approximately $15 million in additional</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64" w:right="139" w:bottom="1440" w:gutter="0" w:footer="0" w:header="0"/>
        </w:sectPr>
      </w:pPr>
    </w:p>
    <w:bookmarkStart w:id="6" w:name="page7"/>
    <w:bookmarkEnd w:id="6"/>
    <w:p>
      <w:pPr>
        <w:spacing w:after="0" w:line="235" w:lineRule="auto"/>
        <w:rPr>
          <w:sz w:val="20"/>
          <w:szCs w:val="20"/>
          <w:color w:val="auto"/>
        </w:rPr>
      </w:pPr>
      <w:r>
        <w:rPr>
          <w:rFonts w:ascii="Arial" w:cs="Arial" w:eastAsia="Arial" w:hAnsi="Arial"/>
          <w:sz w:val="17"/>
          <w:szCs w:val="17"/>
          <w:color w:val="auto"/>
        </w:rPr>
        <w:t>restructuring costs for the remainder of 2013 at KHE and Kaplan International in conjunction with completing these restructuring plans. Kaplan may als incur additional restructuring charges in 2013 as Kaplan continues to evaluate its cost structure.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 summary of Kaplan’s first quarter 2013 operating results compared to 2012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4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266"/>
              <w:spacing w:after="0"/>
              <w:rPr>
                <w:sz w:val="20"/>
                <w:szCs w:val="20"/>
                <w:color w:val="auto"/>
              </w:rPr>
            </w:pPr>
            <w:r>
              <w:rPr>
                <w:rFonts w:ascii="Arial" w:cs="Arial" w:eastAsia="Arial" w:hAnsi="Arial"/>
                <w:sz w:val="12"/>
                <w:szCs w:val="12"/>
                <w:b w:val="1"/>
                <w:bCs w:val="1"/>
                <w:color w:val="auto"/>
              </w:rPr>
              <w:t>March 31,</w:t>
            </w:r>
          </w:p>
        </w:tc>
        <w:tc>
          <w:tcPr>
            <w:tcW w:w="84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4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48"/>
              <w:spacing w:after="0" w:line="129" w:lineRule="exact"/>
              <w:rPr>
                <w:sz w:val="20"/>
                <w:szCs w:val="20"/>
                <w:color w:val="auto"/>
              </w:rPr>
            </w:pPr>
            <w:r>
              <w:rPr>
                <w:rFonts w:ascii="Arial" w:cs="Arial" w:eastAsia="Arial" w:hAnsi="Arial"/>
                <w:sz w:val="12"/>
                <w:szCs w:val="12"/>
                <w:b w:val="1"/>
                <w:bCs w:val="1"/>
                <w:color w:val="auto"/>
              </w:rPr>
              <w:t>2013</w:t>
            </w: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86"/>
              <w:spacing w:after="0" w:line="129" w:lineRule="exact"/>
              <w:rPr>
                <w:sz w:val="20"/>
                <w:szCs w:val="20"/>
                <w:color w:val="auto"/>
              </w:rPr>
            </w:pPr>
            <w:r>
              <w:rPr>
                <w:rFonts w:ascii="Arial" w:cs="Arial" w:eastAsia="Arial" w:hAnsi="Arial"/>
                <w:sz w:val="12"/>
                <w:szCs w:val="12"/>
                <w:color w:val="auto"/>
                <w:w w:val="97"/>
              </w:rPr>
              <w:t>2012</w:t>
            </w:r>
          </w:p>
        </w:tc>
        <w:tc>
          <w:tcPr>
            <w:tcW w:w="540" w:type="dxa"/>
            <w:vAlign w:val="bottom"/>
            <w:tcBorders>
              <w:bottom w:val="single" w:sz="8" w:color="auto"/>
            </w:tcBorders>
          </w:tcPr>
          <w:p>
            <w:pPr>
              <w:ind w:left="280"/>
              <w:spacing w:after="0" w:line="129" w:lineRule="exact"/>
              <w:rPr>
                <w:sz w:val="20"/>
                <w:szCs w:val="20"/>
                <w:color w:val="auto"/>
              </w:rPr>
            </w:pPr>
            <w:r>
              <w:rPr>
                <w:rFonts w:ascii="Arial" w:cs="Arial" w:eastAsia="Arial" w:hAnsi="Arial"/>
                <w:sz w:val="12"/>
                <w:szCs w:val="12"/>
                <w:color w:val="auto"/>
              </w:rPr>
              <w:t>% C</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3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128"/>
              <w:spacing w:after="0"/>
              <w:rPr>
                <w:sz w:val="20"/>
                <w:szCs w:val="20"/>
                <w:color w:val="auto"/>
              </w:rPr>
            </w:pPr>
            <w:r>
              <w:rPr>
                <w:rFonts w:ascii="Arial" w:cs="Arial" w:eastAsia="Arial" w:hAnsi="Arial"/>
                <w:sz w:val="15"/>
                <w:szCs w:val="15"/>
                <w:b w:val="1"/>
                <w:bCs w:val="1"/>
                <w:color w:val="auto"/>
              </w:rPr>
              <w:t>271,860</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4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580" w:type="dxa"/>
            <w:vAlign w:val="bottom"/>
          </w:tcPr>
          <w:p>
            <w:pPr>
              <w:jc w:val="right"/>
              <w:ind w:right="226"/>
              <w:spacing w:after="0" w:line="156"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308,384</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8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5"/>
                <w:szCs w:val="15"/>
                <w:b w:val="1"/>
                <w:bCs w:val="1"/>
                <w:color w:val="auto"/>
              </w:rPr>
              <w:t>68,943</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62,829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8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5"/>
                <w:szCs w:val="15"/>
                <w:b w:val="1"/>
                <w:bCs w:val="1"/>
                <w:color w:val="auto"/>
              </w:rPr>
              <w:t>184,813</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173,563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38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5"/>
                <w:szCs w:val="15"/>
                <w:b w:val="1"/>
                <w:bCs w:val="1"/>
                <w:color w:val="auto"/>
              </w:rPr>
              <w:t>2,604</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3,384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44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(405)</w:t>
            </w: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440" w:type="dxa"/>
            <w:vAlign w:val="bottom"/>
          </w:tcPr>
          <w:p>
            <w:pPr>
              <w:spacing w:after="0"/>
              <w:rPr>
                <w:sz w:val="14"/>
                <w:szCs w:val="14"/>
                <w:color w:val="auto"/>
              </w:rPr>
            </w:pP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527,815</w:t>
            </w:r>
          </w:p>
        </w:tc>
        <w:tc>
          <w:tcPr>
            <w:tcW w:w="58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546,685</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40" w:type="dxa"/>
            <w:vAlign w:val="bottom"/>
            <w:vMerge w:val="continue"/>
          </w:tcPr>
          <w:p>
            <w:pPr>
              <w:spacing w:after="0"/>
              <w:rPr>
                <w:sz w:val="13"/>
                <w:szCs w:val="13"/>
                <w:color w:val="auto"/>
              </w:rPr>
            </w:pPr>
          </w:p>
        </w:tc>
        <w:tc>
          <w:tcPr>
            <w:tcW w:w="3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128"/>
              <w:spacing w:after="0"/>
              <w:rPr>
                <w:sz w:val="20"/>
                <w:szCs w:val="20"/>
                <w:color w:val="auto"/>
              </w:rPr>
            </w:pPr>
            <w:r>
              <w:rPr>
                <w:rFonts w:ascii="Arial" w:cs="Arial" w:eastAsia="Arial" w:hAnsi="Arial"/>
                <w:sz w:val="15"/>
                <w:szCs w:val="15"/>
                <w:b w:val="1"/>
                <w:bCs w:val="1"/>
                <w:color w:val="auto"/>
              </w:rPr>
              <w:t>5,101</w:t>
            </w: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4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580" w:type="dxa"/>
            <w:vAlign w:val="bottom"/>
          </w:tcPr>
          <w:p>
            <w:pPr>
              <w:jc w:val="right"/>
              <w:ind w:right="226"/>
              <w:spacing w:after="0" w:line="156"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8,959</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8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5"/>
                <w:szCs w:val="15"/>
                <w:b w:val="1"/>
                <w:bCs w:val="1"/>
                <w:color w:val="auto"/>
              </w:rPr>
              <w:t>(4,345)</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(10,219)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8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5"/>
                <w:szCs w:val="15"/>
                <w:b w:val="1"/>
                <w:bCs w:val="1"/>
                <w:color w:val="auto"/>
              </w:rPr>
              <w:t>6,397</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4,140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8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5"/>
                <w:szCs w:val="15"/>
                <w:b w:val="1"/>
                <w:bCs w:val="1"/>
                <w:color w:val="auto"/>
              </w:rPr>
              <w:t>(11,340)</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(14,989)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44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131</w:t>
            </w: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440" w:type="dxa"/>
            <w:vAlign w:val="bottom"/>
          </w:tcPr>
          <w:p>
            <w:pPr>
              <w:spacing w:after="0"/>
              <w:rPr>
                <w:sz w:val="14"/>
                <w:szCs w:val="14"/>
                <w:color w:val="auto"/>
              </w:rPr>
            </w:pP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(4,056)</w:t>
            </w:r>
          </w:p>
        </w:tc>
        <w:tc>
          <w:tcPr>
            <w:tcW w:w="58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(11,915)</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w:t>
      </w:r>
    </w:p>
    <w:p>
      <w:pPr>
        <w:spacing w:after="0" w:line="160"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In September 2012, KHE announced a plan to consolidate its market presence at certain of its fixed-facility campuses. Under this plan, KHE ceased n enrollments at nine ground campuses as it considered alternatives for these locations, and is in the process of consolidating operations of four other campuses into existing, nearby locations. Revenues at these campuses represented approximately 4% of KHE’s total revenues in 2012. In the fourth quarter of 2012, KHE also began implementing plans to consolidate facilities and reduce its workforce. In connection with these and other plans, KHE incurred $ 9.1 million in total restructuring costs in the first quarter of 2013, including accelerated depreciation ($3.6 million), severance ($0.9 million), l obligation losses ($3.7 million) and other items ($0.9 million). In the first quarter of 2013, five of the KHE campuses were closed.</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the first quarter of 2013, KHE revenue declined 12% due to a decline in average enrollments, reflecting weaker market demand over the past year a the impact of campuses in the process of closing. These declines were partially offset by a revenue increase arising from changes in the trial period of to new students in 2013. These changes had the effect, among others, of recognizing revenue of $5.6 million in the first quarter of 2013 that otherwise would have been recognized in the second quarter of 2013.</w:t>
      </w:r>
    </w:p>
    <w:p>
      <w:pPr>
        <w:spacing w:after="0" w:line="175"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Operating income decreased 43% due primarily to lower revenue and restructuring costs noted above. Partially offsetting the declines were expense reductions associated with lower enrollments and recent restructuring efforts.</w:t>
      </w:r>
    </w:p>
    <w:p>
      <w:pPr>
        <w:spacing w:after="0" w:line="176"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New student enrollments at KHE decreased 9% in the first quarter of 2013. New student enrollments were adversely affected by campuses planned fo closure that are no longer recruiting students, but were positively impacted by the changes in the trial period offered to new students.</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09" w:right="139" w:bottom="1440" w:gutter="0" w:footer="0" w:header="0"/>
        </w:sectPr>
      </w:pPr>
    </w:p>
    <w:bookmarkStart w:id="7" w:name="page8"/>
    <w:bookmarkEnd w:id="7"/>
    <w:p>
      <w:pPr>
        <w:jc w:val="both"/>
        <w:spacing w:after="0" w:line="233" w:lineRule="auto"/>
        <w:rPr>
          <w:sz w:val="20"/>
          <w:szCs w:val="20"/>
          <w:color w:val="auto"/>
        </w:rPr>
      </w:pPr>
      <w:r>
        <w:rPr>
          <w:rFonts w:ascii="Arial" w:cs="Arial" w:eastAsia="Arial" w:hAnsi="Arial"/>
          <w:sz w:val="17"/>
          <w:szCs w:val="17"/>
          <w:color w:val="auto"/>
        </w:rPr>
        <w:t>Total students at March 31, 2013 were down 12% compared to March 31, 2012, and increased 3% compared to December 31, 2012. Excluding camp planned for closure, total students at March 31, 2013 were down 8% compared to March 31, 2012, and increased 4% compared to December 31, 201 summary of student enrollments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172"/>
              <w:spacing w:after="0"/>
              <w:rPr>
                <w:sz w:val="20"/>
                <w:szCs w:val="20"/>
                <w:color w:val="auto"/>
              </w:rPr>
            </w:pPr>
            <w:r>
              <w:rPr>
                <w:rFonts w:ascii="Arial" w:cs="Arial" w:eastAsia="Arial" w:hAnsi="Arial"/>
                <w:sz w:val="12"/>
                <w:szCs w:val="12"/>
                <w:b w:val="1"/>
                <w:bCs w:val="1"/>
                <w:color w:val="auto"/>
              </w:rPr>
              <w:t>Students as of</w:t>
            </w:r>
          </w:p>
        </w:tc>
        <w:tc>
          <w:tcPr>
            <w:tcW w:w="740" w:type="dxa"/>
            <w:vAlign w:val="bottom"/>
            <w:tcBorders>
              <w:bottom w:val="single" w:sz="8" w:color="auto"/>
            </w:tcBorders>
          </w:tcPr>
          <w:p>
            <w:pPr>
              <w:spacing w:after="0"/>
              <w:rPr>
                <w:sz w:val="13"/>
                <w:szCs w:val="13"/>
                <w:color w:val="auto"/>
              </w:rPr>
            </w:pPr>
          </w:p>
        </w:tc>
      </w:tr>
      <w:tr>
        <w:trPr>
          <w:trHeight w:val="114"/>
        </w:trPr>
        <w:tc>
          <w:tcPr>
            <w:tcW w:w="7200" w:type="dxa"/>
            <w:vAlign w:val="bottom"/>
          </w:tcPr>
          <w:p>
            <w:pPr>
              <w:spacing w:after="0"/>
              <w:rPr>
                <w:sz w:val="9"/>
                <w:szCs w:val="9"/>
                <w:color w:val="auto"/>
              </w:rPr>
            </w:pPr>
          </w:p>
        </w:tc>
        <w:tc>
          <w:tcPr>
            <w:tcW w:w="1460" w:type="dxa"/>
            <w:vAlign w:val="bottom"/>
          </w:tcPr>
          <w:p>
            <w:pPr>
              <w:jc w:val="center"/>
              <w:ind w:right="131"/>
              <w:spacing w:after="0" w:line="114" w:lineRule="exact"/>
              <w:rPr>
                <w:sz w:val="20"/>
                <w:szCs w:val="20"/>
                <w:color w:val="auto"/>
              </w:rPr>
            </w:pPr>
            <w:r>
              <w:rPr>
                <w:rFonts w:ascii="Arial" w:cs="Arial" w:eastAsia="Arial" w:hAnsi="Arial"/>
                <w:sz w:val="12"/>
                <w:szCs w:val="12"/>
                <w:b w:val="1"/>
                <w:bCs w:val="1"/>
                <w:color w:val="auto"/>
              </w:rPr>
              <w:t>March 31,</w:t>
            </w:r>
          </w:p>
        </w:tc>
        <w:tc>
          <w:tcPr>
            <w:tcW w:w="1540" w:type="dxa"/>
            <w:vAlign w:val="bottom"/>
          </w:tcPr>
          <w:p>
            <w:pPr>
              <w:jc w:val="center"/>
              <w:ind w:right="172"/>
              <w:spacing w:after="0" w:line="114" w:lineRule="exact"/>
              <w:rPr>
                <w:sz w:val="20"/>
                <w:szCs w:val="20"/>
                <w:color w:val="auto"/>
              </w:rPr>
            </w:pPr>
            <w:r>
              <w:rPr>
                <w:rFonts w:ascii="Arial" w:cs="Arial" w:eastAsia="Arial" w:hAnsi="Arial"/>
                <w:sz w:val="12"/>
                <w:szCs w:val="12"/>
                <w:color w:val="auto"/>
              </w:rPr>
              <w:t>December 31,</w:t>
            </w:r>
          </w:p>
        </w:tc>
        <w:tc>
          <w:tcPr>
            <w:tcW w:w="740" w:type="dxa"/>
            <w:vAlign w:val="bottom"/>
          </w:tcPr>
          <w:p>
            <w:pPr>
              <w:jc w:val="right"/>
              <w:spacing w:after="0" w:line="114" w:lineRule="exact"/>
              <w:rPr>
                <w:sz w:val="20"/>
                <w:szCs w:val="20"/>
                <w:color w:val="auto"/>
              </w:rPr>
            </w:pPr>
            <w:r>
              <w:rPr>
                <w:rFonts w:ascii="Arial" w:cs="Arial" w:eastAsia="Arial" w:hAnsi="Arial"/>
                <w:sz w:val="12"/>
                <w:szCs w:val="12"/>
                <w:color w:val="auto"/>
              </w:rPr>
              <w:t>March 3</w:t>
            </w:r>
          </w:p>
        </w:tc>
      </w:tr>
      <w:tr>
        <w:trPr>
          <w:trHeight w:val="151"/>
        </w:trPr>
        <w:tc>
          <w:tcPr>
            <w:tcW w:w="7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rPr>
              <w:t>2013</w:t>
            </w:r>
          </w:p>
        </w:tc>
        <w:tc>
          <w:tcPr>
            <w:tcW w:w="1540" w:type="dxa"/>
            <w:vAlign w:val="bottom"/>
            <w:tcBorders>
              <w:bottom w:val="single" w:sz="8" w:color="auto"/>
            </w:tcBorders>
          </w:tcPr>
          <w:p>
            <w:pPr>
              <w:jc w:val="center"/>
              <w:ind w:right="192"/>
              <w:spacing w:after="0"/>
              <w:rPr>
                <w:sz w:val="20"/>
                <w:szCs w:val="20"/>
                <w:color w:val="auto"/>
              </w:rPr>
            </w:pPr>
            <w:r>
              <w:rPr>
                <w:rFonts w:ascii="Arial" w:cs="Arial" w:eastAsia="Arial" w:hAnsi="Arial"/>
                <w:sz w:val="12"/>
                <w:szCs w:val="12"/>
                <w:color w:val="auto"/>
              </w:rPr>
              <w:t>2012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2012</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460" w:type="dxa"/>
            <w:vAlign w:val="bottom"/>
          </w:tcPr>
          <w:p>
            <w:pPr>
              <w:jc w:val="right"/>
              <w:ind w:right="171"/>
              <w:spacing w:after="0" w:line="150" w:lineRule="exact"/>
              <w:rPr>
                <w:sz w:val="20"/>
                <w:szCs w:val="20"/>
                <w:color w:val="auto"/>
              </w:rPr>
            </w:pPr>
            <w:r>
              <w:rPr>
                <w:rFonts w:ascii="Arial" w:cs="Arial" w:eastAsia="Arial" w:hAnsi="Arial"/>
                <w:sz w:val="15"/>
                <w:szCs w:val="15"/>
                <w:b w:val="1"/>
                <w:bCs w:val="1"/>
                <w:color w:val="auto"/>
              </w:rPr>
              <w:t>48,673</w:t>
            </w:r>
          </w:p>
        </w:tc>
        <w:tc>
          <w:tcPr>
            <w:tcW w:w="1540" w:type="dxa"/>
            <w:vAlign w:val="bottom"/>
          </w:tcPr>
          <w:p>
            <w:pPr>
              <w:jc w:val="right"/>
              <w:ind w:right="232"/>
              <w:spacing w:after="0" w:line="150" w:lineRule="exact"/>
              <w:rPr>
                <w:sz w:val="20"/>
                <w:szCs w:val="20"/>
                <w:color w:val="auto"/>
              </w:rPr>
            </w:pPr>
            <w:r>
              <w:rPr>
                <w:rFonts w:ascii="Arial" w:cs="Arial" w:eastAsia="Arial" w:hAnsi="Arial"/>
                <w:sz w:val="15"/>
                <w:szCs w:val="15"/>
                <w:color w:val="auto"/>
              </w:rPr>
              <w:t>46,737</w:t>
            </w:r>
          </w:p>
        </w:tc>
        <w:tc>
          <w:tcPr>
            <w:tcW w:w="740" w:type="dxa"/>
            <w:vAlign w:val="bottom"/>
          </w:tcPr>
          <w:p>
            <w:pPr>
              <w:spacing w:after="0"/>
              <w:rPr>
                <w:sz w:val="13"/>
                <w:szCs w:val="13"/>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KHE Campuses</w:t>
            </w:r>
          </w:p>
        </w:tc>
        <w:tc>
          <w:tcPr>
            <w:tcW w:w="146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18,523</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5"/>
                <w:szCs w:val="15"/>
                <w:color w:val="auto"/>
              </w:rPr>
              <w:t>18,733</w:t>
            </w:r>
          </w:p>
        </w:tc>
        <w:tc>
          <w:tcPr>
            <w:tcW w:w="740" w:type="dxa"/>
            <w:vAlign w:val="bottom"/>
            <w:tcBorders>
              <w:bottom w:val="single" w:sz="8" w:color="auto"/>
            </w:tcBorders>
          </w:tcPr>
          <w:p>
            <w:pPr>
              <w:spacing w:after="0"/>
              <w:rPr>
                <w:sz w:val="16"/>
                <w:szCs w:val="16"/>
                <w:color w:val="auto"/>
              </w:rPr>
            </w:pPr>
          </w:p>
        </w:tc>
      </w:tr>
      <w:tr>
        <w:trPr>
          <w:trHeight w:val="166"/>
        </w:trPr>
        <w:tc>
          <w:tcPr>
            <w:tcW w:w="7200" w:type="dxa"/>
            <w:vAlign w:val="bottom"/>
          </w:tcPr>
          <w:p>
            <w:pPr>
              <w:spacing w:after="0"/>
              <w:rPr>
                <w:sz w:val="14"/>
                <w:szCs w:val="14"/>
                <w:color w:val="auto"/>
              </w:rPr>
            </w:pPr>
          </w:p>
        </w:tc>
        <w:tc>
          <w:tcPr>
            <w:tcW w:w="1460" w:type="dxa"/>
            <w:vAlign w:val="bottom"/>
            <w:tcBorders>
              <w:bottom w:val="single" w:sz="8" w:color="auto"/>
            </w:tcBorders>
          </w:tcPr>
          <w:p>
            <w:pPr>
              <w:jc w:val="right"/>
              <w:ind w:right="171"/>
              <w:spacing w:after="0" w:line="167" w:lineRule="exact"/>
              <w:rPr>
                <w:sz w:val="20"/>
                <w:szCs w:val="20"/>
                <w:color w:val="auto"/>
              </w:rPr>
            </w:pPr>
            <w:r>
              <w:rPr>
                <w:rFonts w:ascii="Arial" w:cs="Arial" w:eastAsia="Arial" w:hAnsi="Arial"/>
                <w:sz w:val="15"/>
                <w:szCs w:val="15"/>
                <w:b w:val="1"/>
                <w:bCs w:val="1"/>
                <w:color w:val="auto"/>
              </w:rPr>
              <w:t>67,196</w:t>
            </w:r>
          </w:p>
        </w:tc>
        <w:tc>
          <w:tcPr>
            <w:tcW w:w="1540" w:type="dxa"/>
            <w:vAlign w:val="bottom"/>
            <w:tcBorders>
              <w:bottom w:val="single" w:sz="8" w:color="auto"/>
            </w:tcBorders>
          </w:tcPr>
          <w:p>
            <w:pPr>
              <w:jc w:val="right"/>
              <w:ind w:right="232"/>
              <w:spacing w:after="0" w:line="167" w:lineRule="exact"/>
              <w:rPr>
                <w:sz w:val="20"/>
                <w:szCs w:val="20"/>
                <w:color w:val="auto"/>
              </w:rPr>
            </w:pPr>
            <w:r>
              <w:rPr>
                <w:rFonts w:ascii="Arial" w:cs="Arial" w:eastAsia="Arial" w:hAnsi="Arial"/>
                <w:sz w:val="15"/>
                <w:szCs w:val="15"/>
                <w:color w:val="auto"/>
              </w:rPr>
              <w:t>65,470</w:t>
            </w:r>
          </w:p>
        </w:tc>
        <w:tc>
          <w:tcPr>
            <w:tcW w:w="740" w:type="dxa"/>
            <w:vAlign w:val="bottom"/>
            <w:tcBorders>
              <w:bottom w:val="single" w:sz="8" w:color="auto"/>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25"/>
        </w:trPr>
        <w:tc>
          <w:tcPr>
            <w:tcW w:w="72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172"/>
              <w:spacing w:after="0"/>
              <w:rPr>
                <w:sz w:val="20"/>
                <w:szCs w:val="20"/>
                <w:color w:val="auto"/>
              </w:rPr>
            </w:pPr>
            <w:r>
              <w:rPr>
                <w:rFonts w:ascii="Arial" w:cs="Arial" w:eastAsia="Arial" w:hAnsi="Arial"/>
                <w:sz w:val="12"/>
                <w:szCs w:val="12"/>
                <w:b w:val="1"/>
                <w:bCs w:val="1"/>
                <w:color w:val="auto"/>
              </w:rPr>
              <w:t>Students as of</w:t>
            </w:r>
          </w:p>
        </w:tc>
        <w:tc>
          <w:tcPr>
            <w:tcW w:w="740" w:type="dxa"/>
            <w:vAlign w:val="bottom"/>
            <w:tcBorders>
              <w:bottom w:val="single" w:sz="8" w:color="auto"/>
            </w:tcBorders>
          </w:tcPr>
          <w:p>
            <w:pPr>
              <w:spacing w:after="0"/>
              <w:rPr>
                <w:sz w:val="24"/>
                <w:szCs w:val="24"/>
                <w:color w:val="auto"/>
              </w:rPr>
            </w:pPr>
          </w:p>
        </w:tc>
      </w:tr>
      <w:tr>
        <w:trPr>
          <w:trHeight w:val="114"/>
        </w:trPr>
        <w:tc>
          <w:tcPr>
            <w:tcW w:w="7200" w:type="dxa"/>
            <w:vAlign w:val="bottom"/>
          </w:tcPr>
          <w:p>
            <w:pPr>
              <w:spacing w:after="0"/>
              <w:rPr>
                <w:sz w:val="9"/>
                <w:szCs w:val="9"/>
                <w:color w:val="auto"/>
              </w:rPr>
            </w:pPr>
          </w:p>
        </w:tc>
        <w:tc>
          <w:tcPr>
            <w:tcW w:w="1460" w:type="dxa"/>
            <w:vAlign w:val="bottom"/>
          </w:tcPr>
          <w:p>
            <w:pPr>
              <w:jc w:val="center"/>
              <w:ind w:right="131"/>
              <w:spacing w:after="0" w:line="114" w:lineRule="exact"/>
              <w:rPr>
                <w:sz w:val="20"/>
                <w:szCs w:val="20"/>
                <w:color w:val="auto"/>
              </w:rPr>
            </w:pPr>
            <w:r>
              <w:rPr>
                <w:rFonts w:ascii="Arial" w:cs="Arial" w:eastAsia="Arial" w:hAnsi="Arial"/>
                <w:sz w:val="12"/>
                <w:szCs w:val="12"/>
                <w:b w:val="1"/>
                <w:bCs w:val="1"/>
                <w:color w:val="auto"/>
              </w:rPr>
              <w:t>March 31,</w:t>
            </w:r>
          </w:p>
        </w:tc>
        <w:tc>
          <w:tcPr>
            <w:tcW w:w="1540" w:type="dxa"/>
            <w:vAlign w:val="bottom"/>
          </w:tcPr>
          <w:p>
            <w:pPr>
              <w:jc w:val="center"/>
              <w:ind w:right="172"/>
              <w:spacing w:after="0" w:line="114" w:lineRule="exact"/>
              <w:rPr>
                <w:sz w:val="20"/>
                <w:szCs w:val="20"/>
                <w:color w:val="auto"/>
              </w:rPr>
            </w:pPr>
            <w:r>
              <w:rPr>
                <w:rFonts w:ascii="Arial" w:cs="Arial" w:eastAsia="Arial" w:hAnsi="Arial"/>
                <w:sz w:val="12"/>
                <w:szCs w:val="12"/>
                <w:color w:val="auto"/>
              </w:rPr>
              <w:t>December 31,</w:t>
            </w:r>
          </w:p>
        </w:tc>
        <w:tc>
          <w:tcPr>
            <w:tcW w:w="740" w:type="dxa"/>
            <w:vAlign w:val="bottom"/>
          </w:tcPr>
          <w:p>
            <w:pPr>
              <w:jc w:val="right"/>
              <w:spacing w:after="0" w:line="114" w:lineRule="exact"/>
              <w:rPr>
                <w:sz w:val="20"/>
                <w:szCs w:val="20"/>
                <w:color w:val="auto"/>
              </w:rPr>
            </w:pPr>
            <w:r>
              <w:rPr>
                <w:rFonts w:ascii="Arial" w:cs="Arial" w:eastAsia="Arial" w:hAnsi="Arial"/>
                <w:sz w:val="12"/>
                <w:szCs w:val="12"/>
                <w:color w:val="auto"/>
              </w:rPr>
              <w:t>March 3</w:t>
            </w:r>
          </w:p>
        </w:tc>
      </w:tr>
      <w:tr>
        <w:trPr>
          <w:trHeight w:val="151"/>
        </w:trPr>
        <w:tc>
          <w:tcPr>
            <w:tcW w:w="7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(excluding campuses closing)</w:t>
            </w:r>
          </w:p>
        </w:tc>
        <w:tc>
          <w:tcPr>
            <w:tcW w:w="146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rPr>
              <w:t>2013</w:t>
            </w:r>
          </w:p>
        </w:tc>
        <w:tc>
          <w:tcPr>
            <w:tcW w:w="1540" w:type="dxa"/>
            <w:vAlign w:val="bottom"/>
            <w:tcBorders>
              <w:bottom w:val="single" w:sz="8" w:color="auto"/>
            </w:tcBorders>
          </w:tcPr>
          <w:p>
            <w:pPr>
              <w:jc w:val="center"/>
              <w:ind w:right="192"/>
              <w:spacing w:after="0"/>
              <w:rPr>
                <w:sz w:val="20"/>
                <w:szCs w:val="20"/>
                <w:color w:val="auto"/>
              </w:rPr>
            </w:pPr>
            <w:r>
              <w:rPr>
                <w:rFonts w:ascii="Arial" w:cs="Arial" w:eastAsia="Arial" w:hAnsi="Arial"/>
                <w:sz w:val="12"/>
                <w:szCs w:val="12"/>
                <w:color w:val="auto"/>
              </w:rPr>
              <w:t>2012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2012</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460" w:type="dxa"/>
            <w:vAlign w:val="bottom"/>
          </w:tcPr>
          <w:p>
            <w:pPr>
              <w:jc w:val="right"/>
              <w:ind w:right="171"/>
              <w:spacing w:after="0" w:line="150" w:lineRule="exact"/>
              <w:rPr>
                <w:sz w:val="20"/>
                <w:szCs w:val="20"/>
                <w:color w:val="auto"/>
              </w:rPr>
            </w:pPr>
            <w:r>
              <w:rPr>
                <w:rFonts w:ascii="Arial" w:cs="Arial" w:eastAsia="Arial" w:hAnsi="Arial"/>
                <w:sz w:val="15"/>
                <w:szCs w:val="15"/>
                <w:b w:val="1"/>
                <w:bCs w:val="1"/>
                <w:color w:val="auto"/>
              </w:rPr>
              <w:t>48,673</w:t>
            </w:r>
          </w:p>
        </w:tc>
        <w:tc>
          <w:tcPr>
            <w:tcW w:w="1540" w:type="dxa"/>
            <w:vAlign w:val="bottom"/>
          </w:tcPr>
          <w:p>
            <w:pPr>
              <w:jc w:val="right"/>
              <w:ind w:right="232"/>
              <w:spacing w:after="0" w:line="150" w:lineRule="exact"/>
              <w:rPr>
                <w:sz w:val="20"/>
                <w:szCs w:val="20"/>
                <w:color w:val="auto"/>
              </w:rPr>
            </w:pPr>
            <w:r>
              <w:rPr>
                <w:rFonts w:ascii="Arial" w:cs="Arial" w:eastAsia="Arial" w:hAnsi="Arial"/>
                <w:sz w:val="15"/>
                <w:szCs w:val="15"/>
                <w:color w:val="auto"/>
              </w:rPr>
              <w:t>46,737</w:t>
            </w:r>
          </w:p>
        </w:tc>
        <w:tc>
          <w:tcPr>
            <w:tcW w:w="740" w:type="dxa"/>
            <w:vAlign w:val="bottom"/>
          </w:tcPr>
          <w:p>
            <w:pPr>
              <w:spacing w:after="0"/>
              <w:rPr>
                <w:sz w:val="13"/>
                <w:szCs w:val="13"/>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KHE Campuses</w:t>
            </w:r>
          </w:p>
        </w:tc>
        <w:tc>
          <w:tcPr>
            <w:tcW w:w="146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17,615</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5"/>
                <w:szCs w:val="15"/>
                <w:color w:val="auto"/>
              </w:rPr>
              <w:t>16,901</w:t>
            </w:r>
          </w:p>
        </w:tc>
        <w:tc>
          <w:tcPr>
            <w:tcW w:w="740" w:type="dxa"/>
            <w:vAlign w:val="bottom"/>
            <w:tcBorders>
              <w:bottom w:val="single" w:sz="8" w:color="auto"/>
            </w:tcBorders>
          </w:tcPr>
          <w:p>
            <w:pPr>
              <w:spacing w:after="0"/>
              <w:rPr>
                <w:sz w:val="16"/>
                <w:szCs w:val="16"/>
                <w:color w:val="auto"/>
              </w:rPr>
            </w:pPr>
          </w:p>
        </w:tc>
      </w:tr>
      <w:tr>
        <w:trPr>
          <w:trHeight w:val="166"/>
        </w:trPr>
        <w:tc>
          <w:tcPr>
            <w:tcW w:w="7200" w:type="dxa"/>
            <w:vAlign w:val="bottom"/>
          </w:tcPr>
          <w:p>
            <w:pPr>
              <w:spacing w:after="0"/>
              <w:rPr>
                <w:sz w:val="14"/>
                <w:szCs w:val="14"/>
                <w:color w:val="auto"/>
              </w:rPr>
            </w:pPr>
          </w:p>
        </w:tc>
        <w:tc>
          <w:tcPr>
            <w:tcW w:w="1460" w:type="dxa"/>
            <w:vAlign w:val="bottom"/>
            <w:tcBorders>
              <w:bottom w:val="single" w:sz="8" w:color="auto"/>
            </w:tcBorders>
          </w:tcPr>
          <w:p>
            <w:pPr>
              <w:jc w:val="right"/>
              <w:ind w:right="171"/>
              <w:spacing w:after="0" w:line="167" w:lineRule="exact"/>
              <w:rPr>
                <w:sz w:val="20"/>
                <w:szCs w:val="20"/>
                <w:color w:val="auto"/>
              </w:rPr>
            </w:pPr>
            <w:r>
              <w:rPr>
                <w:rFonts w:ascii="Arial" w:cs="Arial" w:eastAsia="Arial" w:hAnsi="Arial"/>
                <w:sz w:val="15"/>
                <w:szCs w:val="15"/>
                <w:b w:val="1"/>
                <w:bCs w:val="1"/>
                <w:color w:val="auto"/>
              </w:rPr>
              <w:t>66,288</w:t>
            </w:r>
          </w:p>
        </w:tc>
        <w:tc>
          <w:tcPr>
            <w:tcW w:w="1540" w:type="dxa"/>
            <w:vAlign w:val="bottom"/>
            <w:tcBorders>
              <w:bottom w:val="single" w:sz="8" w:color="auto"/>
            </w:tcBorders>
          </w:tcPr>
          <w:p>
            <w:pPr>
              <w:jc w:val="right"/>
              <w:ind w:right="232"/>
              <w:spacing w:after="0" w:line="167" w:lineRule="exact"/>
              <w:rPr>
                <w:sz w:val="20"/>
                <w:szCs w:val="20"/>
                <w:color w:val="auto"/>
              </w:rPr>
            </w:pPr>
            <w:r>
              <w:rPr>
                <w:rFonts w:ascii="Arial" w:cs="Arial" w:eastAsia="Arial" w:hAnsi="Arial"/>
                <w:sz w:val="15"/>
                <w:szCs w:val="15"/>
                <w:color w:val="auto"/>
              </w:rPr>
              <w:t>63,638</w:t>
            </w:r>
          </w:p>
        </w:tc>
        <w:tc>
          <w:tcPr>
            <w:tcW w:w="740" w:type="dxa"/>
            <w:vAlign w:val="bottom"/>
            <w:tcBorders>
              <w:bottom w:val="single" w:sz="8" w:color="auto"/>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Kaplan University enrollments included 8,819, 7,991 and 9,298 campus-based students as of March 31, 2013, December 31, 2012, and March 31, 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KHE Campuses enrollments at March 31, 2013, and March 31, 2012, by degree and certificate programs,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2100" w:type="dxa"/>
            <w:vAlign w:val="bottom"/>
            <w:tcBorders>
              <w:bottom w:val="single" w:sz="8" w:color="auto"/>
            </w:tcBorders>
          </w:tcPr>
          <w:p>
            <w:pPr>
              <w:jc w:val="right"/>
              <w:ind w:right="89"/>
              <w:spacing w:after="0"/>
              <w:rPr>
                <w:sz w:val="20"/>
                <w:szCs w:val="20"/>
                <w:color w:val="auto"/>
              </w:rPr>
            </w:pPr>
            <w:r>
              <w:rPr>
                <w:rFonts w:ascii="Arial" w:cs="Arial" w:eastAsia="Arial" w:hAnsi="Arial"/>
                <w:sz w:val="12"/>
                <w:szCs w:val="12"/>
                <w:b w:val="1"/>
                <w:bCs w:val="1"/>
                <w:color w:val="auto"/>
              </w:rPr>
              <w:t>As of March 31,</w:t>
            </w:r>
          </w:p>
        </w:tc>
        <w:tc>
          <w:tcPr>
            <w:tcW w:w="380" w:type="dxa"/>
            <w:vAlign w:val="bottom"/>
            <w:tcBorders>
              <w:bottom w:val="single" w:sz="8" w:color="auto"/>
            </w:tcBorders>
          </w:tcPr>
          <w:p>
            <w:pPr>
              <w:spacing w:after="0"/>
              <w:rPr>
                <w:sz w:val="13"/>
                <w:szCs w:val="13"/>
                <w:color w:val="auto"/>
              </w:rPr>
            </w:pPr>
          </w:p>
        </w:tc>
      </w:tr>
      <w:tr>
        <w:trPr>
          <w:trHeight w:val="129"/>
        </w:trPr>
        <w:tc>
          <w:tcPr>
            <w:tcW w:w="84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jc w:val="right"/>
              <w:ind w:right="1269"/>
              <w:spacing w:after="0" w:line="129" w:lineRule="exact"/>
              <w:rPr>
                <w:sz w:val="20"/>
                <w:szCs w:val="20"/>
                <w:color w:val="auto"/>
              </w:rPr>
            </w:pPr>
            <w:r>
              <w:rPr>
                <w:rFonts w:ascii="Arial" w:cs="Arial" w:eastAsia="Arial" w:hAnsi="Arial"/>
                <w:sz w:val="12"/>
                <w:szCs w:val="12"/>
                <w:b w:val="1"/>
                <w:bCs w:val="1"/>
                <w:color w:val="auto"/>
              </w:rPr>
              <w:t>2013</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2100" w:type="dxa"/>
            <w:vAlign w:val="bottom"/>
          </w:tcPr>
          <w:p>
            <w:pPr>
              <w:jc w:val="right"/>
              <w:ind w:right="869"/>
              <w:spacing w:after="0" w:line="150" w:lineRule="exact"/>
              <w:rPr>
                <w:sz w:val="20"/>
                <w:szCs w:val="20"/>
                <w:color w:val="auto"/>
              </w:rPr>
            </w:pPr>
            <w:r>
              <w:rPr>
                <w:rFonts w:ascii="Arial" w:cs="Arial" w:eastAsia="Arial" w:hAnsi="Arial"/>
                <w:sz w:val="15"/>
                <w:szCs w:val="15"/>
                <w:b w:val="1"/>
                <w:bCs w:val="1"/>
                <w:color w:val="auto"/>
              </w:rPr>
              <w:t>23.0 %</w:t>
            </w:r>
          </w:p>
        </w:tc>
        <w:tc>
          <w:tcPr>
            <w:tcW w:w="38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Associate’s</w:t>
            </w:r>
          </w:p>
        </w:tc>
        <w:tc>
          <w:tcPr>
            <w:tcW w:w="2100" w:type="dxa"/>
            <w:vAlign w:val="bottom"/>
          </w:tcPr>
          <w:p>
            <w:pPr>
              <w:jc w:val="right"/>
              <w:ind w:right="869"/>
              <w:spacing w:after="0"/>
              <w:rPr>
                <w:sz w:val="20"/>
                <w:szCs w:val="20"/>
                <w:color w:val="auto"/>
              </w:rPr>
            </w:pPr>
            <w:r>
              <w:rPr>
                <w:rFonts w:ascii="Arial" w:cs="Arial" w:eastAsia="Arial" w:hAnsi="Arial"/>
                <w:sz w:val="15"/>
                <w:szCs w:val="15"/>
                <w:b w:val="1"/>
                <w:bCs w:val="1"/>
                <w:color w:val="auto"/>
              </w:rPr>
              <w:t>35.7 %</w:t>
            </w:r>
          </w:p>
        </w:tc>
        <w:tc>
          <w:tcPr>
            <w:tcW w:w="3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Bachelor’s</w:t>
            </w:r>
          </w:p>
        </w:tc>
        <w:tc>
          <w:tcPr>
            <w:tcW w:w="2100" w:type="dxa"/>
            <w:vAlign w:val="bottom"/>
          </w:tcPr>
          <w:p>
            <w:pPr>
              <w:jc w:val="right"/>
              <w:ind w:right="869"/>
              <w:spacing w:after="0"/>
              <w:rPr>
                <w:sz w:val="20"/>
                <w:szCs w:val="20"/>
                <w:color w:val="auto"/>
              </w:rPr>
            </w:pPr>
            <w:r>
              <w:rPr>
                <w:rFonts w:ascii="Arial" w:cs="Arial" w:eastAsia="Arial" w:hAnsi="Arial"/>
                <w:sz w:val="15"/>
                <w:szCs w:val="15"/>
                <w:b w:val="1"/>
                <w:bCs w:val="1"/>
                <w:color w:val="auto"/>
              </w:rPr>
              <w:t>29.5 %</w:t>
            </w:r>
          </w:p>
        </w:tc>
        <w:tc>
          <w:tcPr>
            <w:tcW w:w="38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Master’s</w:t>
            </w:r>
          </w:p>
        </w:tc>
        <w:tc>
          <w:tcPr>
            <w:tcW w:w="2100" w:type="dxa"/>
            <w:vAlign w:val="bottom"/>
            <w:tcBorders>
              <w:bottom w:val="single" w:sz="8" w:color="auto"/>
            </w:tcBorders>
          </w:tcPr>
          <w:p>
            <w:pPr>
              <w:jc w:val="right"/>
              <w:ind w:right="869"/>
              <w:spacing w:after="0"/>
              <w:rPr>
                <w:sz w:val="20"/>
                <w:szCs w:val="20"/>
                <w:color w:val="auto"/>
              </w:rPr>
            </w:pPr>
            <w:r>
              <w:rPr>
                <w:rFonts w:ascii="Arial" w:cs="Arial" w:eastAsia="Arial" w:hAnsi="Arial"/>
                <w:sz w:val="15"/>
                <w:szCs w:val="15"/>
                <w:b w:val="1"/>
                <w:bCs w:val="1"/>
                <w:color w:val="auto"/>
              </w:rPr>
              <w:t>11.8 %</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460" w:type="dxa"/>
            <w:vAlign w:val="bottom"/>
          </w:tcPr>
          <w:p>
            <w:pPr>
              <w:spacing w:after="0"/>
              <w:rPr>
                <w:sz w:val="14"/>
                <w:szCs w:val="14"/>
                <w:color w:val="auto"/>
              </w:rPr>
            </w:pPr>
          </w:p>
        </w:tc>
        <w:tc>
          <w:tcPr>
            <w:tcW w:w="2100" w:type="dxa"/>
            <w:vAlign w:val="bottom"/>
            <w:tcBorders>
              <w:bottom w:val="single" w:sz="8" w:color="auto"/>
            </w:tcBorders>
          </w:tcPr>
          <w:p>
            <w:pPr>
              <w:jc w:val="right"/>
              <w:ind w:right="869"/>
              <w:spacing w:after="0" w:line="167" w:lineRule="exact"/>
              <w:rPr>
                <w:sz w:val="20"/>
                <w:szCs w:val="20"/>
                <w:color w:val="auto"/>
              </w:rPr>
            </w:pPr>
            <w:r>
              <w:rPr>
                <w:rFonts w:ascii="Arial" w:cs="Arial" w:eastAsia="Arial" w:hAnsi="Arial"/>
                <w:sz w:val="15"/>
                <w:szCs w:val="15"/>
                <w:b w:val="1"/>
                <w:bCs w:val="1"/>
                <w:color w:val="auto"/>
              </w:rPr>
              <w:t>100.0 %</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84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Kaplan Test Preparation (KTP) includes Kaplan’s standardized test preparation and tutoring offerings and other businesses. KTP revenue increased 1 the first quarter of 2013. Total enrollment was down slightly in the first quarter of 2013 due to declines in graduate programs, offset by continued streng pre-college, nursing and bar review programs. KTP operating results improved in the first quarter of 2013 due largely to increased revenues.</w:t>
      </w:r>
    </w:p>
    <w:p>
      <w:pPr>
        <w:spacing w:after="0" w:line="16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Kaplan International includes English-language programs and postsecondary education and professional training businesses outside the United State Kaplan International revenue increased 6% in the first quarter of 2013 due largely to enrollment growth in the pathways, English-language and Singap higher education programs. Kaplan International operating income increased in the first quarter of 2013 due primarily to strong results in Singapore. In first quarter of 2013, severance costs totaled $0.3 million in Australia, where Kaplan has been consolidating and restructuring its businesses to optimiz operations.</w:t>
      </w:r>
    </w:p>
    <w:p>
      <w:pPr>
        <w:spacing w:after="0" w:line="176"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Corporate represents unallocated expenses of Kaplan, Inc.’s corporate office, other minor businesses and shared activities, and Colloquy, which was from Kaplan International to Kaplan corporate in 2013. The comparative division results presented above reflect this change.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Cable Television</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Cable television division revenue for the first quarter of 2013 increased 5% to $ 200.1 million, from $190.2 million for the first quarter of 2012. The reve results reflect rate increases for many subscribers in June 2012, partially offset by a decline in basic video subscribers.</w:t>
      </w:r>
    </w:p>
    <w:p>
      <w:pPr>
        <w:spacing w:after="0" w:line="176"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Cable television division operating income increased 12% to $36.6 million, from $32.8 million in the first quarter of 2012, due to increased revenues, p offset by higher programming and depreciation costs.</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71" w:right="139" w:bottom="1440" w:gutter="0" w:footer="0" w:header="0"/>
        </w:sectPr>
      </w:pPr>
    </w:p>
    <w:bookmarkStart w:id="8" w:name="page9"/>
    <w:bookmarkEnd w:id="8"/>
    <w:p>
      <w:pPr>
        <w:spacing w:after="0" w:line="235" w:lineRule="auto"/>
        <w:rPr>
          <w:sz w:val="20"/>
          <w:szCs w:val="20"/>
          <w:color w:val="auto"/>
        </w:rPr>
      </w:pPr>
      <w:r>
        <w:rPr>
          <w:rFonts w:ascii="Arial" w:cs="Arial" w:eastAsia="Arial" w:hAnsi="Arial"/>
          <w:sz w:val="17"/>
          <w:szCs w:val="17"/>
          <w:color w:val="auto"/>
        </w:rPr>
        <w:t>At March 31, 2013, Primary Service Units (PSUs) were down 3% from the prior year due to a decline in basic video subscribers. A summary of PSUs i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Pr>
          <w:p>
            <w:pPr>
              <w:spacing w:after="0"/>
              <w:rPr>
                <w:sz w:val="13"/>
                <w:szCs w:val="1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 March 31,</w:t>
            </w:r>
          </w:p>
        </w:tc>
        <w:tc>
          <w:tcPr>
            <w:tcW w:w="360" w:type="dxa"/>
            <w:vAlign w:val="bottom"/>
            <w:tcBorders>
              <w:bottom w:val="single" w:sz="8" w:color="auto"/>
            </w:tcBorders>
          </w:tcPr>
          <w:p>
            <w:pPr>
              <w:spacing w:after="0"/>
              <w:rPr>
                <w:sz w:val="13"/>
                <w:szCs w:val="13"/>
                <w:color w:val="auto"/>
              </w:rPr>
            </w:pPr>
          </w:p>
        </w:tc>
      </w:tr>
      <w:tr>
        <w:trPr>
          <w:trHeight w:val="129"/>
        </w:trPr>
        <w:tc>
          <w:tcPr>
            <w:tcW w:w="86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jc w:val="right"/>
              <w:ind w:right="1070"/>
              <w:spacing w:after="0" w:line="129" w:lineRule="exact"/>
              <w:rPr>
                <w:sz w:val="20"/>
                <w:szCs w:val="20"/>
                <w:color w:val="auto"/>
              </w:rPr>
            </w:pPr>
            <w:r>
              <w:rPr>
                <w:rFonts w:ascii="Arial" w:cs="Arial" w:eastAsia="Arial" w:hAnsi="Arial"/>
                <w:sz w:val="12"/>
                <w:szCs w:val="12"/>
                <w:b w:val="1"/>
                <w:bCs w:val="1"/>
                <w:color w:val="auto"/>
              </w:rPr>
              <w:t>2013</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r>
      <w:tr>
        <w:trPr>
          <w:trHeight w:val="150"/>
        </w:trPr>
        <w:tc>
          <w:tcPr>
            <w:tcW w:w="8680" w:type="dxa"/>
            <w:vAlign w:val="bottom"/>
          </w:tcPr>
          <w:p>
            <w:pPr>
              <w:spacing w:after="0" w:line="150" w:lineRule="exact"/>
              <w:rPr>
                <w:sz w:val="20"/>
                <w:szCs w:val="20"/>
                <w:color w:val="auto"/>
              </w:rPr>
            </w:pPr>
            <w:r>
              <w:rPr>
                <w:rFonts w:ascii="Arial" w:cs="Arial" w:eastAsia="Arial" w:hAnsi="Arial"/>
                <w:sz w:val="15"/>
                <w:szCs w:val="15"/>
                <w:color w:val="auto"/>
              </w:rPr>
              <w:t>Basic video</w:t>
            </w:r>
          </w:p>
        </w:tc>
        <w:tc>
          <w:tcPr>
            <w:tcW w:w="1900" w:type="dxa"/>
            <w:vAlign w:val="bottom"/>
          </w:tcPr>
          <w:p>
            <w:pPr>
              <w:jc w:val="right"/>
              <w:ind w:right="610"/>
              <w:spacing w:after="0" w:line="150" w:lineRule="exact"/>
              <w:rPr>
                <w:sz w:val="20"/>
                <w:szCs w:val="20"/>
                <w:color w:val="auto"/>
              </w:rPr>
            </w:pPr>
            <w:r>
              <w:rPr>
                <w:rFonts w:ascii="Arial" w:cs="Arial" w:eastAsia="Arial" w:hAnsi="Arial"/>
                <w:sz w:val="15"/>
                <w:szCs w:val="15"/>
                <w:b w:val="1"/>
                <w:bCs w:val="1"/>
                <w:color w:val="auto"/>
              </w:rPr>
              <w:t>588,180</w:t>
            </w:r>
          </w:p>
        </w:tc>
        <w:tc>
          <w:tcPr>
            <w:tcW w:w="360" w:type="dxa"/>
            <w:vAlign w:val="bottom"/>
          </w:tcPr>
          <w:p>
            <w:pPr>
              <w:jc w:val="right"/>
              <w:spacing w:after="0" w:line="150" w:lineRule="exact"/>
              <w:rPr>
                <w:sz w:val="20"/>
                <w:szCs w:val="20"/>
                <w:color w:val="auto"/>
              </w:rPr>
            </w:pPr>
            <w:r>
              <w:rPr>
                <w:rFonts w:ascii="Arial" w:cs="Arial" w:eastAsia="Arial" w:hAnsi="Arial"/>
                <w:sz w:val="15"/>
                <w:szCs w:val="15"/>
                <w:color w:val="auto"/>
              </w:rPr>
              <w:t>6</w:t>
            </w: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High-speed data</w:t>
            </w:r>
          </w:p>
        </w:tc>
        <w:tc>
          <w:tcPr>
            <w:tcW w:w="1900" w:type="dxa"/>
            <w:vAlign w:val="bottom"/>
          </w:tcPr>
          <w:p>
            <w:pPr>
              <w:jc w:val="right"/>
              <w:ind w:right="610"/>
              <w:spacing w:after="0"/>
              <w:rPr>
                <w:sz w:val="20"/>
                <w:szCs w:val="20"/>
                <w:color w:val="auto"/>
              </w:rPr>
            </w:pPr>
            <w:r>
              <w:rPr>
                <w:rFonts w:ascii="Arial" w:cs="Arial" w:eastAsia="Arial" w:hAnsi="Arial"/>
                <w:sz w:val="15"/>
                <w:szCs w:val="15"/>
                <w:b w:val="1"/>
                <w:bCs w:val="1"/>
                <w:color w:val="auto"/>
              </w:rPr>
              <w:t>463,726</w:t>
            </w:r>
          </w:p>
        </w:tc>
        <w:tc>
          <w:tcPr>
            <w:tcW w:w="3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Telephony</w:t>
            </w:r>
          </w:p>
        </w:tc>
        <w:tc>
          <w:tcPr>
            <w:tcW w:w="1900" w:type="dxa"/>
            <w:vAlign w:val="bottom"/>
            <w:tcBorders>
              <w:bottom w:val="single" w:sz="8" w:color="auto"/>
            </w:tcBorders>
          </w:tcPr>
          <w:p>
            <w:pPr>
              <w:jc w:val="right"/>
              <w:ind w:right="610"/>
              <w:spacing w:after="0"/>
              <w:rPr>
                <w:sz w:val="20"/>
                <w:szCs w:val="20"/>
                <w:color w:val="auto"/>
              </w:rPr>
            </w:pPr>
            <w:r>
              <w:rPr>
                <w:rFonts w:ascii="Arial" w:cs="Arial" w:eastAsia="Arial" w:hAnsi="Arial"/>
                <w:sz w:val="15"/>
                <w:szCs w:val="15"/>
                <w:b w:val="1"/>
                <w:bCs w:val="1"/>
                <w:color w:val="auto"/>
              </w:rPr>
              <w:t>185,717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680" w:type="dxa"/>
            <w:vAlign w:val="bottom"/>
          </w:tcPr>
          <w:p>
            <w:pPr>
              <w:spacing w:after="0"/>
              <w:rPr>
                <w:sz w:val="14"/>
                <w:szCs w:val="14"/>
                <w:color w:val="auto"/>
              </w:rPr>
            </w:pPr>
          </w:p>
        </w:tc>
        <w:tc>
          <w:tcPr>
            <w:tcW w:w="1900" w:type="dxa"/>
            <w:vAlign w:val="bottom"/>
            <w:tcBorders>
              <w:bottom w:val="single" w:sz="8" w:color="auto"/>
            </w:tcBorders>
          </w:tcPr>
          <w:p>
            <w:pPr>
              <w:jc w:val="right"/>
              <w:ind w:right="610"/>
              <w:spacing w:after="0" w:line="167" w:lineRule="exact"/>
              <w:rPr>
                <w:sz w:val="20"/>
                <w:szCs w:val="20"/>
                <w:color w:val="auto"/>
              </w:rPr>
            </w:pPr>
            <w:r>
              <w:rPr>
                <w:rFonts w:ascii="Arial" w:cs="Arial" w:eastAsia="Arial" w:hAnsi="Arial"/>
                <w:sz w:val="15"/>
                <w:szCs w:val="15"/>
                <w:b w:val="1"/>
                <w:bCs w:val="1"/>
                <w:color w:val="auto"/>
              </w:rPr>
              <w:t>1,237,623</w:t>
            </w:r>
          </w:p>
        </w:tc>
        <w:tc>
          <w:tcPr>
            <w:tcW w:w="3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r>
      <w:tr>
        <w:trPr>
          <w:trHeight w:val="20"/>
        </w:trPr>
        <w:tc>
          <w:tcPr>
            <w:tcW w:w="86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Newspaper Publishing</w:t>
      </w:r>
    </w:p>
    <w:p>
      <w:pPr>
        <w:spacing w:after="0" w:line="122"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Newspaper publishing division revenue totaled $127.3 million for the first quarter of 2013, down 4% from revenue of $132.5 million for the first quarter 2012. Print advertising revenue at The Washington Post (“the Post”) in the first quarter of 2013 declined 8% to $48.6 million, from $52.7 million in the f quarter of 2012. The decline is largely due to reductions in general and retail advertising. Revenue generated by the Company’s newspaper online publishing activities, primarily washingtonpost.com and Slate, increased 8% to $25.8 million for the first quarter of 2013, versus $23.9 million for the fir quarter of 2012. Display online advertising revenue increased 16% for the first quarter of 2013. Online classified advertising revenue on washingtonpost.com declined 6% for the first quarter of 2013.</w:t>
      </w:r>
    </w:p>
    <w:p>
      <w:pPr>
        <w:spacing w:after="0" w:line="105" w:lineRule="exact"/>
        <w:rPr>
          <w:sz w:val="20"/>
          <w:szCs w:val="20"/>
          <w:color w:val="auto"/>
        </w:rPr>
      </w:pPr>
    </w:p>
    <w:p>
      <w:pPr>
        <w:jc w:val="both"/>
        <w:ind w:right="60"/>
        <w:spacing w:after="0" w:line="233" w:lineRule="auto"/>
        <w:rPr>
          <w:sz w:val="20"/>
          <w:szCs w:val="20"/>
          <w:color w:val="auto"/>
        </w:rPr>
      </w:pPr>
      <w:r>
        <w:rPr>
          <w:rFonts w:ascii="Arial" w:cs="Arial" w:eastAsia="Arial" w:hAnsi="Arial"/>
          <w:sz w:val="17"/>
          <w:szCs w:val="17"/>
          <w:color w:val="auto"/>
        </w:rPr>
        <w:t>For the first quarter of 2013, daily and Sunday circulation at the Post declined 7.2% and 7.7%, respectively, compared to the first quarter of 2012. For first quarter of 2013, average daily circulation at the Post totaled 457,100, and average Sunday circulation totaled 659,500. In January 2013, the Post implemented circulation price increases for daily home delivery and daily and Sunday single copy categories.</w:t>
      </w:r>
    </w:p>
    <w:p>
      <w:pPr>
        <w:spacing w:after="0" w:line="101"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In February 2013, the Company announced a Voluntary Retirement Incentive Program (VRIP) which was offered to certain employees of the Post. Th VRIP expense is estimated at $20.4 million, which will be funded from the assets of the Company’s pension plan. Of this amount, $12.0 million was recorded in the first quarter of 2013; the remainder will be recorded in the second quarter of 2013. The Post also implemented a Separation Incentive Program in February 2013 that resulted in an additional $2.3 million in early retirement program expense, which will also be funded from the assets of Company pension plan. In addition, voluntary severance and other early retirement expense of $1.6 million and $1.9 million was recorded at the news publishing division in the first quarter of 2013 and 2012, respectively.</w:t>
      </w:r>
    </w:p>
    <w:p>
      <w:pPr>
        <w:spacing w:after="0" w:line="10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newspaper publishing division reported an operating loss of $34.5 million in the first quarter of 2013, compared to an operating loss of $20.6 millio the first quarter of 2012. These operating losses include noncash pension expense of $22.9 million and $8.5 million for the first quarter of 2013 and 20 respectively. The decline in operating results is primarily due to the $14.0 million increase in early retirement and severance expense, offset partially b reduction in other operating expenses. Newsprint expense was down 12% for the first quarter of 2013 compared to the first quarter of 2012 due to a d in newsprint consumption.</w:t>
      </w:r>
    </w:p>
    <w:p>
      <w:pPr>
        <w:spacing w:after="0" w:line="102"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In March 2013, the Company completed the sale of The Herald, a daily and Sunday newspaper headquartered in Everett, WA. Consequently, the newspaper division’s operating results exclude The Herald.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Television Broadcasting</w:t>
      </w:r>
    </w:p>
    <w:p>
      <w:pPr>
        <w:spacing w:after="0" w:line="12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Revenue for the television broadcasting division increased 5% in the first quarter of 2013 to $85.3 million, from $ 81.5 million in 2012; operating income the first quarter of 2013 increased 14% to $35.4 million, from $31.0 million in 2012. The increase in revenue and operating income reflects growth in advertising demand across many product categories and increased retransmission revenues, offset by a $2.8 million decline in political advertising rev</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2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Other businesses includes the operating results of Social Code, a marketing solutions provider helping companies with marketing on social media plat Celtic Healthcare, Inc., a provider of home health care and hospice services in the northeastern and mid-Atlantic regions that was acquired by the Co in November 2012; and WaPo Labs, a digital team focused on emerging technologies and new product development.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as well as a net pension credit.</w:t>
      </w:r>
    </w:p>
    <w:p>
      <w:pPr>
        <w:ind w:left="54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71" w:right="1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auto"/>
        </w:rPr>
        <w:t>Equity in Earnings (Losses) of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 holds a 16.5% interest in Classified Ventures, LLC, and interests in several other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Company’s equity in earnings of affiliates, net, for the first quarter of 2013 was $3.4 million, compared to $3.9 million for the first quarter of 2012.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Non-Operating (Expense) Income</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recorded other non-operating expense, net, of $4.1 million for the first quarter of 2013, compared to other non-operating income, net, of million for the first quarter of 2012. The first quarter 2013 non-operating expense, net, included $4.6 million in unrealized foreign currency losses and o items. The first quarter 2012 non-operating income, net, included a $5.8 million gain on the sale of a cost method investment, $2.7 million in unrealize foreign currency gains and other items.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Net Interest Expense</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 incurred net interest expense of $8.5 million for the first quarter of 2013, compared to $8.1 million for the first quarter of 2012. At March 2013, the Company had $456.9 million in borrowings outstanding at an average interest rate of 7.0%.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9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effective tax rate for income from continuing operations for the first quarter of 2013 was 52.3%, compared to 45.6% for the first quarter of 2012. T high effective tax rate in the first quarter of 2013 and 2012 results primarily from losses in Australia for which no tax benefit is recorded.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Discontinued Operations</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March 2013, the Company completed the sale of The Herald, a daily and Sunday newspaper headquartered in Everett, WA. Kaplan sold Kidum in A 2012, EduNeering in April 2012 and Kaplan Learning Technologies (KLT) in February 2012. The Company also divested its interest in Avenue100 Med Solutions in July 2012. Consequently, the Company’s income from continuing operations excludes these businesses, which have been reclassified to discontinued operations, net of tax.</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sale of The Herald resulted in a pre-tax loss of $0.1 million that was recorded in the first quarter of 2013. The sale of KLT resulted in a pre-tax loss $3.1 million that was recorded in the first quarter of 2012. The sale of EduNeering resulted in a pre-tax gain of $29.5 million that was recorded in the s quarter of 2012. In the first quarter of 2012, in connection with each of the sales of the Company’s stock in KLT and EduNeering, the Company record $23.2 million of income tax benefits related to the excess of the outside stock tax basis over the net book value of the net assets acquired.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Earnings (Loss) Per Share</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calculation of diluted earnings per share for the first quarter of 2013 was based on 7,266,284 weighted average shares outstanding, compared to 7,614,623 for the first quarter of 2012. At March 31, 2013, there were 7,422,732 shares outstanding and the Company had remaining authorization fro Board of Directors to purchase up to 180,993 shares of Class B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 statements. For more information about these forward-looking statements and related risks, please refer to the section titled “Forward-Looking Statem in Part I of the Company’s Annual Report on Form 10-K.</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89" w:right="139" w:bottom="1440" w:gutter="0" w:footer="0" w:header="0"/>
        </w:sectPr>
      </w:pPr>
    </w:p>
    <w:bookmarkStart w:id="10" w:name="page11"/>
    <w:bookmarkEnd w:id="10"/>
    <w:p>
      <w:pPr>
        <w:jc w:val="center"/>
        <w:ind w:left="1160"/>
        <w:spacing w:after="0"/>
        <w:rPr>
          <w:sz w:val="20"/>
          <w:szCs w:val="20"/>
          <w:color w:val="auto"/>
        </w:rPr>
      </w:pPr>
      <w:r>
        <w:rPr>
          <w:rFonts w:ascii="Arial" w:cs="Arial" w:eastAsia="Arial" w:hAnsi="Arial"/>
          <w:sz w:val="17"/>
          <w:szCs w:val="17"/>
          <w:color w:val="auto"/>
        </w:rPr>
        <w:t>THE WASHINGTON POST COMPANY</w:t>
      </w:r>
    </w:p>
    <w:p>
      <w:pPr>
        <w:jc w:val="center"/>
        <w:ind w:left="1160"/>
        <w:spacing w:after="0" w:line="228" w:lineRule="auto"/>
        <w:rPr>
          <w:sz w:val="20"/>
          <w:szCs w:val="20"/>
          <w:color w:val="auto"/>
        </w:rPr>
      </w:pPr>
      <w:r>
        <w:rPr>
          <w:rFonts w:ascii="Arial" w:cs="Arial" w:eastAsia="Arial" w:hAnsi="Arial"/>
          <w:sz w:val="17"/>
          <w:szCs w:val="17"/>
          <w:u w:val="single" w:color="auto"/>
          <w:color w:val="auto"/>
        </w:rPr>
        <w:t>CONSOLIDATED STATEMENTS OF OPERATIONS</w:t>
      </w:r>
    </w:p>
    <w:p>
      <w:pPr>
        <w:jc w:val="center"/>
        <w:ind w:left="1160"/>
        <w:spacing w:after="0"/>
        <w:rPr>
          <w:sz w:val="20"/>
          <w:szCs w:val="20"/>
          <w:color w:val="auto"/>
        </w:rPr>
      </w:pPr>
      <w:r>
        <w:rPr>
          <w:rFonts w:ascii="Arial" w:cs="Arial" w:eastAsia="Arial" w:hAnsi="Arial"/>
          <w:sz w:val="17"/>
          <w:szCs w:val="17"/>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257"/>
              <w:spacing w:after="0"/>
              <w:rPr>
                <w:sz w:val="20"/>
                <w:szCs w:val="20"/>
                <w:color w:val="auto"/>
              </w:rPr>
            </w:pPr>
            <w:r>
              <w:rPr>
                <w:rFonts w:ascii="Arial" w:cs="Arial" w:eastAsia="Arial" w:hAnsi="Arial"/>
                <w:sz w:val="12"/>
                <w:szCs w:val="12"/>
                <w:b w:val="1"/>
                <w:bCs w:val="1"/>
                <w:color w:val="auto"/>
              </w:rPr>
              <w:t>March 31,</w:t>
            </w:r>
          </w:p>
        </w:tc>
        <w:tc>
          <w:tcPr>
            <w:tcW w:w="86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80" w:type="dxa"/>
            <w:vAlign w:val="bottom"/>
          </w:tcPr>
          <w:p>
            <w:pPr>
              <w:spacing w:after="0"/>
              <w:rPr>
                <w:sz w:val="12"/>
                <w:szCs w:val="12"/>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8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2013</w:t>
            </w: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w w:val="97"/>
              </w:rPr>
              <w:t>2012</w:t>
            </w:r>
          </w:p>
        </w:tc>
        <w:tc>
          <w:tcPr>
            <w:tcW w:w="64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w w:val="77"/>
              </w:rPr>
              <w:t>Ch</w:t>
            </w: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revenues</w:t>
            </w:r>
          </w:p>
        </w:tc>
        <w:tc>
          <w:tcPr>
            <w:tcW w:w="2260" w:type="dxa"/>
            <w:vAlign w:val="bottom"/>
            <w:gridSpan w:val="2"/>
          </w:tcPr>
          <w:p>
            <w:pPr>
              <w:jc w:val="right"/>
              <w:ind w:right="57"/>
              <w:spacing w:after="0" w:line="170"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959,105</w:t>
            </w:r>
          </w:p>
        </w:tc>
        <w:tc>
          <w:tcPr>
            <w:tcW w:w="580" w:type="dxa"/>
            <w:vAlign w:val="bottom"/>
          </w:tcPr>
          <w:p>
            <w:pPr>
              <w:jc w:val="right"/>
              <w:ind w:right="217"/>
              <w:spacing w:after="0" w:line="17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955,501</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(866,537)</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(868,406)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Depreciation of property, plant and equipment</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(65,791)</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(61,924)</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(3,717)</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income</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23,060</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21,298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Equity in earnings of affiliates, net</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3,418</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3,888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income</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510</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1,069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expense</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(8,960)</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(9,163)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Other (expense) income, net</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(4,083)</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 before income taxes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13,945</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25,680</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7,300</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6,645</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13,980</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(Loss) income from discontinued operations, net of tax</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(1,386)</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17,588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5,259</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31,568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Net income attributable to noncontrolling interests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(97)</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 attributable to The Washington Post Company</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5,162</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31,498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Redeemable preferred stock dividends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(444)</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b w:val="1"/>
                <w:bCs w:val="1"/>
                <w:color w:val="auto"/>
              </w:rPr>
              <w:t>Net Income Attributable to The Washington Post Company</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4,718</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58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31,047</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rPr>
              <w:t>Amounts Attributable to The Washington Post Company</w:t>
            </w:r>
          </w:p>
        </w:tc>
        <w:tc>
          <w:tcPr>
            <w:tcW w:w="1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8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6,104</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Income from continuing operations</w:t>
            </w:r>
          </w:p>
        </w:tc>
        <w:tc>
          <w:tcPr>
            <w:tcW w:w="226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580" w:type="dxa"/>
            <w:vAlign w:val="bottom"/>
          </w:tcPr>
          <w:p>
            <w:pPr>
              <w:jc w:val="right"/>
              <w:ind w:right="217"/>
              <w:spacing w:after="0" w:line="18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0" w:lineRule="exact"/>
              <w:rPr>
                <w:sz w:val="20"/>
                <w:szCs w:val="20"/>
                <w:color w:val="auto"/>
              </w:rPr>
            </w:pPr>
            <w:r>
              <w:rPr>
                <w:rFonts w:ascii="Arial" w:cs="Arial" w:eastAsia="Arial" w:hAnsi="Arial"/>
                <w:sz w:val="17"/>
                <w:szCs w:val="17"/>
                <w:color w:val="auto"/>
              </w:rPr>
              <w:t>13,459</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(Loss) income from discontinued operations, net of tax</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(1,386)</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17,588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4,718</w:t>
            </w:r>
          </w:p>
        </w:tc>
        <w:tc>
          <w:tcPr>
            <w:tcW w:w="580" w:type="dxa"/>
            <w:vAlign w:val="bottom"/>
            <w:tcBorders>
              <w:bottom w:val="single" w:sz="8" w:color="auto"/>
            </w:tcBorders>
          </w:tcPr>
          <w:p>
            <w:pPr>
              <w:jc w:val="right"/>
              <w:ind w:right="21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31,047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w w:val="96"/>
              </w:rPr>
              <w:t>Per Share Information Attributable to The Washington Post Company</w:t>
            </w: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8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0.82</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Basic income per common share from continuing operations</w:t>
            </w:r>
          </w:p>
        </w:tc>
        <w:tc>
          <w:tcPr>
            <w:tcW w:w="226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580" w:type="dxa"/>
            <w:vAlign w:val="bottom"/>
          </w:tcPr>
          <w:p>
            <w:pPr>
              <w:jc w:val="right"/>
              <w:ind w:right="217"/>
              <w:spacing w:after="0" w:line="18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0" w:lineRule="exact"/>
              <w:rPr>
                <w:sz w:val="20"/>
                <w:szCs w:val="20"/>
                <w:color w:val="auto"/>
              </w:rPr>
            </w:pPr>
            <w:r>
              <w:rPr>
                <w:rFonts w:ascii="Arial" w:cs="Arial" w:eastAsia="Arial" w:hAnsi="Arial"/>
                <w:sz w:val="17"/>
                <w:szCs w:val="17"/>
                <w:color w:val="auto"/>
              </w:rPr>
              <w:t>1.72</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Basic (loss) income per common share from discontinued operations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(0.18)</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Basic net income per common share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0.64</w:t>
            </w:r>
          </w:p>
        </w:tc>
        <w:tc>
          <w:tcPr>
            <w:tcW w:w="580" w:type="dxa"/>
            <w:vAlign w:val="bottom"/>
            <w:tcBorders>
              <w:bottom w:val="single" w:sz="8" w:color="auto"/>
            </w:tcBorders>
          </w:tcPr>
          <w:p>
            <w:pPr>
              <w:jc w:val="right"/>
              <w:ind w:right="21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4.07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1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7,227</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7,514</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income per common share from continuing operations</w:t>
            </w:r>
          </w:p>
        </w:tc>
        <w:tc>
          <w:tcPr>
            <w:tcW w:w="2260" w:type="dxa"/>
            <w:vAlign w:val="bottom"/>
            <w:gridSpan w:val="2"/>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0.82</w:t>
            </w:r>
          </w:p>
        </w:tc>
        <w:tc>
          <w:tcPr>
            <w:tcW w:w="58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1.72</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(loss) income per common share from discontinued operations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(0.18)</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Diluted net income per common share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0.64</w:t>
            </w:r>
          </w:p>
        </w:tc>
        <w:tc>
          <w:tcPr>
            <w:tcW w:w="580" w:type="dxa"/>
            <w:vAlign w:val="bottom"/>
            <w:tcBorders>
              <w:bottom w:val="single" w:sz="8" w:color="auto"/>
            </w:tcBorders>
          </w:tcPr>
          <w:p>
            <w:pPr>
              <w:jc w:val="right"/>
              <w:ind w:right="21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4.07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1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7,266</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7,615</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80" w:type="dxa"/>
            <w:vAlign w:val="bottom"/>
          </w:tcPr>
          <w:p>
            <w:pPr>
              <w:jc w:val="center"/>
              <w:ind w:right="1277"/>
              <w:spacing w:after="0" w:line="174" w:lineRule="exact"/>
              <w:rPr>
                <w:sz w:val="20"/>
                <w:szCs w:val="20"/>
                <w:color w:val="auto"/>
              </w:rPr>
            </w:pPr>
            <w:r>
              <w:rPr>
                <w:rFonts w:ascii="Arial" w:cs="Arial" w:eastAsia="Arial" w:hAnsi="Arial"/>
                <w:sz w:val="17"/>
                <w:szCs w:val="17"/>
                <w:color w:val="auto"/>
                <w:w w:val="95"/>
              </w:rPr>
              <w:t>-more-</w:t>
            </w:r>
          </w:p>
        </w:tc>
        <w:tc>
          <w:tcPr>
            <w:tcW w:w="3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5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80" w:type="dxa"/>
            <w:vAlign w:val="bottom"/>
          </w:tcPr>
          <w:p>
            <w:pPr>
              <w:jc w:val="right"/>
              <w:ind w:right="1477"/>
              <w:spacing w:after="0"/>
              <w:rPr>
                <w:sz w:val="20"/>
                <w:szCs w:val="20"/>
                <w:color w:val="auto"/>
              </w:rPr>
            </w:pPr>
            <w:r>
              <w:rPr>
                <w:rFonts w:ascii="Arial" w:cs="Arial" w:eastAsia="Arial" w:hAnsi="Arial"/>
                <w:sz w:val="17"/>
                <w:szCs w:val="17"/>
                <w:color w:val="auto"/>
              </w:rPr>
              <w:t>6</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837" w:right="139" w:bottom="1440" w:gutter="0" w:footer="0" w:header="0"/>
        </w:sectPr>
      </w:pPr>
    </w:p>
    <w:bookmarkStart w:id="11" w:name="page12"/>
    <w:bookmarkEnd w:id="11"/>
    <w:p>
      <w:pPr>
        <w:jc w:val="center"/>
        <w:ind w:left="820"/>
        <w:spacing w:after="0"/>
        <w:rPr>
          <w:sz w:val="20"/>
          <w:szCs w:val="20"/>
          <w:color w:val="auto"/>
        </w:rPr>
      </w:pPr>
      <w:r>
        <w:rPr>
          <w:rFonts w:ascii="Arial" w:cs="Arial" w:eastAsia="Arial" w:hAnsi="Arial"/>
          <w:sz w:val="17"/>
          <w:szCs w:val="17"/>
          <w:color w:val="auto"/>
        </w:rPr>
        <w:t>THE WASHINGTON POST COMPANY</w:t>
      </w:r>
    </w:p>
    <w:p>
      <w:pPr>
        <w:jc w:val="center"/>
        <w:ind w:left="820"/>
        <w:spacing w:after="0" w:line="228" w:lineRule="auto"/>
        <w:rPr>
          <w:sz w:val="20"/>
          <w:szCs w:val="20"/>
          <w:color w:val="auto"/>
        </w:rPr>
      </w:pPr>
      <w:r>
        <w:rPr>
          <w:rFonts w:ascii="Arial" w:cs="Arial" w:eastAsia="Arial" w:hAnsi="Arial"/>
          <w:sz w:val="17"/>
          <w:szCs w:val="17"/>
          <w:u w:val="single" w:color="auto"/>
          <w:color w:val="auto"/>
        </w:rPr>
        <w:t>BUSINESS SEGMENT INFORMATION</w:t>
      </w:r>
    </w:p>
    <w:p>
      <w:pPr>
        <w:jc w:val="center"/>
        <w:ind w:left="820"/>
        <w:spacing w:after="0"/>
        <w:rPr>
          <w:sz w:val="20"/>
          <w:szCs w:val="20"/>
          <w:color w:val="auto"/>
        </w:rPr>
      </w:pPr>
      <w:r>
        <w:rPr>
          <w:rFonts w:ascii="Arial" w:cs="Arial" w:eastAsia="Arial" w:hAnsi="Arial"/>
          <w:sz w:val="17"/>
          <w:szCs w:val="17"/>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257"/>
              <w:spacing w:after="0"/>
              <w:rPr>
                <w:sz w:val="20"/>
                <w:szCs w:val="20"/>
                <w:color w:val="auto"/>
              </w:rPr>
            </w:pPr>
            <w:r>
              <w:rPr>
                <w:rFonts w:ascii="Arial" w:cs="Arial" w:eastAsia="Arial" w:hAnsi="Arial"/>
                <w:sz w:val="12"/>
                <w:szCs w:val="12"/>
                <w:b w:val="1"/>
                <w:bCs w:val="1"/>
                <w:color w:val="auto"/>
              </w:rPr>
              <w:t>March 31,</w:t>
            </w:r>
          </w:p>
        </w:tc>
        <w:tc>
          <w:tcPr>
            <w:tcW w:w="860" w:type="dxa"/>
            <w:vAlign w:val="bottom"/>
            <w:tcBorders>
              <w:bottom w:val="single" w:sz="8" w:color="auto"/>
            </w:tcBorders>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580" w:type="dxa"/>
            <w:vAlign w:val="bottom"/>
          </w:tcPr>
          <w:p>
            <w:pPr>
              <w:spacing w:after="0"/>
              <w:rPr>
                <w:sz w:val="12"/>
                <w:szCs w:val="12"/>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2013</w:t>
            </w: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2012</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Cha</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040" w:type="dxa"/>
            <w:vAlign w:val="bottom"/>
          </w:tcPr>
          <w:p>
            <w:pPr>
              <w:spacing w:after="0" w:line="178" w:lineRule="exact"/>
              <w:rPr>
                <w:sz w:val="20"/>
                <w:szCs w:val="20"/>
                <w:color w:val="auto"/>
              </w:rPr>
            </w:pPr>
            <w:r>
              <w:rPr>
                <w:rFonts w:ascii="Arial" w:cs="Arial" w:eastAsia="Arial" w:hAnsi="Arial"/>
                <w:sz w:val="17"/>
                <w:szCs w:val="17"/>
                <w:b w:val="1"/>
                <w:bCs w:val="1"/>
                <w:color w:val="auto"/>
              </w:rPr>
              <w:t>Operating Revenues</w:t>
            </w:r>
          </w:p>
        </w:tc>
        <w:tc>
          <w:tcPr>
            <w:tcW w:w="354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527,815</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04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354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80" w:type="dxa"/>
            <w:vAlign w:val="bottom"/>
          </w:tcPr>
          <w:p>
            <w:pPr>
              <w:jc w:val="right"/>
              <w:ind w:right="197"/>
              <w:spacing w:after="0" w:line="166"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66" w:lineRule="exact"/>
              <w:rPr>
                <w:sz w:val="20"/>
                <w:szCs w:val="20"/>
                <w:color w:val="auto"/>
              </w:rPr>
            </w:pPr>
            <w:r>
              <w:rPr>
                <w:rFonts w:ascii="Arial" w:cs="Arial" w:eastAsia="Arial" w:hAnsi="Arial"/>
                <w:sz w:val="17"/>
                <w:szCs w:val="17"/>
                <w:color w:val="auto"/>
              </w:rPr>
              <w:t>546,685</w:t>
            </w:r>
          </w:p>
        </w:tc>
        <w:tc>
          <w:tcPr>
            <w:tcW w:w="760" w:type="dxa"/>
            <w:vAlign w:val="bottom"/>
            <w:gridSpan w:val="2"/>
          </w:tcPr>
          <w:p>
            <w:pPr>
              <w:jc w:val="right"/>
              <w:spacing w:after="0" w:line="166"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Cable television</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200,138</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190,210</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Newspaper publishing</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127,264</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132,450</w:t>
            </w:r>
          </w:p>
        </w:tc>
        <w:tc>
          <w:tcPr>
            <w:tcW w:w="76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Television broadcasting</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85,270</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81,497</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Other businesses</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18,891</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4,768</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Corporate office</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40" w:type="dxa"/>
            <w:vAlign w:val="bottom"/>
          </w:tcPr>
          <w:p>
            <w:pPr>
              <w:ind w:left="220"/>
              <w:spacing w:after="0"/>
              <w:rPr>
                <w:sz w:val="20"/>
                <w:szCs w:val="20"/>
                <w:color w:val="auto"/>
              </w:rPr>
            </w:pPr>
            <w:r>
              <w:rPr>
                <w:rFonts w:ascii="Arial" w:cs="Arial" w:eastAsia="Arial" w:hAnsi="Arial"/>
                <w:sz w:val="17"/>
                <w:szCs w:val="17"/>
                <w:color w:val="auto"/>
              </w:rPr>
              <w:t>Intersegment elimination</w:t>
            </w:r>
          </w:p>
        </w:tc>
        <w:tc>
          <w:tcPr>
            <w:tcW w:w="3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(273)</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040" w:type="dxa"/>
            <w:vAlign w:val="bottom"/>
            <w:vMerge w:val="restart"/>
          </w:tcPr>
          <w:p>
            <w:pPr>
              <w:spacing w:after="0"/>
              <w:rPr>
                <w:sz w:val="20"/>
                <w:szCs w:val="20"/>
                <w:color w:val="auto"/>
              </w:rPr>
            </w:pPr>
            <w:r>
              <w:rPr>
                <w:rFonts w:ascii="Arial" w:cs="Arial" w:eastAsia="Arial" w:hAnsi="Arial"/>
                <w:sz w:val="17"/>
                <w:szCs w:val="17"/>
                <w:b w:val="1"/>
                <w:bCs w:val="1"/>
                <w:color w:val="auto"/>
              </w:rPr>
              <w:t>Operating Expenses</w:t>
            </w:r>
          </w:p>
        </w:tc>
        <w:tc>
          <w:tcPr>
            <w:tcW w:w="316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959,105</w:t>
            </w:r>
          </w:p>
        </w:tc>
        <w:tc>
          <w:tcPr>
            <w:tcW w:w="580" w:type="dxa"/>
            <w:vAlign w:val="bottom"/>
            <w:tcBorders>
              <w:bottom w:val="single" w:sz="8" w:color="auto"/>
            </w:tcBorders>
          </w:tcPr>
          <w:p>
            <w:pPr>
              <w:jc w:val="right"/>
              <w:ind w:right="19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955,501</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040" w:type="dxa"/>
            <w:vAlign w:val="bottom"/>
            <w:vMerge w:val="continue"/>
          </w:tcPr>
          <w:p>
            <w:pPr>
              <w:spacing w:after="0"/>
              <w:rPr>
                <w:sz w:val="15"/>
                <w:szCs w:val="15"/>
                <w:color w:val="auto"/>
              </w:rPr>
            </w:pPr>
          </w:p>
        </w:tc>
        <w:tc>
          <w:tcPr>
            <w:tcW w:w="354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531,871</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04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354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80" w:type="dxa"/>
            <w:vAlign w:val="bottom"/>
          </w:tcPr>
          <w:p>
            <w:pPr>
              <w:jc w:val="right"/>
              <w:ind w:right="197"/>
              <w:spacing w:after="0" w:line="166"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66" w:lineRule="exact"/>
              <w:rPr>
                <w:sz w:val="20"/>
                <w:szCs w:val="20"/>
                <w:color w:val="auto"/>
              </w:rPr>
            </w:pPr>
            <w:r>
              <w:rPr>
                <w:rFonts w:ascii="Arial" w:cs="Arial" w:eastAsia="Arial" w:hAnsi="Arial"/>
                <w:sz w:val="17"/>
                <w:szCs w:val="17"/>
                <w:color w:val="auto"/>
              </w:rPr>
              <w:t>558,600</w:t>
            </w:r>
          </w:p>
        </w:tc>
        <w:tc>
          <w:tcPr>
            <w:tcW w:w="760" w:type="dxa"/>
            <w:vAlign w:val="bottom"/>
            <w:gridSpan w:val="2"/>
          </w:tcPr>
          <w:p>
            <w:pPr>
              <w:jc w:val="right"/>
              <w:spacing w:after="0" w:line="16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Cable television</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163,525</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157,433</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Newspaper publishing</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161,736</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153,062</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Television broadcasting</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49,908</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50,498</w:t>
            </w:r>
          </w:p>
        </w:tc>
        <w:tc>
          <w:tcPr>
            <w:tcW w:w="76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Other businesses</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25,004</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9,411</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Corporate office</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4,274</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5,308</w:t>
            </w:r>
          </w:p>
        </w:tc>
        <w:tc>
          <w:tcPr>
            <w:tcW w:w="76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40" w:type="dxa"/>
            <w:vAlign w:val="bottom"/>
          </w:tcPr>
          <w:p>
            <w:pPr>
              <w:ind w:left="220"/>
              <w:spacing w:after="0"/>
              <w:rPr>
                <w:sz w:val="20"/>
                <w:szCs w:val="20"/>
                <w:color w:val="auto"/>
              </w:rPr>
            </w:pPr>
            <w:r>
              <w:rPr>
                <w:rFonts w:ascii="Arial" w:cs="Arial" w:eastAsia="Arial" w:hAnsi="Arial"/>
                <w:sz w:val="17"/>
                <w:szCs w:val="17"/>
                <w:color w:val="auto"/>
              </w:rPr>
              <w:t>Intersegment elimination</w:t>
            </w:r>
          </w:p>
        </w:tc>
        <w:tc>
          <w:tcPr>
            <w:tcW w:w="3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(273)</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040" w:type="dxa"/>
            <w:vAlign w:val="bottom"/>
            <w:vMerge w:val="restart"/>
          </w:tcPr>
          <w:p>
            <w:pPr>
              <w:spacing w:after="0"/>
              <w:rPr>
                <w:sz w:val="20"/>
                <w:szCs w:val="20"/>
                <w:color w:val="auto"/>
              </w:rPr>
            </w:pPr>
            <w:r>
              <w:rPr>
                <w:rFonts w:ascii="Arial" w:cs="Arial" w:eastAsia="Arial" w:hAnsi="Arial"/>
                <w:sz w:val="17"/>
                <w:szCs w:val="17"/>
                <w:b w:val="1"/>
                <w:bCs w:val="1"/>
                <w:color w:val="auto"/>
              </w:rPr>
              <w:t>Operating Income (Loss)</w:t>
            </w:r>
          </w:p>
        </w:tc>
        <w:tc>
          <w:tcPr>
            <w:tcW w:w="316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936,045</w:t>
            </w:r>
          </w:p>
        </w:tc>
        <w:tc>
          <w:tcPr>
            <w:tcW w:w="580" w:type="dxa"/>
            <w:vAlign w:val="bottom"/>
            <w:tcBorders>
              <w:bottom w:val="single" w:sz="8" w:color="auto"/>
            </w:tcBorders>
          </w:tcPr>
          <w:p>
            <w:pPr>
              <w:jc w:val="right"/>
              <w:ind w:right="19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934,203</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040" w:type="dxa"/>
            <w:vAlign w:val="bottom"/>
            <w:vMerge w:val="continue"/>
          </w:tcPr>
          <w:p>
            <w:pPr>
              <w:spacing w:after="0"/>
              <w:rPr>
                <w:sz w:val="15"/>
                <w:szCs w:val="15"/>
                <w:color w:val="auto"/>
              </w:rPr>
            </w:pPr>
          </w:p>
        </w:tc>
        <w:tc>
          <w:tcPr>
            <w:tcW w:w="354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(4,056)</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04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354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80" w:type="dxa"/>
            <w:vAlign w:val="bottom"/>
          </w:tcPr>
          <w:p>
            <w:pPr>
              <w:jc w:val="right"/>
              <w:ind w:right="197"/>
              <w:spacing w:after="0" w:line="166"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66" w:lineRule="exact"/>
              <w:rPr>
                <w:sz w:val="20"/>
                <w:szCs w:val="20"/>
                <w:color w:val="auto"/>
              </w:rPr>
            </w:pPr>
            <w:r>
              <w:rPr>
                <w:rFonts w:ascii="Arial" w:cs="Arial" w:eastAsia="Arial" w:hAnsi="Arial"/>
                <w:sz w:val="17"/>
                <w:szCs w:val="17"/>
                <w:color w:val="auto"/>
              </w:rPr>
              <w:t>(11,915)</w:t>
            </w:r>
          </w:p>
        </w:tc>
        <w:tc>
          <w:tcPr>
            <w:tcW w:w="760" w:type="dxa"/>
            <w:vAlign w:val="bottom"/>
            <w:gridSpan w:val="2"/>
          </w:tcPr>
          <w:p>
            <w:pPr>
              <w:jc w:val="right"/>
              <w:spacing w:after="0" w:line="166"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Cable television</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36,613</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32,777</w:t>
            </w:r>
          </w:p>
        </w:tc>
        <w:tc>
          <w:tcPr>
            <w:tcW w:w="76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Newspaper publishing</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(34,472)</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(20,612)</w:t>
            </w:r>
          </w:p>
        </w:tc>
        <w:tc>
          <w:tcPr>
            <w:tcW w:w="76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Television broadcasting</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35,362</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30,999</w:t>
            </w:r>
          </w:p>
        </w:tc>
        <w:tc>
          <w:tcPr>
            <w:tcW w:w="76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Other businesses</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(6,113)</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(4,643)</w:t>
            </w:r>
          </w:p>
        </w:tc>
        <w:tc>
          <w:tcPr>
            <w:tcW w:w="76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40" w:type="dxa"/>
            <w:vAlign w:val="bottom"/>
          </w:tcPr>
          <w:p>
            <w:pPr>
              <w:ind w:left="220"/>
              <w:spacing w:after="0"/>
              <w:rPr>
                <w:sz w:val="20"/>
                <w:szCs w:val="20"/>
                <w:color w:val="auto"/>
              </w:rPr>
            </w:pPr>
            <w:r>
              <w:rPr>
                <w:rFonts w:ascii="Arial" w:cs="Arial" w:eastAsia="Arial" w:hAnsi="Arial"/>
                <w:sz w:val="17"/>
                <w:szCs w:val="17"/>
                <w:color w:val="auto"/>
              </w:rPr>
              <w:t>Corporate office</w:t>
            </w:r>
          </w:p>
        </w:tc>
        <w:tc>
          <w:tcPr>
            <w:tcW w:w="3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(4,274)</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(5,308)</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040" w:type="dxa"/>
            <w:vAlign w:val="bottom"/>
            <w:vMerge w:val="restart"/>
          </w:tcPr>
          <w:p>
            <w:pPr>
              <w:spacing w:after="0"/>
              <w:rPr>
                <w:sz w:val="20"/>
                <w:szCs w:val="20"/>
                <w:color w:val="auto"/>
              </w:rPr>
            </w:pPr>
            <w:r>
              <w:rPr>
                <w:rFonts w:ascii="Arial" w:cs="Arial" w:eastAsia="Arial" w:hAnsi="Arial"/>
                <w:sz w:val="17"/>
                <w:szCs w:val="17"/>
                <w:b w:val="1"/>
                <w:bCs w:val="1"/>
                <w:color w:val="auto"/>
              </w:rPr>
              <w:t>Depreciation</w:t>
            </w:r>
          </w:p>
        </w:tc>
        <w:tc>
          <w:tcPr>
            <w:tcW w:w="3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23,060</w:t>
            </w: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21,298</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040" w:type="dxa"/>
            <w:vAlign w:val="bottom"/>
            <w:vMerge w:val="continue"/>
          </w:tcPr>
          <w:p>
            <w:pPr>
              <w:spacing w:after="0"/>
              <w:rPr>
                <w:sz w:val="15"/>
                <w:szCs w:val="15"/>
                <w:color w:val="auto"/>
              </w:rPr>
            </w:pPr>
          </w:p>
        </w:tc>
        <w:tc>
          <w:tcPr>
            <w:tcW w:w="354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22,588</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04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354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80" w:type="dxa"/>
            <w:vAlign w:val="bottom"/>
          </w:tcPr>
          <w:p>
            <w:pPr>
              <w:jc w:val="right"/>
              <w:ind w:right="197"/>
              <w:spacing w:after="0" w:line="166"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66" w:lineRule="exact"/>
              <w:rPr>
                <w:sz w:val="20"/>
                <w:szCs w:val="20"/>
                <w:color w:val="auto"/>
              </w:rPr>
            </w:pPr>
            <w:r>
              <w:rPr>
                <w:rFonts w:ascii="Arial" w:cs="Arial" w:eastAsia="Arial" w:hAnsi="Arial"/>
                <w:sz w:val="17"/>
                <w:szCs w:val="17"/>
                <w:color w:val="auto"/>
              </w:rPr>
              <w:t>20,717</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Cable television</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33,733</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32,197</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Newspaper publishing</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6,015</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5,885</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Television broadcasting</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3,145</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3,125</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Other businesses</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310</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40" w:type="dxa"/>
            <w:vAlign w:val="bottom"/>
          </w:tcPr>
          <w:p>
            <w:pPr>
              <w:ind w:left="220"/>
              <w:spacing w:after="0"/>
              <w:rPr>
                <w:sz w:val="20"/>
                <w:szCs w:val="20"/>
                <w:color w:val="auto"/>
              </w:rPr>
            </w:pPr>
            <w:r>
              <w:rPr>
                <w:rFonts w:ascii="Arial" w:cs="Arial" w:eastAsia="Arial" w:hAnsi="Arial"/>
                <w:sz w:val="17"/>
                <w:szCs w:val="17"/>
                <w:color w:val="auto"/>
              </w:rPr>
              <w:t>Corporate office</w:t>
            </w:r>
          </w:p>
        </w:tc>
        <w:tc>
          <w:tcPr>
            <w:tcW w:w="3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040" w:type="dxa"/>
            <w:vAlign w:val="bottom"/>
            <w:vMerge w:val="restart"/>
          </w:tcPr>
          <w:p>
            <w:pPr>
              <w:spacing w:after="0"/>
              <w:rPr>
                <w:sz w:val="20"/>
                <w:szCs w:val="20"/>
                <w:color w:val="auto"/>
              </w:rPr>
            </w:pPr>
            <w:r>
              <w:rPr>
                <w:rFonts w:ascii="Arial" w:cs="Arial" w:eastAsia="Arial" w:hAnsi="Arial"/>
                <w:sz w:val="17"/>
                <w:szCs w:val="17"/>
                <w:b w:val="1"/>
                <w:bCs w:val="1"/>
                <w:color w:val="auto"/>
              </w:rPr>
              <w:t>Amortization of Intangible Assets</w:t>
            </w:r>
          </w:p>
        </w:tc>
        <w:tc>
          <w:tcPr>
            <w:tcW w:w="316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65,791</w:t>
            </w:r>
          </w:p>
        </w:tc>
        <w:tc>
          <w:tcPr>
            <w:tcW w:w="580" w:type="dxa"/>
            <w:vAlign w:val="bottom"/>
            <w:tcBorders>
              <w:bottom w:val="single" w:sz="8" w:color="auto"/>
            </w:tcBorders>
          </w:tcPr>
          <w:p>
            <w:pPr>
              <w:jc w:val="right"/>
              <w:ind w:right="19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61,924</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040" w:type="dxa"/>
            <w:vAlign w:val="bottom"/>
            <w:vMerge w:val="continue"/>
          </w:tcPr>
          <w:p>
            <w:pPr>
              <w:spacing w:after="0"/>
              <w:rPr>
                <w:sz w:val="15"/>
                <w:szCs w:val="15"/>
                <w:color w:val="auto"/>
              </w:rPr>
            </w:pPr>
          </w:p>
        </w:tc>
        <w:tc>
          <w:tcPr>
            <w:tcW w:w="354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2,518</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04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354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80" w:type="dxa"/>
            <w:vAlign w:val="bottom"/>
          </w:tcPr>
          <w:p>
            <w:pPr>
              <w:jc w:val="right"/>
              <w:ind w:right="197"/>
              <w:spacing w:after="0" w:line="166"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66" w:lineRule="exact"/>
              <w:rPr>
                <w:sz w:val="20"/>
                <w:szCs w:val="20"/>
                <w:color w:val="auto"/>
              </w:rPr>
            </w:pPr>
            <w:r>
              <w:rPr>
                <w:rFonts w:ascii="Arial" w:cs="Arial" w:eastAsia="Arial" w:hAnsi="Arial"/>
                <w:sz w:val="17"/>
                <w:szCs w:val="17"/>
                <w:color w:val="auto"/>
              </w:rPr>
              <w:t>3,236</w:t>
            </w:r>
          </w:p>
        </w:tc>
        <w:tc>
          <w:tcPr>
            <w:tcW w:w="760" w:type="dxa"/>
            <w:vAlign w:val="bottom"/>
            <w:gridSpan w:val="2"/>
          </w:tcPr>
          <w:p>
            <w:pPr>
              <w:jc w:val="right"/>
              <w:spacing w:after="0" w:line="166"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Cable television</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50</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54</w:t>
            </w:r>
          </w:p>
        </w:tc>
        <w:tc>
          <w:tcPr>
            <w:tcW w:w="76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Newspaper publishing</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150</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183</w:t>
            </w:r>
          </w:p>
        </w:tc>
        <w:tc>
          <w:tcPr>
            <w:tcW w:w="76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Television broadcasting</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Other businesses</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999</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400</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40" w:type="dxa"/>
            <w:vAlign w:val="bottom"/>
          </w:tcPr>
          <w:p>
            <w:pPr>
              <w:ind w:left="220"/>
              <w:spacing w:after="0"/>
              <w:rPr>
                <w:sz w:val="20"/>
                <w:szCs w:val="20"/>
                <w:color w:val="auto"/>
              </w:rPr>
            </w:pPr>
            <w:r>
              <w:rPr>
                <w:rFonts w:ascii="Arial" w:cs="Arial" w:eastAsia="Arial" w:hAnsi="Arial"/>
                <w:sz w:val="17"/>
                <w:szCs w:val="17"/>
                <w:color w:val="auto"/>
              </w:rPr>
              <w:t>Corporate office</w:t>
            </w:r>
          </w:p>
        </w:tc>
        <w:tc>
          <w:tcPr>
            <w:tcW w:w="3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040" w:type="dxa"/>
            <w:vAlign w:val="bottom"/>
            <w:vMerge w:val="restart"/>
          </w:tcPr>
          <w:p>
            <w:pPr>
              <w:spacing w:after="0"/>
              <w:rPr>
                <w:sz w:val="20"/>
                <w:szCs w:val="20"/>
                <w:color w:val="auto"/>
              </w:rPr>
            </w:pPr>
            <w:r>
              <w:rPr>
                <w:rFonts w:ascii="Arial" w:cs="Arial" w:eastAsia="Arial" w:hAnsi="Arial"/>
                <w:sz w:val="17"/>
                <w:szCs w:val="17"/>
                <w:b w:val="1"/>
                <w:bCs w:val="1"/>
                <w:color w:val="auto"/>
              </w:rPr>
              <w:t>Pension Expense (Credit)</w:t>
            </w:r>
          </w:p>
        </w:tc>
        <w:tc>
          <w:tcPr>
            <w:tcW w:w="316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3,717</w:t>
            </w:r>
          </w:p>
        </w:tc>
        <w:tc>
          <w:tcPr>
            <w:tcW w:w="580" w:type="dxa"/>
            <w:vAlign w:val="bottom"/>
            <w:tcBorders>
              <w:bottom w:val="single" w:sz="8" w:color="auto"/>
            </w:tcBorders>
          </w:tcPr>
          <w:p>
            <w:pPr>
              <w:jc w:val="right"/>
              <w:ind w:right="19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3,873</w:t>
            </w:r>
          </w:p>
        </w:tc>
        <w:tc>
          <w:tcPr>
            <w:tcW w:w="76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040" w:type="dxa"/>
            <w:vAlign w:val="bottom"/>
            <w:vMerge w:val="continue"/>
          </w:tcPr>
          <w:p>
            <w:pPr>
              <w:spacing w:after="0"/>
              <w:rPr>
                <w:sz w:val="15"/>
                <w:szCs w:val="15"/>
                <w:color w:val="auto"/>
              </w:rPr>
            </w:pPr>
          </w:p>
        </w:tc>
        <w:tc>
          <w:tcPr>
            <w:tcW w:w="354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4,106</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040" w:type="dxa"/>
            <w:vAlign w:val="bottom"/>
          </w:tcPr>
          <w:p>
            <w:pPr>
              <w:ind w:left="220"/>
              <w:spacing w:after="0" w:line="166" w:lineRule="exact"/>
              <w:rPr>
                <w:sz w:val="20"/>
                <w:szCs w:val="20"/>
                <w:color w:val="auto"/>
              </w:rPr>
            </w:pPr>
            <w:r>
              <w:rPr>
                <w:rFonts w:ascii="Arial" w:cs="Arial" w:eastAsia="Arial" w:hAnsi="Arial"/>
                <w:sz w:val="17"/>
                <w:szCs w:val="17"/>
                <w:color w:val="auto"/>
              </w:rPr>
              <w:t>Education</w:t>
            </w:r>
          </w:p>
        </w:tc>
        <w:tc>
          <w:tcPr>
            <w:tcW w:w="354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80" w:type="dxa"/>
            <w:vAlign w:val="bottom"/>
          </w:tcPr>
          <w:p>
            <w:pPr>
              <w:jc w:val="right"/>
              <w:ind w:right="197"/>
              <w:spacing w:after="0" w:line="166"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66" w:lineRule="exact"/>
              <w:rPr>
                <w:sz w:val="20"/>
                <w:szCs w:val="20"/>
                <w:color w:val="auto"/>
              </w:rPr>
            </w:pPr>
            <w:r>
              <w:rPr>
                <w:rFonts w:ascii="Arial" w:cs="Arial" w:eastAsia="Arial" w:hAnsi="Arial"/>
                <w:sz w:val="17"/>
                <w:szCs w:val="17"/>
                <w:color w:val="auto"/>
              </w:rPr>
              <w:t>2,392</w:t>
            </w:r>
          </w:p>
        </w:tc>
        <w:tc>
          <w:tcPr>
            <w:tcW w:w="760" w:type="dxa"/>
            <w:vAlign w:val="bottom"/>
            <w:gridSpan w:val="2"/>
          </w:tcPr>
          <w:p>
            <w:pPr>
              <w:jc w:val="right"/>
              <w:spacing w:after="0" w:line="166"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Cable television</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882</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530</w:t>
            </w:r>
          </w:p>
        </w:tc>
        <w:tc>
          <w:tcPr>
            <w:tcW w:w="76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Newspaper publishing</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22,929</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8,540</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Television broadcasting</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1,288</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960</w:t>
            </w:r>
          </w:p>
        </w:tc>
        <w:tc>
          <w:tcPr>
            <w:tcW w:w="76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40" w:type="dxa"/>
            <w:vAlign w:val="bottom"/>
          </w:tcPr>
          <w:p>
            <w:pPr>
              <w:ind w:left="220"/>
              <w:spacing w:after="0" w:line="186" w:lineRule="exact"/>
              <w:rPr>
                <w:sz w:val="20"/>
                <w:szCs w:val="20"/>
                <w:color w:val="auto"/>
              </w:rPr>
            </w:pPr>
            <w:r>
              <w:rPr>
                <w:rFonts w:ascii="Arial" w:cs="Arial" w:eastAsia="Arial" w:hAnsi="Arial"/>
                <w:sz w:val="17"/>
                <w:szCs w:val="17"/>
                <w:color w:val="auto"/>
              </w:rPr>
              <w:t>Other businesses</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76</w:t>
            </w:r>
          </w:p>
        </w:tc>
        <w:tc>
          <w:tcPr>
            <w:tcW w:w="58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10</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40" w:type="dxa"/>
            <w:vAlign w:val="bottom"/>
          </w:tcPr>
          <w:p>
            <w:pPr>
              <w:ind w:left="220"/>
              <w:spacing w:after="0"/>
              <w:rPr>
                <w:sz w:val="20"/>
                <w:szCs w:val="20"/>
                <w:color w:val="auto"/>
              </w:rPr>
            </w:pPr>
            <w:r>
              <w:rPr>
                <w:rFonts w:ascii="Arial" w:cs="Arial" w:eastAsia="Arial" w:hAnsi="Arial"/>
                <w:sz w:val="17"/>
                <w:szCs w:val="17"/>
                <w:color w:val="auto"/>
              </w:rPr>
              <w:t>Corporate office</w:t>
            </w:r>
          </w:p>
        </w:tc>
        <w:tc>
          <w:tcPr>
            <w:tcW w:w="3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(10,666)</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(9,298)</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18,615</w:t>
            </w:r>
          </w:p>
        </w:tc>
        <w:tc>
          <w:tcPr>
            <w:tcW w:w="580" w:type="dxa"/>
            <w:vAlign w:val="bottom"/>
            <w:tcBorders>
              <w:bottom w:val="single" w:sz="8" w:color="auto"/>
            </w:tcBorders>
          </w:tcPr>
          <w:p>
            <w:pPr>
              <w:jc w:val="right"/>
              <w:ind w:right="19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3,134</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160" w:type="dxa"/>
            <w:vAlign w:val="bottom"/>
          </w:tcPr>
          <w:p>
            <w:pPr>
              <w:jc w:val="center"/>
              <w:ind w:left="77"/>
              <w:spacing w:after="0" w:line="189" w:lineRule="exact"/>
              <w:rPr>
                <w:sz w:val="20"/>
                <w:szCs w:val="20"/>
                <w:color w:val="auto"/>
              </w:rPr>
            </w:pPr>
            <w:r>
              <w:rPr>
                <w:rFonts w:ascii="Arial" w:cs="Arial" w:eastAsia="Arial" w:hAnsi="Arial"/>
                <w:sz w:val="17"/>
                <w:szCs w:val="17"/>
                <w:color w:val="auto"/>
                <w:w w:val="95"/>
              </w:rPr>
              <w:t>-more-</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60" w:type="dxa"/>
            <w:vAlign w:val="bottom"/>
          </w:tcPr>
          <w:p>
            <w:pPr>
              <w:jc w:val="right"/>
              <w:ind w:right="1357"/>
              <w:spacing w:after="0"/>
              <w:rPr>
                <w:sz w:val="20"/>
                <w:szCs w:val="20"/>
                <w:color w:val="auto"/>
              </w:rPr>
            </w:pPr>
            <w:r>
              <w:rPr>
                <w:rFonts w:ascii="Arial" w:cs="Arial" w:eastAsia="Arial" w:hAnsi="Arial"/>
                <w:sz w:val="17"/>
                <w:szCs w:val="17"/>
                <w:color w:val="auto"/>
              </w:rPr>
              <w:t>7</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800" w:right="139" w:bottom="1440" w:gutter="0" w:footer="0" w:header="0"/>
        </w:sectPr>
      </w:pPr>
    </w:p>
    <w:bookmarkStart w:id="12" w:name="page13"/>
    <w:bookmarkEnd w:id="12"/>
    <w:p>
      <w:pPr>
        <w:jc w:val="center"/>
        <w:ind w:left="1020"/>
        <w:spacing w:after="0"/>
        <w:rPr>
          <w:sz w:val="20"/>
          <w:szCs w:val="20"/>
          <w:color w:val="auto"/>
        </w:rPr>
      </w:pPr>
      <w:r>
        <w:rPr>
          <w:rFonts w:ascii="Arial" w:cs="Arial" w:eastAsia="Arial" w:hAnsi="Arial"/>
          <w:sz w:val="16"/>
          <w:szCs w:val="16"/>
          <w:color w:val="auto"/>
        </w:rPr>
        <w:t>THE WASHINGTON POST COMPANY</w:t>
      </w:r>
    </w:p>
    <w:p>
      <w:pPr>
        <w:spacing w:after="0" w:line="39" w:lineRule="exact"/>
        <w:rPr>
          <w:sz w:val="20"/>
          <w:szCs w:val="20"/>
          <w:color w:val="auto"/>
        </w:rPr>
      </w:pPr>
    </w:p>
    <w:p>
      <w:pPr>
        <w:jc w:val="center"/>
        <w:ind w:left="1020"/>
        <w:spacing w:after="0"/>
        <w:rPr>
          <w:sz w:val="20"/>
          <w:szCs w:val="20"/>
          <w:color w:val="auto"/>
        </w:rPr>
      </w:pPr>
      <w:r>
        <w:rPr>
          <w:rFonts w:ascii="Arial" w:cs="Arial" w:eastAsia="Arial" w:hAnsi="Arial"/>
          <w:sz w:val="16"/>
          <w:szCs w:val="16"/>
          <w:u w:val="single" w:color="auto"/>
          <w:color w:val="auto"/>
        </w:rPr>
        <w:t>EDUCATION DIVISION INFORMATION</w:t>
      </w:r>
    </w:p>
    <w:p>
      <w:pPr>
        <w:spacing w:after="0" w:line="39" w:lineRule="exact"/>
        <w:rPr>
          <w:sz w:val="20"/>
          <w:szCs w:val="20"/>
          <w:color w:val="auto"/>
        </w:rPr>
      </w:pPr>
    </w:p>
    <w:p>
      <w:pPr>
        <w:jc w:val="center"/>
        <w:ind w:left="1020"/>
        <w:spacing w:after="0"/>
        <w:rPr>
          <w:sz w:val="20"/>
          <w:szCs w:val="20"/>
          <w:color w:val="auto"/>
        </w:rPr>
      </w:pPr>
      <w:r>
        <w:rPr>
          <w:rFonts w:ascii="Arial" w:cs="Arial" w:eastAsia="Arial" w:hAnsi="Arial"/>
          <w:sz w:val="16"/>
          <w:szCs w:val="16"/>
          <w:color w:val="auto"/>
        </w:rPr>
        <w:t>(Unaudited)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40" w:type="dxa"/>
            <w:vAlign w:val="bottom"/>
            <w:gridSpan w:val="2"/>
          </w:tcPr>
          <w:p>
            <w:pPr>
              <w:jc w:val="right"/>
              <w:ind w:right="37"/>
              <w:spacing w:after="0"/>
              <w:rPr>
                <w:sz w:val="20"/>
                <w:szCs w:val="20"/>
                <w:color w:val="auto"/>
              </w:rPr>
            </w:pPr>
            <w:r>
              <w:rPr>
                <w:rFonts w:ascii="Arial" w:cs="Arial" w:eastAsia="Arial" w:hAnsi="Arial"/>
                <w:sz w:val="12"/>
                <w:szCs w:val="12"/>
                <w:b w:val="1"/>
                <w:bCs w:val="1"/>
                <w:color w:val="auto"/>
              </w:rPr>
              <w:t>Three Months Ended</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2"/>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12"/>
                <w:szCs w:val="12"/>
                <w:b w:val="1"/>
                <w:bCs w:val="1"/>
                <w:color w:val="auto"/>
              </w:rPr>
              <w:t>March 31,</w:t>
            </w:r>
          </w:p>
        </w:tc>
        <w:tc>
          <w:tcPr>
            <w:tcW w:w="1300" w:type="dxa"/>
            <w:vAlign w:val="bottom"/>
            <w:tcBorders>
              <w:bottom w:val="single" w:sz="8" w:color="auto"/>
            </w:tcBorders>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79"/>
              <w:spacing w:after="0"/>
              <w:rPr>
                <w:sz w:val="20"/>
                <w:szCs w:val="20"/>
                <w:color w:val="auto"/>
              </w:rPr>
            </w:pPr>
            <w:r>
              <w:rPr>
                <w:rFonts w:ascii="Arial" w:cs="Arial" w:eastAsia="Arial" w:hAnsi="Arial"/>
                <w:sz w:val="12"/>
                <w:szCs w:val="12"/>
                <w:b w:val="1"/>
                <w:bCs w:val="1"/>
                <w:color w:val="auto"/>
              </w:rPr>
              <w:t>2013</w:t>
            </w: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98"/>
              <w:spacing w:after="0"/>
              <w:rPr>
                <w:sz w:val="20"/>
                <w:szCs w:val="20"/>
                <w:color w:val="auto"/>
              </w:rPr>
            </w:pPr>
            <w:r>
              <w:rPr>
                <w:rFonts w:ascii="Arial" w:cs="Arial" w:eastAsia="Arial" w:hAnsi="Arial"/>
                <w:sz w:val="12"/>
                <w:szCs w:val="12"/>
                <w:color w:val="auto"/>
              </w:rPr>
              <w:t>2012</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Change</w:t>
            </w:r>
          </w:p>
        </w:tc>
      </w:tr>
      <w:tr>
        <w:trPr>
          <w:trHeight w:val="214"/>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b w:val="1"/>
                <w:bCs w:val="1"/>
                <w:color w:val="auto"/>
              </w:rPr>
              <w:t>Operating Revenues</w:t>
            </w:r>
          </w:p>
        </w:tc>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Higher education</w:t>
            </w:r>
          </w:p>
        </w:tc>
        <w:tc>
          <w:tcPr>
            <w:tcW w:w="25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271,860</w:t>
            </w:r>
          </w:p>
        </w:tc>
        <w:tc>
          <w:tcPr>
            <w:tcW w:w="720" w:type="dxa"/>
            <w:vAlign w:val="bottom"/>
          </w:tcPr>
          <w:p>
            <w:pPr>
              <w:jc w:val="right"/>
              <w:ind w:right="39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308,384</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Test preparation</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68,943</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62,829</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Kaplan international</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184,813</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173,563</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Kaplan corporate</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2,604</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3,384</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58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Intersegment elimination</w:t>
            </w:r>
          </w:p>
        </w:tc>
        <w:tc>
          <w:tcPr>
            <w:tcW w:w="20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(405)</w:t>
            </w: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(1,475)</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5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527,815</w:t>
            </w:r>
          </w:p>
        </w:tc>
        <w:tc>
          <w:tcPr>
            <w:tcW w:w="720" w:type="dxa"/>
            <w:vAlign w:val="bottom"/>
          </w:tcPr>
          <w:p>
            <w:pPr>
              <w:jc w:val="right"/>
              <w:ind w:right="39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546,685</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20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Higher education</w:t>
            </w:r>
          </w:p>
        </w:tc>
        <w:tc>
          <w:tcPr>
            <w:tcW w:w="25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266,759</w:t>
            </w:r>
          </w:p>
        </w:tc>
        <w:tc>
          <w:tcPr>
            <w:tcW w:w="720" w:type="dxa"/>
            <w:vAlign w:val="bottom"/>
          </w:tcPr>
          <w:p>
            <w:pPr>
              <w:jc w:val="right"/>
              <w:ind w:right="39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299,425</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Test preparation</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73,288</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73,048</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Kaplan international</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178,416</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169,423</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Kaplan corporate</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11,426</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15,137</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Amortization of intangible assets</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2,518</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3,236</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58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Intersegment elimination</w:t>
            </w:r>
          </w:p>
        </w:tc>
        <w:tc>
          <w:tcPr>
            <w:tcW w:w="20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(536)</w:t>
            </w: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5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531,871</w:t>
            </w:r>
          </w:p>
        </w:tc>
        <w:tc>
          <w:tcPr>
            <w:tcW w:w="720" w:type="dxa"/>
            <w:vAlign w:val="bottom"/>
          </w:tcPr>
          <w:p>
            <w:pPr>
              <w:jc w:val="right"/>
              <w:ind w:right="39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558,600</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b w:val="1"/>
                <w:bCs w:val="1"/>
                <w:color w:val="auto"/>
              </w:rPr>
              <w:t>Operating Income (Loss)</w:t>
            </w:r>
          </w:p>
        </w:tc>
        <w:tc>
          <w:tcPr>
            <w:tcW w:w="20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Higher education</w:t>
            </w:r>
          </w:p>
        </w:tc>
        <w:tc>
          <w:tcPr>
            <w:tcW w:w="25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5,101</w:t>
            </w:r>
          </w:p>
        </w:tc>
        <w:tc>
          <w:tcPr>
            <w:tcW w:w="720" w:type="dxa"/>
            <w:vAlign w:val="bottom"/>
          </w:tcPr>
          <w:p>
            <w:pPr>
              <w:jc w:val="right"/>
              <w:ind w:right="39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8,959</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Test preparation</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(4,345)</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(10,219)</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Kaplan international</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6,397</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4,140</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Kaplan corporate</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(8,822)</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(11,753)</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Amortization of intangible assets</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(2,518)</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(3,236)</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Intersegment elimination</w:t>
            </w:r>
          </w:p>
        </w:tc>
        <w:tc>
          <w:tcPr>
            <w:tcW w:w="20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131</w:t>
            </w: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5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(4,056)</w:t>
            </w:r>
          </w:p>
        </w:tc>
        <w:tc>
          <w:tcPr>
            <w:tcW w:w="720" w:type="dxa"/>
            <w:vAlign w:val="bottom"/>
          </w:tcPr>
          <w:p>
            <w:pPr>
              <w:jc w:val="right"/>
              <w:ind w:right="39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(11,915)</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b w:val="1"/>
                <w:bCs w:val="1"/>
                <w:color w:val="auto"/>
              </w:rPr>
              <w:t>Depreciation</w:t>
            </w:r>
          </w:p>
        </w:tc>
        <w:tc>
          <w:tcPr>
            <w:tcW w:w="20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Higher education</w:t>
            </w:r>
          </w:p>
        </w:tc>
        <w:tc>
          <w:tcPr>
            <w:tcW w:w="25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13,439</w:t>
            </w:r>
          </w:p>
        </w:tc>
        <w:tc>
          <w:tcPr>
            <w:tcW w:w="720" w:type="dxa"/>
            <w:vAlign w:val="bottom"/>
          </w:tcPr>
          <w:p>
            <w:pPr>
              <w:jc w:val="right"/>
              <w:ind w:right="39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11,757</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Test preparation</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4,758</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4,315</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Kaplan international</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3,996</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4,178</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Kaplan corporate</w:t>
            </w:r>
          </w:p>
        </w:tc>
        <w:tc>
          <w:tcPr>
            <w:tcW w:w="20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395</w:t>
            </w: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3"/>
        </w:trPr>
        <w:tc>
          <w:tcPr>
            <w:tcW w:w="5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5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22,588</w:t>
            </w:r>
          </w:p>
        </w:tc>
        <w:tc>
          <w:tcPr>
            <w:tcW w:w="720" w:type="dxa"/>
            <w:vAlign w:val="bottom"/>
          </w:tcPr>
          <w:p>
            <w:pPr>
              <w:jc w:val="right"/>
              <w:ind w:right="39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20,717</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b w:val="1"/>
                <w:bCs w:val="1"/>
                <w:color w:val="auto"/>
              </w:rPr>
              <w:t>Pension Expense (Credit)</w:t>
            </w:r>
          </w:p>
        </w:tc>
        <w:tc>
          <w:tcPr>
            <w:tcW w:w="20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Higher education</w:t>
            </w:r>
          </w:p>
        </w:tc>
        <w:tc>
          <w:tcPr>
            <w:tcW w:w="25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2,807</w:t>
            </w:r>
          </w:p>
        </w:tc>
        <w:tc>
          <w:tcPr>
            <w:tcW w:w="720" w:type="dxa"/>
            <w:vAlign w:val="bottom"/>
          </w:tcPr>
          <w:p>
            <w:pPr>
              <w:jc w:val="right"/>
              <w:ind w:right="39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1,587</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Test preparation</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640</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413</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Kaplan international</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87</w:t>
            </w: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7"/>
                <w:szCs w:val="17"/>
                <w:color w:val="auto"/>
              </w:rPr>
              <w:t>Kaplan corporate</w:t>
            </w:r>
          </w:p>
        </w:tc>
        <w:tc>
          <w:tcPr>
            <w:tcW w:w="20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572</w:t>
            </w: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5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79"/>
              <w:spacing w:after="0"/>
              <w:rPr>
                <w:sz w:val="20"/>
                <w:szCs w:val="20"/>
                <w:color w:val="auto"/>
              </w:rPr>
            </w:pPr>
            <w:r>
              <w:rPr>
                <w:rFonts w:ascii="Arial" w:cs="Arial" w:eastAsia="Arial" w:hAnsi="Arial"/>
                <w:sz w:val="17"/>
                <w:szCs w:val="17"/>
                <w:b w:val="1"/>
                <w:bCs w:val="1"/>
                <w:color w:val="auto"/>
              </w:rPr>
              <w:t>4,106</w:t>
            </w:r>
          </w:p>
        </w:tc>
        <w:tc>
          <w:tcPr>
            <w:tcW w:w="720" w:type="dxa"/>
            <w:vAlign w:val="bottom"/>
          </w:tcPr>
          <w:p>
            <w:pPr>
              <w:jc w:val="right"/>
              <w:ind w:right="39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2,392</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00" w:type="dxa"/>
            <w:vAlign w:val="bottom"/>
          </w:tcPr>
          <w:p>
            <w:pPr>
              <w:jc w:val="center"/>
              <w:ind w:left="1317"/>
              <w:spacing w:after="0" w:line="189" w:lineRule="exact"/>
              <w:rPr>
                <w:sz w:val="20"/>
                <w:szCs w:val="20"/>
                <w:color w:val="auto"/>
              </w:rPr>
            </w:pPr>
            <w:r>
              <w:rPr>
                <w:rFonts w:ascii="Arial" w:cs="Arial" w:eastAsia="Arial" w:hAnsi="Arial"/>
                <w:sz w:val="17"/>
                <w:szCs w:val="17"/>
                <w:color w:val="auto"/>
                <w:w w:val="95"/>
              </w:rPr>
              <w:t>-more-</w:t>
            </w:r>
          </w:p>
        </w:tc>
        <w:tc>
          <w:tcPr>
            <w:tcW w:w="5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7"/>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00" w:type="dxa"/>
            <w:vAlign w:val="bottom"/>
          </w:tcPr>
          <w:p>
            <w:pPr>
              <w:jc w:val="right"/>
              <w:ind w:right="157"/>
              <w:spacing w:after="0"/>
              <w:rPr>
                <w:sz w:val="20"/>
                <w:szCs w:val="20"/>
                <w:color w:val="auto"/>
              </w:rPr>
            </w:pPr>
            <w:r>
              <w:rPr>
                <w:rFonts w:ascii="Arial" w:cs="Arial" w:eastAsia="Arial" w:hAnsi="Arial"/>
                <w:sz w:val="17"/>
                <w:szCs w:val="17"/>
                <w:color w:val="auto"/>
              </w:rPr>
              <w:t>8</w:t>
            </w: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8"/>
        </w:trPr>
        <w:tc>
          <w:tcPr>
            <w:tcW w:w="58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916" w:right="1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NON-GAAP FINANCIAL INFORMATION</w:t>
      </w:r>
    </w:p>
    <w:p>
      <w:pPr>
        <w:spacing w:after="0" w:line="228" w:lineRule="auto"/>
        <w:rPr>
          <w:sz w:val="20"/>
          <w:szCs w:val="20"/>
          <w:color w:val="auto"/>
        </w:rPr>
      </w:pPr>
      <w:r>
        <w:rPr>
          <w:rFonts w:ascii="Arial" w:cs="Arial" w:eastAsia="Arial" w:hAnsi="Arial"/>
          <w:sz w:val="17"/>
          <w:szCs w:val="17"/>
          <w:color w:val="auto"/>
        </w:rPr>
        <w:t>THE WASHINGTON POST COMPANY</w:t>
      </w:r>
    </w:p>
    <w:p>
      <w:pPr>
        <w:spacing w:after="0"/>
        <w:rPr>
          <w:sz w:val="20"/>
          <w:szCs w:val="20"/>
          <w:color w:val="auto"/>
        </w:rPr>
      </w:pPr>
      <w:r>
        <w:rPr>
          <w:rFonts w:ascii="Arial" w:cs="Arial" w:eastAsia="Arial" w:hAnsi="Arial"/>
          <w:sz w:val="17"/>
          <w:szCs w:val="17"/>
          <w:color w:val="auto"/>
        </w:rPr>
        <w:t>(Unaudited)</w:t>
      </w:r>
    </w:p>
    <w:p>
      <w:pPr>
        <w:spacing w:after="0" w:line="15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addition to the results reported in accordance with accounting principles generally accepted in the United States (GAAP) included in this press relea the Company has provided information regarding income from continuing operations, excluding certain items described below, reconciled to the most directly comparable GAAP measures. Management believes these non-GAAP measures, when read in conjunction with the Company‘s GAAP financi provide useful information to investors by offering:</w:t>
      </w:r>
    </w:p>
    <w:p>
      <w:pPr>
        <w:spacing w:after="0" w:line="88" w:lineRule="exact"/>
        <w:rPr>
          <w:sz w:val="20"/>
          <w:szCs w:val="20"/>
          <w:color w:val="auto"/>
        </w:rPr>
      </w:pPr>
    </w:p>
    <w:p>
      <w:pPr>
        <w:ind w:left="420" w:hanging="131"/>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to make meaningful period-to-period comparisons of the Company’s ongoing results;</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to identify trends in the Company’s underlying business; and</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better understanding of how management plans and measures the Company’s underlying business.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Income from continuing operations, excluding certain items, should not be considered substitutes or alternatives to computations calculated in accorda with and required by GAAP. These non-GAAP financial measures should be read only in conjunction with financial information presented on a GAAP b</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non-GAAP financial measures to the most directly comparable GAAP measures: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right"/>
              <w:ind w:right="187"/>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51"/>
        </w:trPr>
        <w:tc>
          <w:tcPr>
            <w:tcW w:w="8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tcPr>
          <w:p>
            <w:pPr>
              <w:jc w:val="right"/>
              <w:ind w:right="527"/>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41"/>
        </w:trPr>
        <w:tc>
          <w:tcPr>
            <w:tcW w:w="87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2"/>
                <w:szCs w:val="12"/>
                <w:b w:val="1"/>
                <w:bCs w:val="1"/>
                <w:color w:val="auto"/>
              </w:rPr>
              <w:t>2013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68"/>
        </w:trPr>
        <w:tc>
          <w:tcPr>
            <w:tcW w:w="8700" w:type="dxa"/>
            <w:vAlign w:val="bottom"/>
          </w:tcPr>
          <w:p>
            <w:pPr>
              <w:spacing w:after="0" w:line="168" w:lineRule="exact"/>
              <w:rPr>
                <w:sz w:val="20"/>
                <w:szCs w:val="20"/>
                <w:color w:val="auto"/>
              </w:rPr>
            </w:pPr>
            <w:r>
              <w:rPr>
                <w:rFonts w:ascii="Arial" w:cs="Arial" w:eastAsia="Arial" w:hAnsi="Arial"/>
                <w:sz w:val="15"/>
                <w:szCs w:val="15"/>
                <w:b w:val="1"/>
                <w:bCs w:val="1"/>
                <w:color w:val="auto"/>
              </w:rPr>
              <w:t>Amounts Attributable to The Washington Post Company Common Stockholders:</w:t>
            </w: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00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6,104</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700" w:type="dxa"/>
            <w:vAlign w:val="bottom"/>
          </w:tcPr>
          <w:p>
            <w:pPr>
              <w:spacing w:after="0"/>
              <w:rPr>
                <w:sz w:val="20"/>
                <w:szCs w:val="20"/>
                <w:color w:val="auto"/>
              </w:rPr>
            </w:pPr>
            <w:r>
              <w:rPr>
                <w:rFonts w:ascii="Arial" w:cs="Arial" w:eastAsia="Arial" w:hAnsi="Arial"/>
                <w:sz w:val="15"/>
                <w:szCs w:val="15"/>
                <w:color w:val="auto"/>
              </w:rPr>
              <w:t>Income from continuing operations, as reported</w:t>
            </w:r>
          </w:p>
        </w:tc>
        <w:tc>
          <w:tcPr>
            <w:tcW w:w="34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Pr>
          <w:p>
            <w:pPr>
              <w:ind w:left="220"/>
              <w:spacing w:after="0"/>
              <w:rPr>
                <w:sz w:val="20"/>
                <w:szCs w:val="20"/>
                <w:color w:val="auto"/>
              </w:rPr>
            </w:pPr>
            <w:r>
              <w:rPr>
                <w:rFonts w:ascii="Arial" w:cs="Arial" w:eastAsia="Arial" w:hAnsi="Arial"/>
                <w:sz w:val="15"/>
                <w:szCs w:val="15"/>
                <w:color w:val="auto"/>
              </w:rPr>
              <w:t>Adjustments: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Early retirement, severance and restructuring charges</w:t>
            </w:r>
          </w:p>
        </w:tc>
        <w:tc>
          <w:tcPr>
            <w:tcW w:w="3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b w:val="1"/>
                <w:bCs w:val="1"/>
                <w:color w:val="auto"/>
              </w:rPr>
              <w:t>16,180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Gain on sale of a cost method investment</w:t>
            </w:r>
          </w:p>
        </w:tc>
        <w:tc>
          <w:tcPr>
            <w:tcW w:w="3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8700" w:type="dxa"/>
            <w:vAlign w:val="bottom"/>
          </w:tcPr>
          <w:p>
            <w:pPr>
              <w:ind w:left="460"/>
              <w:spacing w:after="0"/>
              <w:rPr>
                <w:sz w:val="20"/>
                <w:szCs w:val="20"/>
                <w:color w:val="auto"/>
              </w:rPr>
            </w:pPr>
            <w:r>
              <w:rPr>
                <w:rFonts w:ascii="Arial" w:cs="Arial" w:eastAsia="Arial" w:hAnsi="Arial"/>
                <w:sz w:val="15"/>
                <w:szCs w:val="15"/>
                <w:color w:val="auto"/>
              </w:rPr>
              <w:t>Foreign currency loss (gain)</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rPr>
              <w:t>2,953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8700" w:type="dxa"/>
            <w:vAlign w:val="bottom"/>
          </w:tcPr>
          <w:p>
            <w:pPr>
              <w:spacing w:after="0"/>
              <w:rPr>
                <w:sz w:val="20"/>
                <w:szCs w:val="20"/>
                <w:color w:val="auto"/>
              </w:rPr>
            </w:pPr>
            <w:r>
              <w:rPr>
                <w:rFonts w:ascii="Arial" w:cs="Arial" w:eastAsia="Arial" w:hAnsi="Arial"/>
                <w:sz w:val="15"/>
                <w:szCs w:val="15"/>
                <w:color w:val="auto"/>
              </w:rPr>
              <w:t>Income from continuing operations, adjusted (non-GAAP)</w:t>
            </w: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rPr>
              <w:t>25,237</w:t>
            </w:r>
          </w:p>
        </w:tc>
        <w:tc>
          <w:tcPr>
            <w:tcW w:w="90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66"/>
        </w:trPr>
        <w:tc>
          <w:tcPr>
            <w:tcW w:w="8700" w:type="dxa"/>
            <w:vAlign w:val="bottom"/>
          </w:tcPr>
          <w:p>
            <w:pPr>
              <w:spacing w:after="0"/>
              <w:rPr>
                <w:sz w:val="20"/>
                <w:szCs w:val="20"/>
                <w:color w:val="auto"/>
              </w:rPr>
            </w:pPr>
            <w:r>
              <w:rPr>
                <w:rFonts w:ascii="Arial" w:cs="Arial" w:eastAsia="Arial" w:hAnsi="Arial"/>
                <w:sz w:val="15"/>
                <w:szCs w:val="15"/>
                <w:b w:val="1"/>
                <w:bCs w:val="1"/>
                <w:color w:val="auto"/>
              </w:rPr>
              <w:t>Per Share Information Attributable to The Washington Post Company Common Stockholders:</w:t>
            </w: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00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0.82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70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 as reported</w:t>
            </w:r>
          </w:p>
        </w:tc>
        <w:tc>
          <w:tcPr>
            <w:tcW w:w="34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700" w:type="dxa"/>
            <w:vAlign w:val="bottom"/>
          </w:tcPr>
          <w:p>
            <w:pPr>
              <w:ind w:left="220"/>
              <w:spacing w:after="0"/>
              <w:rPr>
                <w:sz w:val="20"/>
                <w:szCs w:val="20"/>
                <w:color w:val="auto"/>
              </w:rPr>
            </w:pPr>
            <w:r>
              <w:rPr>
                <w:rFonts w:ascii="Arial" w:cs="Arial" w:eastAsia="Arial" w:hAnsi="Arial"/>
                <w:sz w:val="15"/>
                <w:szCs w:val="15"/>
                <w:color w:val="auto"/>
              </w:rPr>
              <w:t>Adjustments: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Early retirement, severance and restructuring charges</w:t>
            </w:r>
          </w:p>
        </w:tc>
        <w:tc>
          <w:tcPr>
            <w:tcW w:w="3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b w:val="1"/>
                <w:bCs w:val="1"/>
                <w:color w:val="auto"/>
              </w:rPr>
              <w:t>2.23</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Gain on sale of a cost method investment</w:t>
            </w:r>
          </w:p>
        </w:tc>
        <w:tc>
          <w:tcPr>
            <w:tcW w:w="3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700" w:type="dxa"/>
            <w:vAlign w:val="bottom"/>
          </w:tcPr>
          <w:p>
            <w:pPr>
              <w:ind w:left="460"/>
              <w:spacing w:after="0"/>
              <w:rPr>
                <w:sz w:val="20"/>
                <w:szCs w:val="20"/>
                <w:color w:val="auto"/>
              </w:rPr>
            </w:pPr>
            <w:r>
              <w:rPr>
                <w:rFonts w:ascii="Arial" w:cs="Arial" w:eastAsia="Arial" w:hAnsi="Arial"/>
                <w:sz w:val="15"/>
                <w:szCs w:val="15"/>
                <w:color w:val="auto"/>
              </w:rPr>
              <w:t>Foreign currency loss (gain)</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rPr>
              <w:t>0.41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70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 adjusted (non-GAAP)</w:t>
            </w: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rPr>
              <w:t>3.46</w:t>
            </w:r>
          </w:p>
        </w:tc>
        <w:tc>
          <w:tcPr>
            <w:tcW w:w="90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Adjusted diluted per share amounts may not compute due to rounding.</w:t>
      </w:r>
    </w:p>
    <w:p>
      <w:pPr>
        <w:spacing w:after="0" w:line="19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00" w:right="1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2019-12-05T16:41:17Z</dcterms:created>
  <dcterms:modified xsi:type="dcterms:W3CDTF">2019-12-05T16:41:17Z</dcterms:modified>
</cp:coreProperties>
</file>