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21, 2018</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995" w:right="23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8.01</w:t>
      </w:r>
      <w:r>
        <w:rPr>
          <w:sz w:val="20"/>
          <w:szCs w:val="20"/>
          <w:color w:val="auto"/>
        </w:rPr>
        <w:tab/>
      </w:r>
      <w:r>
        <w:rPr>
          <w:rFonts w:ascii="Arial" w:cs="Arial" w:eastAsia="Arial" w:hAnsi="Arial"/>
          <w:sz w:val="18"/>
          <w:szCs w:val="18"/>
          <w:b w:val="1"/>
          <w:bCs w:val="1"/>
          <w:color w:val="auto"/>
        </w:rPr>
        <w:t>Other Events.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Graham Holdings Company (the “Company”) is filing this Current Report on Form 8-K to recast certain previously reported amounts to reflect changes resulting from (i) the adoption of the Financial Accounting Standards Board’s Accounting Standards Update 2017-07, </w:t>
      </w:r>
      <w:r>
        <w:rPr>
          <w:rFonts w:ascii="Arial" w:cs="Arial" w:eastAsia="Arial" w:hAnsi="Arial"/>
          <w:sz w:val="18"/>
          <w:szCs w:val="18"/>
          <w:i w:val="1"/>
          <w:iCs w:val="1"/>
          <w:color w:val="auto"/>
        </w:rPr>
        <w:t>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(“ASU 2017-07”); (ii) the reclassification of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fringe benefits between operating expenses and selling, general and administrative expenses; and (iii) the change to segment reporting with respect to the financial information contained in the Company’s Annual Report on Form 10-K for the year ended December 31, 2017 (“2017 Form 10-K”) ”) filed with the Securities and Exchange Commission (the “SEC”).</w:t>
      </w:r>
    </w:p>
    <w:p>
      <w:pPr>
        <w:spacing w:after="0" w:line="129"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Adoption of ASU 2017-07 and reclassification of costs associated with fringe benefits between operating expenses and selling, general and administrative expenses. </w:t>
      </w:r>
      <w:r>
        <w:rPr>
          <w:rFonts w:ascii="Arial" w:cs="Arial" w:eastAsia="Arial" w:hAnsi="Arial"/>
          <w:sz w:val="18"/>
          <w:szCs w:val="18"/>
          <w:color w:val="auto"/>
        </w:rPr>
        <w:t>In March 2017, the FASB issued new guidance that changes the presentation of net periodic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Company adopted the new guidance on January 1, 2018, which required retrospective application.</w:t>
      </w:r>
    </w:p>
    <w:p>
      <w:pPr>
        <w:spacing w:after="0" w:line="14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to the reclassified presentation.</w:t>
      </w:r>
    </w:p>
    <w:p>
      <w:pPr>
        <w:spacing w:after="0" w:line="14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 a result, the 2017, 2016 and 2015 consolidated statements of operations have been updated to reflect the new accounting guidance and allocation of fringe benefits between operating expenses and selling, general and administrative expenses. Income (loss) from operations decreased compared to the previously reported 2017, 2016 and 2015 amounts. These changes had no impact on the previously reported income (loss) from continuing operations before income taxes or net income (loss) for these three years.</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Reportable Segments. </w:t>
      </w:r>
      <w:r>
        <w:rPr>
          <w:rFonts w:ascii="Arial" w:cs="Arial" w:eastAsia="Arial" w:hAnsi="Arial"/>
          <w:sz w:val="18"/>
          <w:szCs w:val="18"/>
          <w:color w:val="auto"/>
        </w:rPr>
        <w:t>In the first quarter of 2018, the Company reorganized its operations into the following six reportable segments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making operating decisions and assessing performance: Kaplan Higher Education, Kaplan Professional (U.S.), Kaplan Test Preparation, Kaplan International, Television Broadcasting and Healthcare.</w:t>
      </w:r>
    </w:p>
    <w:p>
      <w:pPr>
        <w:spacing w:after="0" w:line="1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a result of the Kaplan University (“KU”) transaction, Kaplan reorganized its higher education operations into the following two operating segments: Higher Education and Professional (U.S.). The higher education segment comprises the historical KU for-profit postsecondary education business and the future non-academic operations support services provided to the new university, Purdue University Global. The Professional (U.S.) segment comprises the School of Professional and Continuing Education, which provides professional training and exam preparation for professional certifications and licensures.</w:t>
      </w:r>
    </w:p>
    <w:p>
      <w:pPr>
        <w:spacing w:after="0" w:line="149"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Company disclosed the new reporting structure in its Quarterly Report on Form 10-Q for the quarter ended March 31, 2018, including selected financial data disclosing the impact on the Company’s historical segment results for the quarterly and annual periods of 2017 and 2016.</w:t>
      </w:r>
    </w:p>
    <w:p>
      <w:pPr>
        <w:spacing w:after="0" w:line="12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Recast disclosure. </w:t>
      </w:r>
      <w:r>
        <w:rPr>
          <w:rFonts w:ascii="Arial" w:cs="Arial" w:eastAsia="Arial" w:hAnsi="Arial"/>
          <w:sz w:val="18"/>
          <w:szCs w:val="18"/>
          <w:color w:val="auto"/>
        </w:rPr>
        <w:t>The Company is filing this Form 8-K to recast its Consolidated Financial Statements as of December 31, 2017 and 2016</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each of the three years ended December 31, 2017, to reflect the changes described above. The updates do not represent the correction of an error, material or otherwise, of previously issued financial statements. The recast Consolidated Financial Statements and revised Notes to the Consolidated Financial Statements are included in Exhibit 99.2 to this Form 8-K, which is incorporated by reference into this Item 8.01. Except for minor, nonsubstantive revisions, only the following notes have been revised from their previous presentation:</w:t>
      </w:r>
    </w:p>
    <w:p>
      <w:pPr>
        <w:spacing w:after="0" w:line="14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 1 - Organization and Nature of Operations</w:t>
      </w:r>
    </w:p>
    <w:p>
      <w:pPr>
        <w:spacing w:after="0" w:line="9" w:lineRule="exact"/>
        <w:rPr>
          <w:rFonts w:ascii="Arial" w:cs="Arial" w:eastAsia="Arial" w:hAnsi="Arial"/>
          <w:sz w:val="18"/>
          <w:szCs w:val="18"/>
          <w:color w:val="auto"/>
        </w:rPr>
      </w:pPr>
    </w:p>
    <w:p>
      <w:pPr>
        <w:ind w:left="660" w:right="10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 2 - Summary of Significant Accounting Policies, only under the caption of “</w:t>
      </w:r>
      <w:r>
        <w:rPr>
          <w:rFonts w:ascii="Arial" w:cs="Arial" w:eastAsia="Arial" w:hAnsi="Arial"/>
          <w:sz w:val="18"/>
          <w:szCs w:val="18"/>
          <w:i w:val="1"/>
          <w:iCs w:val="1"/>
          <w:color w:val="auto"/>
        </w:rPr>
        <w:t>Recently Adopted and Issued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Pronouncements</w:t>
      </w:r>
      <w:r>
        <w:rPr>
          <w:rFonts w:ascii="Arial" w:cs="Arial" w:eastAsia="Arial" w:hAnsi="Arial"/>
          <w:sz w:val="18"/>
          <w:szCs w:val="18"/>
          <w:color w:val="auto"/>
        </w:rPr>
        <w: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 3 - Acquisitions and Dispositions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 9 -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 15 - Pensions and Other 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832" w:right="379" w:bottom="1440" w:gutter="0" w:footer="0" w:header="0"/>
        </w:sectPr>
      </w:pPr>
    </w:p>
    <w:bookmarkStart w:id="2" w:name="page3"/>
    <w:bookmarkEnd w:id="2"/>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Note 20 - Business Segments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 21 - Summary of Quarterly Operating Results and Comprehensive Income (Unaudited)</w:t>
      </w:r>
    </w:p>
    <w:p>
      <w:pPr>
        <w:spacing w:after="0" w:line="144"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addition, Management’s Discussion and Analysis of Financial Condition and Results of Operations (“MD&amp;A”) from the 2017 Form 10-K has been recast to reflect the changes referred to above. The revised MD&amp;A presentation is also included in Exhibit 99.2 to this Form 8-K and incorporated herein by reference.</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recast presentation of the financial statements contained in our 2017 Form 10-K as reported on this Form 8-K, including Exhibit 99.2, does not reflect events occurring after the filing of the 2017 Form 10-K, and does not modify or update the disclosures in the 2017 Form 10-K, other than as required to reflect the changes described above. All other information in the 2017 Form 10-K remains unchanged. Without limitation of the foregoing, this Form 8-K does not purport to update the MD&amp;A contained in the 2017 Form 10-K for any forward-looking statements. For developments subsequent to the filing of the 2017 Form 10-K, refer to the Company’s Quarterly Report on Form 10-Q for the quarter ended March 31, 2018. This Form 8-K should be read in conjunction with the 2017 Form 10-K, the Company's Form 10-Q for the quarterly period ended March 31, 2018 and the Company's Current Reports on Form 8-K filed subsequent to the filing of the 2017 Form 10-K. The Exhibits provided with this Form 8-K shall be deemed to be “filed” for purposes of the Securities Exchange Act of 1934, as amended.</w:t>
      </w:r>
    </w:p>
    <w:p>
      <w:pPr>
        <w:spacing w:after="0" w:line="1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80"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60"/>
          </w:cols>
          <w:pgMar w:left="240" w:top="850" w:right="29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20" w:space="720"/>
            <w:col w:w="5520"/>
          </w:cols>
          <w:pgMar w:left="240" w:top="850" w:right="299" w:bottom="1440" w:gutter="0" w:footer="0" w:header="0"/>
          <w:type w:val="continuous"/>
        </w:sectPr>
      </w:pPr>
    </w:p>
    <w:p>
      <w:pPr>
        <w:spacing w:after="0" w:line="182"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Consent of independent registered public accounting firm.</w:t>
      </w:r>
    </w:p>
    <w:p>
      <w:pPr>
        <w:spacing w:after="0" w:line="196" w:lineRule="exact"/>
        <w:rPr>
          <w:sz w:val="20"/>
          <w:szCs w:val="20"/>
          <w:color w:val="auto"/>
        </w:rPr>
      </w:pPr>
    </w:p>
    <w:p>
      <w:pPr>
        <w:ind w:left="1080" w:right="320" w:hanging="750"/>
        <w:spacing w:after="0" w:line="243" w:lineRule="auto"/>
        <w:tabs>
          <w:tab w:leader="none" w:pos="10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7"/>
          <w:szCs w:val="17"/>
          <w:color w:val="auto"/>
        </w:rPr>
        <w:t>Updates, where applicable, to Part 1, Item 1. Business, from Graham Holdings Company's Annual Report on Form 10-K for the year ended December 31, 2017, as filed with the Securities and Exchange Commission on February 23, 2018.</w:t>
      </w:r>
    </w:p>
    <w:p>
      <w:pPr>
        <w:spacing w:after="0" w:line="158" w:lineRule="exact"/>
        <w:rPr>
          <w:sz w:val="20"/>
          <w:szCs w:val="20"/>
          <w:color w:val="auto"/>
        </w:rPr>
      </w:pPr>
    </w:p>
    <w:p>
      <w:pPr>
        <w:ind w:left="1080" w:hanging="750"/>
        <w:spacing w:after="0" w:line="238" w:lineRule="auto"/>
        <w:tabs>
          <w:tab w:leader="none" w:pos="106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7"/>
          <w:szCs w:val="17"/>
          <w:color w:val="auto"/>
        </w:rPr>
        <w:t>Updates, where applicable, to Part II, Item 7. Management’s Discussion and Analysis of Financial Condition and Results of Operations and Item 8. Financial Statements and Supplementary Data, from Graham Holdings Company's Annual Report on Form 10-K for the year ended December 31, 2017, as filed with the Securities and Exchange Commission on February 23, 2018.</w:t>
      </w:r>
    </w:p>
    <w:p>
      <w:pPr>
        <w:spacing w:after="0" w:line="161" w:lineRule="exact"/>
        <w:rPr>
          <w:sz w:val="20"/>
          <w:szCs w:val="20"/>
          <w:color w:val="auto"/>
        </w:rPr>
      </w:pPr>
    </w:p>
    <w:p>
      <w:pPr>
        <w:ind w:left="1080" w:hanging="709"/>
        <w:spacing w:after="0" w:line="235"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updated financial information from Graham Holdings Company Annual Report on Form 10-K for the year ended December 31, 2017, formatted in Extensible Business Reporting Language (XBRL): (i) Consolidated Statements of Operations for the years ended December 31, 2017, 2016 and 2015; (ii) Consolidated Statements of Comprehensive Income for the years ended December 31, 2017, 2016 and 2015; (iii) Consolidated Balance Sheets as of December 31, 2017 and 2016; (iv) Consolidated Statements of Cash Flows for the years ended December 31, 2017, 2016 and 2015; (v) Consolidated Statements of Changes in Common Shareholders’ Equity for the years ended December 31, 2017, 2016 and 2015;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758190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850" w:right="299" w:bottom="1440" w:gutter="0" w:footer="0" w:header="0"/>
          <w:type w:val="continuous"/>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May 21, 2018</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606425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832"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10340" w:type="dxa"/>
            <w:vAlign w:val="bottom"/>
            <w:gridSpan w:val="6"/>
          </w:tcPr>
          <w:p>
            <w:pPr>
              <w:ind w:left="3780"/>
              <w:spacing w:after="0"/>
              <w:rPr>
                <w:sz w:val="20"/>
                <w:szCs w:val="20"/>
                <w:color w:val="auto"/>
              </w:rPr>
            </w:pPr>
            <w:r>
              <w:rPr>
                <w:rFonts w:ascii="Arial" w:cs="Arial" w:eastAsia="Arial" w:hAnsi="Arial"/>
                <w:sz w:val="18"/>
                <w:szCs w:val="18"/>
                <w:b w:val="1"/>
                <w:bCs w:val="1"/>
                <w:color w:val="auto"/>
              </w:rPr>
              <w:t>INDEX TO EXHIBITS</w:t>
            </w:r>
          </w:p>
        </w:tc>
      </w:tr>
      <w:tr>
        <w:trPr>
          <w:trHeight w:val="311"/>
        </w:trPr>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436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459"/>
        </w:trPr>
        <w:tc>
          <w:tcPr>
            <w:tcW w:w="1080" w:type="dxa"/>
            <w:vAlign w:val="bottom"/>
          </w:tcPr>
          <w:p>
            <w:pPr>
              <w:jc w:val="right"/>
              <w:ind w:right="340"/>
              <w:spacing w:after="0"/>
              <w:rPr>
                <w:sz w:val="20"/>
                <w:szCs w:val="20"/>
                <w:color w:val="auto"/>
              </w:rPr>
            </w:pPr>
            <w:r>
              <w:rPr>
                <w:rFonts w:ascii="Arial" w:cs="Arial" w:eastAsia="Arial" w:hAnsi="Arial"/>
                <w:sz w:val="17"/>
                <w:szCs w:val="17"/>
                <w:color w:val="auto"/>
              </w:rPr>
              <w:t>23</w:t>
            </w:r>
          </w:p>
        </w:tc>
        <w:tc>
          <w:tcPr>
            <w:tcW w:w="10340" w:type="dxa"/>
            <w:vAlign w:val="bottom"/>
            <w:gridSpan w:val="6"/>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80" w:type="dxa"/>
            <w:vAlign w:val="bottom"/>
          </w:tcPr>
          <w:p>
            <w:pPr>
              <w:jc w:val="right"/>
              <w:ind w:right="340"/>
              <w:spacing w:after="0"/>
              <w:rPr>
                <w:sz w:val="20"/>
                <w:szCs w:val="20"/>
                <w:color w:val="auto"/>
              </w:rPr>
            </w:pPr>
            <w:r>
              <w:rPr>
                <w:rFonts w:ascii="Arial" w:cs="Arial" w:eastAsia="Arial" w:hAnsi="Arial"/>
                <w:sz w:val="17"/>
                <w:szCs w:val="17"/>
                <w:color w:val="auto"/>
              </w:rPr>
              <w:t>99.1</w:t>
            </w:r>
          </w:p>
        </w:tc>
        <w:tc>
          <w:tcPr>
            <w:tcW w:w="10340" w:type="dxa"/>
            <w:vAlign w:val="bottom"/>
            <w:gridSpan w:val="6"/>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Updates, where applicable, to Part 1, Item 1. Business, from Graham Holdings Company's Annual Report on Form 10-K for the year</w:t>
              </w:r>
            </w:hyperlink>
          </w:p>
        </w:tc>
      </w:tr>
      <w:tr>
        <w:trPr>
          <w:trHeight w:val="169"/>
        </w:trPr>
        <w:tc>
          <w:tcPr>
            <w:tcW w:w="1080" w:type="dxa"/>
            <w:vAlign w:val="bottom"/>
          </w:tcPr>
          <w:p>
            <w:pPr>
              <w:spacing w:after="0"/>
              <w:rPr>
                <w:sz w:val="14"/>
                <w:szCs w:val="14"/>
                <w:color w:val="auto"/>
              </w:rPr>
            </w:pPr>
          </w:p>
        </w:tc>
        <w:tc>
          <w:tcPr>
            <w:tcW w:w="9960" w:type="dxa"/>
            <w:vAlign w:val="bottom"/>
            <w:tcBorders>
              <w:top w:val="single" w:sz="8" w:color="0000FF"/>
            </w:tcBorders>
            <w:gridSpan w:val="3"/>
          </w:tcPr>
          <w:p>
            <w:pPr>
              <w:spacing w:after="0" w:line="169" w:lineRule="exact"/>
              <w:rPr>
                <w:rFonts w:ascii="Arial" w:cs="Arial" w:eastAsia="Arial" w:hAnsi="Arial"/>
                <w:sz w:val="17"/>
                <w:szCs w:val="17"/>
                <w:color w:val="0000FF"/>
              </w:rPr>
            </w:pPr>
            <w:hyperlink w:anchor="page7">
              <w:r>
                <w:rPr>
                  <w:rFonts w:ascii="Arial" w:cs="Arial" w:eastAsia="Arial" w:hAnsi="Arial"/>
                  <w:sz w:val="17"/>
                  <w:szCs w:val="17"/>
                  <w:color w:val="0000FF"/>
                </w:rPr>
                <w:t>ended December 31, 2017, as filed with the Securities and Exchange Commission on February 23, 2018.</w:t>
              </w:r>
            </w:hyperlink>
          </w:p>
        </w:tc>
        <w:tc>
          <w:tcPr>
            <w:tcW w:w="380" w:type="dxa"/>
            <w:vAlign w:val="bottom"/>
            <w:gridSpan w:val="3"/>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7940" w:type="dxa"/>
            <w:vAlign w:val="bottom"/>
            <w:gridSpan w:val="2"/>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80" w:type="dxa"/>
            <w:vAlign w:val="bottom"/>
          </w:tcPr>
          <w:p>
            <w:pPr>
              <w:jc w:val="right"/>
              <w:ind w:right="340"/>
              <w:spacing w:after="0"/>
              <w:rPr>
                <w:sz w:val="20"/>
                <w:szCs w:val="20"/>
                <w:color w:val="auto"/>
              </w:rPr>
            </w:pPr>
            <w:r>
              <w:rPr>
                <w:rFonts w:ascii="Arial" w:cs="Arial" w:eastAsia="Arial" w:hAnsi="Arial"/>
                <w:sz w:val="17"/>
                <w:szCs w:val="17"/>
                <w:color w:val="auto"/>
              </w:rPr>
              <w:t>99.2</w:t>
            </w:r>
          </w:p>
        </w:tc>
        <w:tc>
          <w:tcPr>
            <w:tcW w:w="10140" w:type="dxa"/>
            <w:vAlign w:val="bottom"/>
            <w:tcBorders>
              <w:bottom w:val="single" w:sz="8" w:color="0000FF"/>
            </w:tcBorders>
            <w:gridSpan w:val="4"/>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Updates, where applicable, to Part II, Item 7. Management’s Discussion and Analysis of Financial Condition and Results of Operations</w:t>
              </w:r>
            </w:hyperlink>
          </w:p>
        </w:tc>
        <w:tc>
          <w:tcPr>
            <w:tcW w:w="200" w:type="dxa"/>
            <w:vAlign w:val="bottom"/>
            <w:gridSpan w:val="2"/>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6"/>
          </w:tcPr>
          <w:p>
            <w:pPr>
              <w:spacing w:after="0" w:line="169" w:lineRule="exact"/>
              <w:rPr>
                <w:rFonts w:ascii="Arial" w:cs="Arial" w:eastAsia="Arial" w:hAnsi="Arial"/>
                <w:sz w:val="17"/>
                <w:szCs w:val="17"/>
                <w:color w:val="0000FF"/>
              </w:rPr>
            </w:pPr>
            <w:hyperlink w:anchor="page8">
              <w:r>
                <w:rPr>
                  <w:rFonts w:ascii="Arial" w:cs="Arial" w:eastAsia="Arial" w:hAnsi="Arial"/>
                  <w:sz w:val="17"/>
                  <w:szCs w:val="17"/>
                  <w:color w:val="0000FF"/>
                </w:rPr>
                <w:t>and Item 8. Financial Statements and Supplementary Data, from Graham Holdings Company's Annual Report on Form 10-K for the year</w:t>
              </w:r>
            </w:hyperlink>
          </w:p>
        </w:tc>
      </w:tr>
      <w:tr>
        <w:trPr>
          <w:trHeight w:val="169"/>
        </w:trPr>
        <w:tc>
          <w:tcPr>
            <w:tcW w:w="1080" w:type="dxa"/>
            <w:vAlign w:val="bottom"/>
          </w:tcPr>
          <w:p>
            <w:pPr>
              <w:spacing w:after="0"/>
              <w:rPr>
                <w:sz w:val="14"/>
                <w:szCs w:val="14"/>
                <w:color w:val="auto"/>
              </w:rPr>
            </w:pPr>
          </w:p>
        </w:tc>
        <w:tc>
          <w:tcPr>
            <w:tcW w:w="10280" w:type="dxa"/>
            <w:vAlign w:val="bottom"/>
            <w:tcBorders>
              <w:top w:val="single" w:sz="8" w:color="0000FF"/>
            </w:tcBorders>
            <w:gridSpan w:val="5"/>
          </w:tcPr>
          <w:p>
            <w:pPr>
              <w:spacing w:after="0" w:line="169" w:lineRule="exact"/>
              <w:rPr>
                <w:rFonts w:ascii="Arial" w:cs="Arial" w:eastAsia="Arial" w:hAnsi="Arial"/>
                <w:sz w:val="17"/>
                <w:szCs w:val="17"/>
                <w:color w:val="0000FF"/>
              </w:rPr>
            </w:pPr>
            <w:hyperlink w:anchor="page8">
              <w:r>
                <w:rPr>
                  <w:rFonts w:ascii="Arial" w:cs="Arial" w:eastAsia="Arial" w:hAnsi="Arial"/>
                  <w:sz w:val="17"/>
                  <w:szCs w:val="17"/>
                  <w:color w:val="0000FF"/>
                </w:rPr>
                <w:t>ended December 31, 2017, as filed with the Securities and Exchange Commission on February 23, 2018.</w:t>
              </w:r>
            </w:hyperlink>
          </w:p>
        </w:tc>
        <w:tc>
          <w:tcPr>
            <w:tcW w:w="6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ind w:left="1080" w:right="60" w:hanging="709"/>
        <w:spacing w:after="0" w:line="235"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updated financial information from Graham Holdings Company Annual Report on Form 10-K for the year ended December 31, 2017, formatted in Extensible Business Reporting Language (XBRL): (i) Consolidated Statements of Operations for the years ended December 31, 2017, 2016 and 2015; (ii) Consolidated Statements of Comprehensive Income for the years ended December 31, 2017, 2016 and 2015; (iii) Consolidated Balance Sheets as of December 31, 2017 and 2016; (iv) Consolidated Statements of Cash Flows for the years ended December 31, 2017, 2016 and 2015; (v) Consolidated Statements of Changes in Common Shareholders’ Equity for the years ended December 31, 2017, 2016 and 2015;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603885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3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333- 189559 and 033-54295) and Form S</w:t>
      </w:r>
      <w:r>
        <w:rPr>
          <w:rFonts w:ascii="MS PGothic" w:cs="MS PGothic" w:eastAsia="MS PGothic" w:hAnsi="MS PGothic"/>
          <w:sz w:val="18"/>
          <w:szCs w:val="18"/>
          <w:color w:val="auto"/>
        </w:rPr>
        <w:t>‑</w:t>
      </w:r>
      <w:r>
        <w:rPr>
          <w:rFonts w:ascii="Arial" w:cs="Arial" w:eastAsia="Arial" w:hAnsi="Arial"/>
          <w:sz w:val="18"/>
          <w:szCs w:val="18"/>
          <w:color w:val="auto"/>
        </w:rPr>
        <w:t>3 (Nos. 333-223595 and 333-71350) of Graham Holdings Company of our report dated February 23, 2018, except with respect to our opinion on the consolidated financial statements insofar as it relates to the change in the manner in which the Company classifies fringe costs discussed in Notes 1 and 2 and accounts for pension and postretirement benefit costs discussed in Notes 1, 2 and 15, and in the composition of reportable segments discussed in Notes 1, 2, 9 and 20, as to which the date is May 21, 2018, relating to the financial statements and the effectiveness of internal control over financial reporting, which appears in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21, 2018</w:t>
      </w:r>
    </w:p>
    <w:p>
      <w:pPr>
        <w:sectPr>
          <w:pgSz w:w="11900" w:h="16838" w:orient="portrait"/>
          <w:cols w:equalWidth="0" w:num="1">
            <w:col w:w="11420"/>
          </w:cols>
          <w:pgMar w:left="240" w:top="59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i w:val="1"/>
          <w:iCs w:val="1"/>
          <w:color w:val="auto"/>
        </w:rPr>
        <w:t>Note: The information contained in this Item has been updated for the changes to the Company's reportable segments discussed in the Notes to the Financial Statements. This Item has not been updated for any other changes since the filing of the 2017 Annual Report on Form 10-K (“2017 Form 10-K”). For developments subsequent to the filing of the 2017 Form 10-K, refer to our Quarterly Report on Form 10-Q for the quarter ended March 31, 2018. The first four paragraphs and the Kaplan revenue information table of the Item 1, Business, section of the Company's Annual Report on Form 10-K for the fiscal year ended December 31, 2018 are updated hereby and the remainder remains unchanged.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home health and hospice care and manufacturing. The Company’s Kaplan subsidiary provides a wide variety of educational services, both domestically and outside the United States. The Company’s media operations comprise the ownership and operation of television broadcasting (through the ownership and operation of seven television broadcast stations), plus Slate and Foreign Policy magazines and Panoply, a podcast network. The Company also owns home health and hospice providers, four industrial companies and Social Code LLC, a marketing solutions provider.</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20 to the Company’s Consolidated Financial Statements appearing in Current Report on Form 8-K filed on May 21, 2018. Revenues for each segment are shown in Note 20 gross of intersegment sales. Consolidated revenues are reported net of intersegment sales, which did not exceed 0.1% of consolidated operating revenues.</w:t>
      </w:r>
    </w:p>
    <w:p>
      <w:pPr>
        <w:spacing w:after="0" w:line="135"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2017, 2016 and 2015, these operations accounted for approximately 25%, 25% and 26%, respectively, of the Company’s consolidated revenues, and the identifiable assets attributable to non-U.S. operations represented approximately 21% and 20% of the Company’s consolidated assets at December 31, 2017 and 2016,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Kaplan, Inc. (Kaplan), a subsidiary of the Company, provides an extensive range of education and related services worldwide for students and professionals. Kaplan conducts its operations through four segments: Kaplan International, Kaplan Higher Education, Kaplan Test Preparation and Professional (U.S.). In addition, the results of the Kaplan Corporate segment include investment activities, identifying and investing in high-growth-potential education technology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2015</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697,999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696,362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770,273</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431,425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501,784</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757,135</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273,298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286,556</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301,607</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115,839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115,263</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92,490</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(1,785)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6,016</w:t>
            </w:r>
          </w:p>
        </w:tc>
      </w:tr>
      <w:tr>
        <w:trPr>
          <w:trHeight w:val="267"/>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1,516,776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1,598,461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1,927,521</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62" w:right="239" w:bottom="1440" w:gutter="0" w:footer="0" w:header="0"/>
        </w:sectPr>
      </w:pPr>
    </w:p>
    <w:bookmarkStart w:id="7" w:name="page8"/>
    <w:bookmarkEnd w:id="7"/>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9480" w:type="dxa"/>
            <w:vAlign w:val="bottom"/>
          </w:tcPr>
          <w:p>
            <w:pPr>
              <w:spacing w:after="0"/>
              <w:rPr>
                <w:sz w:val="20"/>
                <w:szCs w:val="20"/>
                <w:color w:val="auto"/>
              </w:rPr>
            </w:pPr>
          </w:p>
        </w:tc>
        <w:tc>
          <w:tcPr>
            <w:tcW w:w="1880" w:type="dxa"/>
            <w:vAlign w:val="bottom"/>
            <w:gridSpan w:val="4"/>
          </w:tcPr>
          <w:p>
            <w:pPr>
              <w:ind w:left="760"/>
              <w:spacing w:after="0"/>
              <w:rPr>
                <w:sz w:val="20"/>
                <w:szCs w:val="20"/>
                <w:color w:val="auto"/>
              </w:rPr>
            </w:pPr>
            <w:r>
              <w:rPr>
                <w:rFonts w:ascii="Arial" w:cs="Arial" w:eastAsia="Arial" w:hAnsi="Arial"/>
                <w:sz w:val="18"/>
                <w:szCs w:val="18"/>
                <w:b w:val="1"/>
                <w:bCs w:val="1"/>
                <w:color w:val="auto"/>
                <w:w w:val="99"/>
              </w:rPr>
              <w:t>EXHIBIT 99.2</w:t>
            </w:r>
          </w:p>
        </w:tc>
      </w:tr>
      <w:tr>
        <w:trPr>
          <w:trHeight w:val="648"/>
        </w:trPr>
        <w:tc>
          <w:tcPr>
            <w:tcW w:w="9480" w:type="dxa"/>
            <w:vAlign w:val="bottom"/>
          </w:tcPr>
          <w:p>
            <w:pPr>
              <w:jc w:val="center"/>
              <w:ind w:left="1736"/>
              <w:spacing w:after="0"/>
              <w:rPr>
                <w:sz w:val="20"/>
                <w:szCs w:val="20"/>
                <w:color w:val="auto"/>
              </w:rPr>
            </w:pPr>
            <w:r>
              <w:rPr>
                <w:rFonts w:ascii="Arial" w:cs="Arial" w:eastAsia="Arial" w:hAnsi="Arial"/>
                <w:sz w:val="18"/>
                <w:szCs w:val="18"/>
                <w:b w:val="1"/>
                <w:bCs w:val="1"/>
                <w:color w:val="auto"/>
                <w:w w:val="99"/>
              </w:rPr>
              <w:t>INDEX TO FINANCIAL INFORMATION</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480" w:type="dxa"/>
            <w:vAlign w:val="bottom"/>
          </w:tcPr>
          <w:p>
            <w:pPr>
              <w:jc w:val="center"/>
              <w:ind w:left="1756"/>
              <w:spacing w:after="0"/>
              <w:rPr>
                <w:sz w:val="20"/>
                <w:szCs w:val="20"/>
                <w:color w:val="auto"/>
              </w:rPr>
            </w:pPr>
            <w:r>
              <w:rPr>
                <w:rFonts w:ascii="Arial" w:cs="Arial" w:eastAsia="Arial" w:hAnsi="Arial"/>
                <w:sz w:val="18"/>
                <w:szCs w:val="18"/>
                <w:color w:val="auto"/>
                <w:w w:val="99"/>
              </w:rPr>
              <w:t>________________________________________________</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480" w:type="dxa"/>
            <w:vAlign w:val="bottom"/>
          </w:tcPr>
          <w:p>
            <w:pPr>
              <w:jc w:val="center"/>
              <w:ind w:left="1756"/>
              <w:spacing w:after="0"/>
              <w:rPr>
                <w:sz w:val="20"/>
                <w:szCs w:val="20"/>
                <w:color w:val="auto"/>
              </w:rPr>
            </w:pPr>
            <w:r>
              <w:rPr>
                <w:rFonts w:ascii="Arial" w:cs="Arial" w:eastAsia="Arial" w:hAnsi="Arial"/>
                <w:sz w:val="18"/>
                <w:szCs w:val="18"/>
                <w:b w:val="1"/>
                <w:bCs w:val="1"/>
                <w:color w:val="auto"/>
                <w:w w:val="99"/>
              </w:rPr>
              <w:t>GRAHAM HOLDINGS COMPANY</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8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2</w:t>
              </w:r>
            </w:hyperlink>
          </w:p>
        </w:tc>
        <w:tc>
          <w:tcPr>
            <w:tcW w:w="20" w:type="dxa"/>
            <w:vAlign w:val="bottom"/>
          </w:tcPr>
          <w:p>
            <w:pPr>
              <w:spacing w:after="0"/>
              <w:rPr>
                <w:sz w:val="24"/>
                <w:szCs w:val="24"/>
                <w:color w:val="auto"/>
              </w:rPr>
            </w:pPr>
          </w:p>
        </w:tc>
      </w:tr>
      <w:tr>
        <w:trPr>
          <w:trHeight w:val="393"/>
        </w:trPr>
        <w:tc>
          <w:tcPr>
            <w:tcW w:w="9480" w:type="dxa"/>
            <w:vAlign w:val="bottom"/>
          </w:tcPr>
          <w:p>
            <w:pPr>
              <w:spacing w:after="0"/>
              <w:rPr>
                <w:sz w:val="20"/>
                <w:szCs w:val="20"/>
                <w:color w:val="auto"/>
              </w:rPr>
            </w:pPr>
            <w:r>
              <w:rPr>
                <w:rFonts w:ascii="Arial" w:cs="Arial" w:eastAsia="Arial" w:hAnsi="Arial"/>
                <w:sz w:val="16"/>
                <w:szCs w:val="16"/>
                <w:color w:val="auto"/>
              </w:rPr>
              <w:t>Financial Statements: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948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86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22</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2017</w:t>
            </w:r>
          </w:p>
        </w:tc>
        <w:tc>
          <w:tcPr>
            <w:tcW w:w="186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24</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(Loss) for the Three Years Ended December 31, 2017</w:t>
            </w:r>
          </w:p>
        </w:tc>
        <w:tc>
          <w:tcPr>
            <w:tcW w:w="186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25</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2017 and 2016</w:t>
            </w:r>
          </w:p>
        </w:tc>
        <w:tc>
          <w:tcPr>
            <w:tcW w:w="186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26</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2017</w:t>
            </w:r>
          </w:p>
        </w:tc>
        <w:tc>
          <w:tcPr>
            <w:tcW w:w="186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27</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2017</w:t>
            </w:r>
          </w:p>
        </w:tc>
        <w:tc>
          <w:tcPr>
            <w:tcW w:w="186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28</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86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29</w:t>
              </w:r>
            </w:hyperlink>
          </w:p>
        </w:tc>
        <w:tc>
          <w:tcPr>
            <w:tcW w:w="20" w:type="dxa"/>
            <w:vAlign w:val="bottom"/>
          </w:tcPr>
          <w:p>
            <w:pPr>
              <w:spacing w:after="0"/>
              <w:rPr>
                <w:sz w:val="24"/>
                <w:szCs w:val="24"/>
                <w:color w:val="auto"/>
              </w:rPr>
            </w:pPr>
          </w:p>
        </w:tc>
      </w:tr>
      <w:tr>
        <w:trPr>
          <w:trHeight w:val="20"/>
        </w:trPr>
        <w:tc>
          <w:tcPr>
            <w:tcW w:w="9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8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8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79</w:t>
              </w:r>
            </w:hyperlink>
          </w:p>
        </w:tc>
        <w:tc>
          <w:tcPr>
            <w:tcW w:w="20" w:type="dxa"/>
            <w:vAlign w:val="bottom"/>
          </w:tcPr>
          <w:p>
            <w:pPr>
              <w:spacing w:after="0"/>
              <w:rPr>
                <w:sz w:val="24"/>
                <w:szCs w:val="24"/>
                <w:color w:val="auto"/>
              </w:rPr>
            </w:pPr>
          </w:p>
        </w:tc>
      </w:tr>
      <w:tr>
        <w:trPr>
          <w:trHeight w:val="412"/>
        </w:trPr>
        <w:tc>
          <w:tcPr>
            <w:tcW w:w="9480" w:type="dxa"/>
            <w:vAlign w:val="bottom"/>
          </w:tcPr>
          <w:p>
            <w:pPr>
              <w:jc w:val="center"/>
              <w:ind w:left="1756"/>
              <w:spacing w:after="0"/>
              <w:rPr>
                <w:sz w:val="20"/>
                <w:szCs w:val="20"/>
                <w:color w:val="auto"/>
              </w:rPr>
            </w:pPr>
            <w:r>
              <w:rPr>
                <w:rFonts w:ascii="Arial" w:cs="Arial" w:eastAsia="Arial" w:hAnsi="Arial"/>
                <w:sz w:val="18"/>
                <w:szCs w:val="18"/>
                <w:color w:val="auto"/>
                <w:w w:val="99"/>
              </w:rPr>
              <w:t>________________________________________________</w:t>
            </w:r>
          </w:p>
        </w:tc>
        <w:tc>
          <w:tcPr>
            <w:tcW w:w="1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13"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8" w:right="239" w:bottom="1440" w:gutter="0" w:footer="0" w:header="0"/>
        </w:sectPr>
      </w:pPr>
    </w:p>
    <w:bookmarkStart w:id="8" w:name="page9"/>
    <w:bookmarkEnd w:id="8"/>
    <w:p>
      <w:pPr>
        <w:ind w:right="1060" w:firstLine="1078"/>
        <w:spacing w:after="0" w:line="420"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social-media advertising services; home health and hospice care; and manufacturing. Education is the largest business, and through its subsidiary Kaplan, Inc., the Company provides extensive worldwide education services for individuals, schools and businesses. The Company’s second largest business is television broadcasting. Since November 2012, the Company has completed several acquisitions in home health services and manufacturing. The Company’s business units are diverse and subject to different trends and risks.</w:t>
      </w:r>
    </w:p>
    <w:p>
      <w:pPr>
        <w:spacing w:after="0" w:line="137" w:lineRule="exact"/>
        <w:rPr>
          <w:sz w:val="20"/>
          <w:szCs w:val="20"/>
          <w:color w:val="auto"/>
        </w:rPr>
      </w:pPr>
    </w:p>
    <w:p>
      <w:pPr>
        <w:ind w:right="360"/>
        <w:spacing w:after="0" w:line="224" w:lineRule="auto"/>
        <w:rPr>
          <w:sz w:val="20"/>
          <w:szCs w:val="20"/>
          <w:color w:val="auto"/>
        </w:rPr>
      </w:pPr>
      <w:r>
        <w:rPr>
          <w:rFonts w:ascii="Arial" w:cs="Arial" w:eastAsia="Arial" w:hAnsi="Arial"/>
          <w:sz w:val="18"/>
          <w:szCs w:val="18"/>
          <w:color w:val="auto"/>
        </w:rPr>
        <w:t>The Company’s education division is the largest operating division of the Company, accounting for 59% of the Company’s consolidated revenues in 2017. The Company has devoted significant resources and attention to this division for many years, given its geographic and product diversity; the investment opportunities and growth prospects during this time; and challenges related to government regulation. In recent years, Kaplan has formulated and implemented restructuring plans at most of its businesses, resulting in significant costs in order to establish lower cost levels in future periods. Kaplan is organized into the following four operating segments: Kaplan International, Kaplan Higher Education (KHE), Kaplan Test Preparation (KTP) and Professional (U.S.).</w:t>
      </w:r>
    </w:p>
    <w:p>
      <w:pPr>
        <w:spacing w:after="0" w:line="137"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Kaplan International reported revenue increases for 2017 due to growth in Pathways enrollments. Kaplan International operating results improved in 2017 due largely to improved Pathways program results, partially offset by a decline in Singapore.</w:t>
      </w:r>
    </w:p>
    <w:p>
      <w:pPr>
        <w:spacing w:after="0" w:line="13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KHE represents 28% of total Kaplan revenues in 2017. KHE’s revenue declined in 2017, largely due to declines in average enrollments at Kaplan University. Operating income at KHE declined in 2017 due primarily to lower enrollment at Kaplan University.</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KTP revenues declined in 2017 due to lower unit prices, despite higher enrollments. Operating results improved due primarily to operating cost efficiencies. Due to continued operating losses, KTP closed Dev Bootcamp in the second half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Professional (U.S.) revenues and operating results in 2017 were flat compared to 2016.</w:t>
      </w:r>
    </w:p>
    <w:p>
      <w:pPr>
        <w:spacing w:after="0" w:line="144"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Kaplan made two acquisitions in 2017; three acquisitions in 2016, including Mander Portman Woodward, a leading provider of high-quality bespoke education to the United Kingdom (U.K.) and international students in London, Cambridge and Birmingham; and one acquisition in 2015.</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Company’s television broadcasting division reported higher revenues in 2017, due to the acquisition of two new stations in January 2017. Excluding these stations, revenue and operating income decreased in 2017 as 2016 included significant political and summer Olympics-related advertising revenue. Additionally, 2017 had significantly higher network fees due to the Company’s NBC affiliates in Houston and Detroit operating under a new contract with NBC. In recent years, the television broadcasting division has consistently generated significantly higher operating income amounts and operating income margins than the education division and other businesses.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the recent healthcare and manufacturing acquisitions and growth at SocialCode, the Company has invested in new lines of business from late 2012 through 2017.</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3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RESULTS OF OPERATIONS — 2017 COMPARED TO 2016</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Net income attributable to common shares was $302.0 million ($53.89 per share) for the year ended December 31, 2017, compared to $168.6 million ($29.80 per share) for the year ended December 31, 2016. The Company’s results for 2017 include a significant net deferred income tax benefit related to the Tax Cuts and Jobs Act legislation enacted in December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2017 are listed below:</w:t>
      </w:r>
    </w:p>
    <w:p>
      <w:pPr>
        <w:spacing w:after="0" w:line="90" w:lineRule="exact"/>
        <w:rPr>
          <w:sz w:val="20"/>
          <w:szCs w:val="20"/>
          <w:color w:val="auto"/>
        </w:rPr>
      </w:pPr>
    </w:p>
    <w:p>
      <w:pPr>
        <w:ind w:left="180" w:right="440" w:hanging="172"/>
        <w:spacing w:after="0" w:line="235"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million in restructuring and non-operating Separation Incentive Program charges at the education division (after-tax impact of $6.3 million, or $1.12 per share);</w:t>
      </w:r>
    </w:p>
    <w:p>
      <w:pPr>
        <w:spacing w:after="0" w:line="67"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$177.5 million in net deferred tax benefits related to the enactment of the Tax Cuts and Jobs Act in December 2017 ($31.68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2016 are listed below:</w:t>
      </w:r>
    </w:p>
    <w:p>
      <w:pPr>
        <w:spacing w:after="0" w:line="7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w:t>
      </w:r>
    </w:p>
    <w:p>
      <w:pPr>
        <w:spacing w:after="0" w:line="103" w:lineRule="exact"/>
        <w:rPr>
          <w:rFonts w:ascii="Arial" w:cs="Arial" w:eastAsia="Arial" w:hAnsi="Arial"/>
          <w:sz w:val="18"/>
          <w:szCs w:val="18"/>
          <w:color w:val="auto"/>
        </w:rPr>
      </w:pPr>
    </w:p>
    <w:p>
      <w:pPr>
        <w:ind w:left="180" w:right="540" w:hanging="172"/>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$18.0 million non-operating gain related to a bulk lump sum pension program offering (after-tax impact of $10.8 million, or $1.92 per share);</w:t>
      </w:r>
    </w:p>
    <w:p>
      <w:pPr>
        <w:spacing w:after="0" w:line="80"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$16.8 million in net non-operating gains from the sales of assets and write-downs of cost and equity method investments (after tax impact of $9.5 million, or $1.62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 and</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nonrecurring $13.9 million deferred tax benefit related to Kaplan ($2.47 per share).</w:t>
      </w:r>
    </w:p>
    <w:p>
      <w:pPr>
        <w:spacing w:after="0" w:line="21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Revenue for 2017 was $2,591.8 million, up 4% from $2,481.9 million in 2016. Revenues increased in other businesses, offset by a decline at the education division.</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2017, education revenue was down by 5%, advertising revenue decreased 8% and other revenue increased 39%. The revenue declines at Kaplan account for the reported education revenue decline. The decline in advertising revenue was due to significant political and Olympics-related advertising at the television broadcasting division in 2016. The increase in other revenues was due primarily to the inclusion of revenues from the Hoover acquisition in 2017.</w:t>
      </w:r>
    </w:p>
    <w:p>
      <w:pPr>
        <w:spacing w:after="0" w:line="135"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Operating costs and expenses for the year increased 9% to $2,455.4 million in 2017, from $2,259.0 million in 2016. Expenses were higher due to increased network fees at the television broadcasting division in 2017, and increased expenses at other businesses as a result of the Hoover acquisition, partially offset by lower expenses at the education division due to overall declines in business activity.</w:t>
      </w:r>
    </w:p>
    <w:p>
      <w:pPr>
        <w:spacing w:after="0" w:line="1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reported operating income for 2017 of $136.4 million, a decrease of 39%, from $222.9 million in 2016. Operating results declined at the television broadcasting and education divisions and in other businesses.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affiliated with Purdue University (Purdue) in exchange for a Transition and Operations Support Agreement (TOSA) to provide key non-academic operations support to the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the Higher Learning Commission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24" w:right="239" w:bottom="1440" w:gutter="0" w:footer="0" w:header="0"/>
        </w:sectPr>
      </w:pPr>
    </w:p>
    <w:bookmarkStart w:id="10" w:name="page11"/>
    <w:bookmarkEnd w:id="10"/>
    <w:p>
      <w:pPr>
        <w:ind w:right="520"/>
        <w:spacing w:after="0" w:line="235" w:lineRule="auto"/>
        <w:rPr>
          <w:sz w:val="20"/>
          <w:szCs w:val="20"/>
          <w:color w:val="auto"/>
        </w:rPr>
      </w:pPr>
      <w:r>
        <w:rPr>
          <w:rFonts w:ascii="Arial" w:cs="Arial" w:eastAsia="Arial" w:hAnsi="Arial"/>
          <w:sz w:val="18"/>
          <w:szCs w:val="18"/>
          <w:color w:val="auto"/>
        </w:rPr>
        <w:t>approval will be obtained; however, a decision is not expected to be received until later in the first quarter of 2018. If the transaction is not consummated by April 30, 2018, either party may terminate the Transfer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2017 totaled $ 1,516.8 million, down 5% from $1,598.5 million in 2016.</w:t>
      </w:r>
      <w:r>
        <w:rPr>
          <w:rFonts w:ascii="Arial" w:cs="Arial" w:eastAsia="Arial" w:hAnsi="Arial"/>
          <w:sz w:val="18"/>
          <w:szCs w:val="18"/>
          <w:b w:val="1"/>
          <w:bCs w:val="1"/>
          <w:color w:val="auto"/>
        </w:rPr>
        <w:t xml:space="preserve"> </w:t>
      </w:r>
      <w:r>
        <w:rPr>
          <w:rFonts w:ascii="Arial" w:cs="Arial" w:eastAsia="Arial" w:hAnsi="Arial"/>
          <w:sz w:val="18"/>
          <w:szCs w:val="18"/>
          <w:color w:val="auto"/>
        </w:rPr>
        <w:t>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$77.7 million for 2017, an 18% decrease from $95.3 million in 2016. In 2017, operating results declined at KHE, partially offset by improved results at KTP, Kaplan International and Professional (U.S.).</w:t>
      </w:r>
    </w:p>
    <w:p>
      <w:pPr>
        <w:spacing w:after="0" w:line="136"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2017 and 2016, with the objective of establishing lower cost levels in future periods. Across all businesses, restructuring costs totaled $9.1 million in 2017 and $11.9 million in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697,999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696,362</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431,425</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501,784</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273,298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286,556</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115,839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115,263</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294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(2,079)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1,516,776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1,598,461</w:t>
            </w:r>
          </w:p>
        </w:tc>
        <w:tc>
          <w:tcPr>
            <w:tcW w:w="100" w:type="dxa"/>
            <w:vAlign w:val="bottom"/>
            <w:tcBorders>
              <w:bottom w:val="single" w:sz="8" w:color="auto"/>
            </w:tcBorders>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51,623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48,398</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16,719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39,196</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11,507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9,599</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27,558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27,436</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(24,701)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(21,763)</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(5,162)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(7,516)</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77,687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95,321</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slightly in 2017, and on a constant currency basis, revenue increased 2%, primarily due to growth in Pathways enrollments. Kaplan International operating income increased 7% in 2017, due largely to improved Pathways program results, partially offset by a decline in Singapore. Restructuring costs at Kaplan International totaled $2.9 million and $4.7 million in 2017 and 2016, respectively.</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In 2017, KHE revenue declined 14% due to declines in average enrollments at Kaplan University. KHE operating income declined in 2017 due primarily to lower enrollment at Kaplan University, partially offset by lower restructuring costs. Restructuring costs at KHE were $1.4 million for 2017, compared to $7.1 million for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4% in 2017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28,718 at December 31, 2017, down 11% from December 31,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2016</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9.5%</w:t>
            </w: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16.5%</w:t>
            </w: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KTP includes Kaplan’s standardized test preparation and new economy skills training programs. KTP revenue declined 5% in 2017. Enrollments, excluding the new economy skills training offerings, were up 4% in 2017;</w:t>
      </w:r>
    </w:p>
    <w:p>
      <w:pPr>
        <w:sectPr>
          <w:pgSz w:w="11900" w:h="16838" w:orient="portrait"/>
          <w:cols w:equalWidth="0" w:num="1">
            <w:col w:w="11420"/>
          </w:cols>
          <w:pgMar w:left="240" w:top="746" w:right="239" w:bottom="786"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46" w:right="239" w:bottom="786" w:gutter="0" w:footer="0" w:header="0"/>
          <w:type w:val="continuous"/>
        </w:sectPr>
      </w:pPr>
    </w:p>
    <w:bookmarkStart w:id="11" w:name="page12"/>
    <w:bookmarkEnd w:id="11"/>
    <w:p>
      <w:pPr>
        <w:ind w:right="340"/>
        <w:spacing w:after="0" w:line="227" w:lineRule="auto"/>
        <w:rPr>
          <w:sz w:val="20"/>
          <w:szCs w:val="20"/>
          <w:color w:val="auto"/>
        </w:rPr>
      </w:pPr>
      <w:r>
        <w:rPr>
          <w:rFonts w:ascii="Arial" w:cs="Arial" w:eastAsia="Arial" w:hAnsi="Arial"/>
          <w:sz w:val="18"/>
          <w:szCs w:val="18"/>
          <w:color w:val="auto"/>
        </w:rPr>
        <w:t>however, unit prices were generally lower. In comparison to 2016, KTP operating results improved in 2017 due primarily to operating cost efficiencies. Operating losses for the new economy skills training programs were $16.7 million and $13.0 million for 2017 and 2016, respectively, including restructuring costs incurred in connection with the closing of Dev Bootcamp that was completed in the second half of 2017. Dev Bootcamp made up the majority of KTP’s new economy skills training programs.</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Professional (U.S.) includes the domestic professional training and other continuing education businesses. Professional (U.S.) revenues and operating income in 2017 were flat compared to 2016.</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On January 17, 2017, the Company closed on its agreement with Nexstar Broadcasting Group,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Revenue at the television broadcasting division increased slightly to $409.9 million in 2017, from $409.7 million in 2016. Excluding revenue from the two newly acquired stations, revenue declined 6% due to a $28.7 million decrease in political advertising revenue, $13.1 million in 2016 incremental summer Olympics-related advertising revenue at the Company’s NBC affiliates, lower network revenue and the adverse impact from hurricanes Harvey and Irma in the third quarter of 2017, partially offset by $20.7 million in increased retransmission revenues. As previously disclosed, the Company’s NBC affiliates in Houston and Detroit are operating under a new contract with NBC effective January 1, 2017 that has resulted in a significant increase in network fees in 2017, compared to 2016. Operating income for 2017 was down 31% to $139.3 million, from $202.9 million in 2016 due to lower revenues, the significantly higher network fees and increased amortization of intangibles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34% in 2017 and 50% in 2016.</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Company’s television station ratings remained strong across our markets. On average in the November 2017 ratings period, KPRC in Houston, WDIV in Detroit, KSAT in San Antonio and WJXT in Jacksonville ranked number one in the key 6am, 6pm and late newscasts among target demographic viewers age 25 to 54; WKMG in Orlando ranked number two and WSLS in Roanoke ranked third in key newscasts. WCWJ in Jacksonville demonstrated success with its syndicated programming in daytime and early fringe, ranking number two.</w:t>
      </w:r>
    </w:p>
    <w:p>
      <w:pPr>
        <w:spacing w:after="0" w:line="11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(GHG) provides home health and hospice services in three states. In June 2016,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expenses in conjunction with these transactions in the second quarter of 2016. At the end of June 2017, GHG acquired Hometown Home Health and Hospice, a Lapeer, MI-based healthcare services provider. Healthcare revenues increased 5% in 2017, while operating results were down, due largely to increased bad debt expenses and higher information systems and other integration costs.</w:t>
      </w:r>
    </w:p>
    <w:p>
      <w:pPr>
        <w:spacing w:after="0" w:line="139"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GHG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income (expense), net.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2017 compared to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414,193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241,604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62,077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34,733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511,003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326,888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399,246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228,887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65,751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71,258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65,269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51,644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530,266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351,789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14,947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(3,674)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(30,536)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(19,263)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9,173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11,723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31,052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31,385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Service Cos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593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1,125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bl>
    <w:p>
      <w:pPr>
        <w:spacing w:after="0" w:line="148"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September 2016, Dekko acquired Electri-Cable Assemblies (ECA), a manufacturer of power, data and electrical solutions for the office furniture industry.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2017 due to the Hoover acquisition and growth and improved results at Dekko, including the ECA acquisition, offset by a decline in results at Forney.</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5% in 2017, due to continued growth in digital advertising service revenues. SocialCode reported an operating loss of $3.7 million in 2017 compared to $12.4 million in 2016. SocialCode’s operating results included incentive accruals of $1.4 million related to phantom equity appreciation plans in 2017; whereas 2016 results included incentive accruals of $12.8 million related to phantom equity plans. As of December 31, 2017, the accrual balance related to these plans was $15.1 million.</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2017 adversely affected operating results.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certain continuing obligations related to prior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dispositions. Corporate office expenses increased in 2017 due primarily to higher professional services costs.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24" w:right="239" w:bottom="1440" w:gutter="0" w:footer="0" w:header="0"/>
          <w:type w:val="continuous"/>
        </w:sectPr>
      </w:pPr>
    </w:p>
    <w:bookmarkStart w:id="13" w:name="page14"/>
    <w:bookmarkEnd w:id="13"/>
    <w:p>
      <w:pPr>
        <w:ind w:right="120"/>
        <w:spacing w:after="0" w:line="228"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At December 31, 2017, the Company held interests in a number of home health and hospice joint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 in several other affiliates. During 2017, the Company acquired approximately 11% of Intersection Holdings, LLC, a company that provides digital marketing and advertising services and products for cities, transit systems, airports, and other public and private spaces. The Company recorded equity in losses of affiliates of $3.2 million for 2017, compared to $7.9 million in 2016. In the fourth quarter of 2016, the Company recorded an $8.4 million write-down on its investment in HomeHero, a company that managed an online senior home care marketplace.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$27.3 million in 2017, compared to $32.3 million in 2016.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2017, the Company had $493.3 million in borrowings outstanding at an average interest rate of 6.3%; at December 31, 2016, the Company had $491.8 million in borrowings outstanding at an average interest rate of 6.3%.</w:t>
      </w:r>
    </w:p>
    <w:p>
      <w:pPr>
        <w:spacing w:after="0" w:line="113"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Non-operating Pension and Postretirement Benefit Income, net. </w:t>
      </w:r>
      <w:r>
        <w:rPr>
          <w:rFonts w:ascii="Arial" w:cs="Arial" w:eastAsia="Arial" w:hAnsi="Arial"/>
          <w:sz w:val="18"/>
          <w:szCs w:val="18"/>
          <w:color w:val="auto"/>
        </w:rPr>
        <w:t>In the first quarter of 2018, the Company adopted new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 significant impact on Corporate office reporting, with minimal impact on the television broadcasting, Kaplan corporate and other businesses reporting.</w:t>
      </w:r>
    </w:p>
    <w:p>
      <w:pPr>
        <w:spacing w:after="0" w:line="13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Company recorded net non-operating pension and postretirement benefit income of $72.7 million and $80.7 million for 2017 and 2016, respectively. In the fourth quarter of 2016, the Company recorded an $18.0 million gain related to a bulk lump sum pension program offering.</w:t>
      </w:r>
    </w:p>
    <w:p>
      <w:pPr>
        <w:spacing w:after="0" w:line="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total other non-operating income, net, of $4.2 million in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expense, net, of $12.6 million in 2016.</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2017 non-operating income, net, included $3.3 million in foreign currency gains and other items. The 2016 non-operating expense, net, included $39.9 million in foreign currency losses; $29.4 million in cost method investment write-downs; and $1.8 million in net losses on the sales of marketable securities, partially offset by a $34.1 million gain on the sale of land; an $18.9 million gain on the sale of a business; a $3.2 million gain on the Residential joint venture transaction and other items.</w:t>
      </w:r>
    </w:p>
    <w:p>
      <w:pPr>
        <w:spacing w:after="0" w:line="169"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b w:val="1"/>
          <w:bCs w:val="1"/>
          <w:color w:val="auto"/>
        </w:rPr>
        <w:t xml:space="preserve">(Benefit from) Provision for Income Taxes. </w:t>
      </w:r>
      <w:r>
        <w:rPr>
          <w:rFonts w:ascii="Arial" w:cs="Arial" w:eastAsia="Arial" w:hAnsi="Arial"/>
          <w:sz w:val="18"/>
          <w:szCs w:val="18"/>
          <w:color w:val="auto"/>
        </w:rPr>
        <w:t>The Company is reporting an income tax benefit of $119.7 million for 2017,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 $5.9 million income tax benefit related to the vesting of restricted stock awards in connection with the adoption of a new accounting standard that requires all excess income tax benefits and deficiencies from stock compensation to be recorded as discrete items in the provision for income taxes. Excluding the effect of these items, the effective tax rate for 2017 was 34.9%.</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effective tax rate for 2016 was 32.4%. 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2016 COMPARED TO 2015</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Income from continuing operations attributable to common shares was $168.6 million ($29.80 per share) for the year ended December 31, 2016, compared to a net loss of $143.5 million ($ 25.23 per share) for the year ended December 31, 2015. Net loss attributable to common shares was $ 101.3 million ($17.87 per share) for the year ended December 31, 2015, including $42.2 million ($7.36 per share) in income from discontinued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2016 are listed below:</w:t>
      </w:r>
    </w:p>
    <w:p>
      <w:pPr>
        <w:spacing w:after="0" w:line="9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w:t>
      </w:r>
    </w:p>
    <w:p>
      <w:pPr>
        <w:spacing w:after="0" w:line="90" w:lineRule="exact"/>
        <w:rPr>
          <w:rFonts w:ascii="Arial" w:cs="Arial" w:eastAsia="Arial" w:hAnsi="Arial"/>
          <w:sz w:val="18"/>
          <w:szCs w:val="18"/>
          <w:color w:val="auto"/>
        </w:rPr>
      </w:pPr>
    </w:p>
    <w:p>
      <w:pPr>
        <w:ind w:left="180" w:right="54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$18.0 million non-operating gain related to a bulk lump sum pension program offering (after-tax impact of $10.8 million, or $1.92 per share);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24" w:right="239" w:bottom="1440" w:gutter="0" w:footer="0" w:header="0"/>
        </w:sectPr>
      </w:pPr>
    </w:p>
    <w:bookmarkStart w:id="14" w:name="page15"/>
    <w:bookmarkEnd w:id="14"/>
    <w:p>
      <w:pPr>
        <w:ind w:left="180" w:right="26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$32.2 million net non-operating gain from the sales of land and marketable equity securities (after-tax impact of $20.0 million, or $3.52 per share);</w:t>
      </w:r>
    </w:p>
    <w:p>
      <w:pPr>
        <w:spacing w:after="0" w:line="80" w:lineRule="exact"/>
        <w:rPr>
          <w:rFonts w:ascii="Arial" w:cs="Arial" w:eastAsia="Arial" w:hAnsi="Arial"/>
          <w:sz w:val="18"/>
          <w:szCs w:val="18"/>
          <w:color w:val="auto"/>
        </w:rPr>
      </w:pPr>
    </w:p>
    <w:p>
      <w:pPr>
        <w:ind w:left="180" w:right="2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80" w:lineRule="exact"/>
        <w:rPr>
          <w:rFonts w:ascii="Arial" w:cs="Arial" w:eastAsia="Arial" w:hAnsi="Arial"/>
          <w:sz w:val="18"/>
          <w:szCs w:val="18"/>
          <w:color w:val="auto"/>
        </w:rPr>
      </w:pPr>
    </w:p>
    <w:p>
      <w:pPr>
        <w:ind w:left="180" w:right="34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$37.6 million in non-operating expenses from the write-down of cost method investments and investments in affiliates (after-tax impact of $24.1 million, or $4.27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90"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2015 are listed below:</w:t>
      </w:r>
    </w:p>
    <w:p>
      <w:pPr>
        <w:spacing w:after="0" w:line="90" w:lineRule="exact"/>
        <w:rPr>
          <w:sz w:val="20"/>
          <w:szCs w:val="20"/>
          <w:color w:val="auto"/>
        </w:rPr>
      </w:pPr>
    </w:p>
    <w:p>
      <w:pPr>
        <w:ind w:left="180" w:right="14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w:t>
      </w:r>
    </w:p>
    <w:p>
      <w:pPr>
        <w:spacing w:after="0" w:line="80" w:lineRule="exact"/>
        <w:rPr>
          <w:rFonts w:ascii="Arial" w:cs="Arial" w:eastAsia="Arial" w:hAnsi="Arial"/>
          <w:sz w:val="18"/>
          <w:szCs w:val="18"/>
          <w:color w:val="auto"/>
        </w:rPr>
      </w:pPr>
    </w:p>
    <w:p>
      <w:pPr>
        <w:ind w:left="180" w:right="48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$45.8 million in restructuring and non-operating Special Incentive Program charges at the education division, corporate office and other businesses (after-tax impact of $28.9 million, or $4.97 per share);</w:t>
      </w:r>
    </w:p>
    <w:p>
      <w:pPr>
        <w:spacing w:after="0" w:line="80"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w:t>
      </w:r>
    </w:p>
    <w:p>
      <w:pPr>
        <w:spacing w:after="0" w:line="80"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$21.4 million non-operating gain on the sale of land (after-tax impact of $13.2 million, or $2.27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$15.6 million in non-operating unrealized foreign currency losses (after-tax impact of $9.7 million, or $1.67 per share).</w:t>
      </w:r>
    </w:p>
    <w:p>
      <w:pPr>
        <w:spacing w:after="0" w:line="144"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Revenue for 2016 was $2,481.9 million, down 4% from $2,586.1 million in 2015. Revenues declined at the education division, offset by an increase at the television broadcasting division and in other businesses.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2016, education revenue was down by 17%, advertising revenue increased 11% and other revenue increased 54%. The revenue declines at Kaplan account for the reported education revenue. The growth in advertising revenue is due to increased television broadcasting revenue. The increase in other revenues is due primarily to the inclusion of revenues from businesses acquired in 2016 and 2015.</w:t>
      </w:r>
    </w:p>
    <w:p>
      <w:pPr>
        <w:spacing w:after="0" w:line="137"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Operating costs and expenses for the year decreased 18% to $2,259.0 million in 2016, from $2,744.3 million in 2015. Expenses were lower at the education division due to goodwill and other long-lived assets impairment charges recorded in 2015, partially offset by increased spending on digital initiatives and network fees at the television broadcasting division in 2016, and increased expenses at other businesses as a result of businesses acquired in 2016 and 2015.</w:t>
      </w:r>
    </w:p>
    <w:p>
      <w:pPr>
        <w:spacing w:after="0" w:line="13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Company reported operating income for 2016 of $222.9 million, compared with an operating loss of $158.1 million in 2015. Operating results improved at the education and television broadcasting divisions, offset by a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jc w:val="both"/>
        <w:ind w:right="220"/>
        <w:spacing w:after="0" w:line="233"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2016 totaled $1,598.5 million, down 17% from $ 1,927.5 million in 2015. 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$95.3 million for 2016, compared to an operating loss of $218.0 million in 2015. Kaplan’s 2015 operating results include goodwill and intangible assets impairment charges of $256.8 million. In 2016, operating results at KHE and Professional (U.S.) were up and costs at Kaplan corporate and other declined, partially offset by declines at KTP and Kaplan International.</w:t>
      </w:r>
    </w:p>
    <w:p>
      <w:pPr>
        <w:spacing w:after="0" w:line="13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2016 and 2015, with the objective of establishing lower cost levels in future periods. Across all businesses, restructuring costs totaled $11.9 million in 2016 and $40.6 million in 2015.</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746"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696,362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770,273</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501,784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757,135</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286,556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301,607</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115,263</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92,490</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6,502</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1,598,461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1,927,521</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48,398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53,661</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39,196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29,896</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9,599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16,798</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27,436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25,676</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(21,763)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(81,788)</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(7,516)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(5,523)</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(256,830)</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95,321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(218,014)</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the first quarter of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Kaplan International revenue declined 10% in 2016, of which 6% is due to currency fluctuations. The remaining decrease is due to enrollment declines in English-language and Pathways programs. Revenue growth from the 2016 acquisitions was largely offset by revenue declines due to prior year dispositions.</w:t>
      </w:r>
    </w:p>
    <w:p>
      <w:pPr>
        <w:spacing w:after="0" w:line="137" w:lineRule="exact"/>
        <w:rPr>
          <w:sz w:val="20"/>
          <w:szCs w:val="20"/>
          <w:color w:val="auto"/>
        </w:rPr>
      </w:pPr>
    </w:p>
    <w:p>
      <w:pPr>
        <w:ind w:right="440"/>
        <w:spacing w:after="0" w:line="227" w:lineRule="auto"/>
        <w:rPr>
          <w:sz w:val="20"/>
          <w:szCs w:val="20"/>
          <w:color w:val="auto"/>
        </w:rPr>
      </w:pPr>
      <w:r>
        <w:rPr>
          <w:rFonts w:ascii="Arial" w:cs="Arial" w:eastAsia="Arial" w:hAnsi="Arial"/>
          <w:sz w:val="18"/>
          <w:szCs w:val="18"/>
          <w:color w:val="auto"/>
        </w:rPr>
        <w:t>Kaplan International operating income decreased 10% in 2016, due largely to the reduced English-language and Pathways results and increased restructuring costs, partially offset by operating income from newly acquired businesses. The impact of currency fluctuations on comparative operating results was insignificant for 2016. Restructuring costs at Kaplan International totaled $4.7 million and $1.3 million in 2016 and 2015, respectively.</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On September 3, 2015, Kaplan completed the sale of substantially all of the remaining assets of its KHE Campuses business. In connection with these and other plans, KHE incurred $7.1 million and $12.4 million in restructuring costs in 2016 and 2015, respectively.</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a $6.9 million long-lived asset impairment charge that was recorded in the second quarter of 2015 in connection with the KHE Campuses business.</w:t>
      </w:r>
    </w:p>
    <w:p>
      <w:pPr>
        <w:spacing w:after="0" w:line="13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KHE results, excluding the impairment charge, include revenue and operating losses (including restructuring charges) related to all KHE Campuses, those sold or closed, including Mount Washington College and Bauder College,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14"/>
                <w:szCs w:val="14"/>
                <w:color w:val="auto"/>
              </w:rPr>
            </w:pP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1,681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178,734</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(2,438)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(38,830)</w:t>
            </w:r>
          </w:p>
        </w:tc>
      </w:tr>
    </w:tbl>
    <w:p>
      <w:pPr>
        <w:spacing w:after="0" w:line="16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2016, KHE revenue declined 34% due to the campus sales and closings, and declines in average enrollments at Kaplan University. KHE operating income improved in 2016 due to reduced losses at the KHE Campuses business and lower restructuring costs and lower marketing expenditures at Kaplan University, partially offset by lower enrollment at Kaplan University.</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6"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New higher education student enrollments at Kaplan University declined 22% in 2016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32,167 at December 31, 2016, down 19% from December 31,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Pr>
          <w:p>
            <w:pPr>
              <w:spacing w:after="0"/>
              <w:rPr>
                <w:sz w:val="15"/>
                <w:szCs w:val="15"/>
                <w:color w:val="auto"/>
              </w:rPr>
            </w:pPr>
          </w:p>
        </w:tc>
        <w:tc>
          <w:tcPr>
            <w:tcW w:w="2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2016</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2015</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7.7%</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and new economy skills training programs. KTP revenue declined 5% in 2016. Enrollments, excluding the new economy skills training offerings, were down 3% in 2016. In comparison to 2015, KTP operating results declined in 2016 due to investment in new economy skills training programs and lower revenues from a change in the enrollment mix to lower priced programs. Operating losses for the new economy skills training programs were $13.0 million and $8.5 million for 2016 and 2015, respectively.</w:t>
      </w:r>
    </w:p>
    <w:p>
      <w:pPr>
        <w:spacing w:after="0" w:line="137"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Professional (U.S.) includes the domestic professional training and other continuing education businesses. Professional (U.S.) revenue increased 25% and operating income improved 7% due primarily to the December 2015 acquisition of SmartPros, a provider of accredited professional education and training, primarily in accountancy.</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2015, Kaplan corporate recorded $25.7 million in restructuring costs. In 2016, Kaplan corporate expenses also declined due to the benefits from restructuring activities and a reduction in incentive compensation expense. Also, 2015 spending for the replacement of its human resources system did not recur in 2016.</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 that is included in other non-operating income.</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addition to the sale of the KHE Campuses business in 2015, Kaplan also sold a small business that was part of Professional (U.S.), and two businesses that were part of Kaplan International. The net loss on the sale of these businesses totaled $24.9 million and is included in other non-operating expense.</w:t>
      </w:r>
    </w:p>
    <w:p>
      <w:pPr>
        <w:spacing w:after="0" w:line="11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at the television broadcasting division increased 14% to $409.7 million, from $ 359.2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operating income for 2016 was up 21% to $202.9 million, from $167.2 million in the same period of 2015. The revenue increase is due to a $23.9 million increase in political advertising revenue, $18.5 million more in retransmission revenues, and $13.1 million in incremental summer Olympics-related advertising revenue at the Company’s NBC affiliates. The increase in operating income is due to the revenue increase, offset by higher spending on digital initiatives and increased network fees.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50% in 2016 and 47% in 2015.</w:t>
      </w:r>
    </w:p>
    <w:p>
      <w:pPr>
        <w:spacing w:after="0" w:line="144" w:lineRule="exact"/>
        <w:rPr>
          <w:sz w:val="20"/>
          <w:szCs w:val="20"/>
          <w:color w:val="auto"/>
        </w:rPr>
      </w:pPr>
    </w:p>
    <w:p>
      <w:pPr>
        <w:ind w:right="620"/>
        <w:spacing w:after="0" w:line="229" w:lineRule="auto"/>
        <w:rPr>
          <w:sz w:val="20"/>
          <w:szCs w:val="20"/>
          <w:color w:val="auto"/>
        </w:rPr>
      </w:pPr>
      <w:r>
        <w:rPr>
          <w:rFonts w:ascii="Arial" w:cs="Arial" w:eastAsia="Arial" w:hAnsi="Arial"/>
          <w:sz w:val="18"/>
          <w:szCs w:val="18"/>
          <w:color w:val="auto"/>
        </w:rPr>
        <w:t>Competitive market position remained strong for the Company’s television stations. For target demographic viewers age 25 to 54 for the key 6am, 6pm and late night newscasts, KSAT in San Antonio, WJXT in Jacksonville and KRPC in Houston ranked number one in the November 2016 ratings period; WDIV in Detroit ranked second; and WKMG in Orlando tied for second.</w:t>
      </w:r>
    </w:p>
    <w:p>
      <w:pPr>
        <w:spacing w:after="0" w:line="137"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This transaction was completed on January 17,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NBC affiliates in Houston and Detroit are operating under a new contract with NBC effective January 1, 2017.</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28" w:right="239" w:bottom="1440" w:gutter="0" w:footer="0" w:header="0"/>
        </w:sectPr>
      </w:pPr>
    </w:p>
    <w:bookmarkStart w:id="17" w:name="page18"/>
    <w:bookmarkEnd w:id="17"/>
    <w:p>
      <w:pPr>
        <w:ind w:right="40"/>
        <w:spacing w:after="0" w:line="227"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The Graham Healthcare Group (GHG) provides home health and hospice services in six states. In June 2016,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outstanding 20% redeemable noncontrolling interest in Residential Healthcare (Residential). Also in June 2016, Celtic Healthcare (Celtic) and Residential combined their business operations and the Company now owns 90% of the combined entity, known as GHG. The Company incurred approximately $2.0 million in expenses in conjunction with these transactions in the second quarter of 2016. Healthcare revenues increased 8% in 2016 due primarily to patient growth for both home health and hospice. Operating results were down in 2016, largely due to the expenses incurred related to the transactions in the second quarter of 2016 and an increase in information systems and other integration costs.</w:t>
      </w:r>
    </w:p>
    <w:p>
      <w:pPr>
        <w:spacing w:after="0" w:line="137"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2016 compared to 2015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241,604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92,255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58,851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45,829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26,433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326,888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163,967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228,887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85,839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71,258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51,644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351,789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183,867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12,717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(12,407)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(19,900)</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1,390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9,570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2,918</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13,806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bl>
    <w:p>
      <w:pPr>
        <w:spacing w:after="0" w:line="148"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acquired in November 2015;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jc w:val="both"/>
        <w:ind w:right="480"/>
        <w:spacing w:after="0" w:line="229" w:lineRule="auto"/>
        <w:rPr>
          <w:sz w:val="20"/>
          <w:szCs w:val="20"/>
          <w:color w:val="auto"/>
        </w:rPr>
      </w:pPr>
      <w:r>
        <w:rPr>
          <w:rFonts w:ascii="Arial" w:cs="Arial" w:eastAsia="Arial" w:hAnsi="Arial"/>
          <w:sz w:val="18"/>
          <w:szCs w:val="18"/>
          <w:color w:val="auto"/>
        </w:rPr>
        <w:t>Manufacturing revenues and operating income increased in 2016 due primarily to the Dekko acquisition. Also, in September 2016, Dekko acquired Electri-Cable Assemblies (ECA), a Shelton, CT-based manufacturer of power, data and electrical solutions for the office furniture industry.</w:t>
      </w:r>
    </w:p>
    <w:p>
      <w:pPr>
        <w:sectPr>
          <w:pgSz w:w="11900" w:h="16838" w:orient="portrait"/>
          <w:cols w:equalWidth="0" w:num="1">
            <w:col w:w="11420"/>
          </w:cols>
          <w:pgMar w:left="240" w:top="724" w:right="239" w:bottom="678"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24" w:right="239" w:bottom="678" w:gutter="0" w:footer="0" w:header="0"/>
          <w:type w:val="continuous"/>
        </w:sectPr>
      </w:pPr>
    </w:p>
    <w:bookmarkStart w:id="18" w:name="page19"/>
    <w:bookmarkEnd w:id="18"/>
    <w:p>
      <w:pPr>
        <w:ind w:right="80"/>
        <w:spacing w:after="0" w:line="227"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28% in 2016, due to continued growth in digital advertising service revenues. SocialCode reported operating losses of $12.4 million in 2016; these results include incentive accruals of $12.8 million related to phantom equity appreciation plans. The expense amount related to these plans for 2015 was $2.0 million. As of December 31, 2016, the accrual balance related to these plans is $22.0 million.</w:t>
      </w:r>
    </w:p>
    <w:p>
      <w:pPr>
        <w:spacing w:after="0" w:line="135"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two investment stage businesses, Panoply and CyberVista. Losses from each of these businesses in 2016 adversely affected operating results. In addition, Slate recorded a goodwill impairment charge of $1.6 million in the fourth quarter of 2016.</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3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certain continuing obligations related to prior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dispositions.</w:t>
      </w:r>
    </w:p>
    <w:p>
      <w:pPr>
        <w:spacing w:after="0" w:line="121"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In the fourth quarter of 2015, the Company recorded $6.0 million in incremental stock compensation expense due to the modification of restricted stock awards. In the third quarter of 2015, the Company recorded $18.8 million in incremental stock option expense, due to stock option modifications that resulted from the Cable ONE spin-off.</w:t>
      </w:r>
    </w:p>
    <w:p>
      <w:pPr>
        <w:spacing w:after="0" w:line="137" w:lineRule="exact"/>
        <w:rPr>
          <w:sz w:val="20"/>
          <w:szCs w:val="20"/>
          <w:color w:val="auto"/>
        </w:rPr>
      </w:pPr>
    </w:p>
    <w:p>
      <w:pPr>
        <w:ind w:right="1060"/>
        <w:spacing w:after="0" w:line="235" w:lineRule="auto"/>
        <w:rPr>
          <w:sz w:val="20"/>
          <w:szCs w:val="20"/>
          <w:color w:val="auto"/>
        </w:rPr>
      </w:pPr>
      <w:r>
        <w:rPr>
          <w:rFonts w:ascii="Arial" w:cs="Arial" w:eastAsia="Arial" w:hAnsi="Arial"/>
          <w:sz w:val="18"/>
          <w:szCs w:val="18"/>
          <w:color w:val="auto"/>
        </w:rPr>
        <w:t>Excluding the incremental stock compensation expense in 2015, corporate office expenses declined in 2016 due primarily to lower compensation costs.</w:t>
      </w:r>
    </w:p>
    <w:p>
      <w:pPr>
        <w:spacing w:after="0" w:line="113"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At December 31, 2016, the Company held interests in a number of home health and hospice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and interests in several other affiliates. The company recorded equity in losses of affiliates of $7.9 million for 2016, compared to $ 0.7 million in 2015. In the fourth quarter of 2016, the Company recorded an $8.4 million write-down on its investment in HomeHero, a company that managed an online senior home care marketplace.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$32.3 million in 2016, compared to $30.7 million in 2015.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2016, the Company had $491.8 million in borrowings outstanding at an average interest rate of 6.3%; at December 31, 2015, the Company had $399.8 million in borrowings outstanding at an average interest rate of 7.2%.</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July 2016, a Kaplan U.K. company entered into a four-year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Non-operating Pension and Postretirement Benefit Income, net. </w:t>
      </w:r>
      <w:r>
        <w:rPr>
          <w:rFonts w:ascii="Arial" w:cs="Arial" w:eastAsia="Arial" w:hAnsi="Arial"/>
          <w:sz w:val="18"/>
          <w:szCs w:val="18"/>
          <w:color w:val="auto"/>
        </w:rPr>
        <w:t>The Company recorded net non-operating pension and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income of $ 80.7 million and $77.3 million for 2016 and 2015, respectively. In the fourth quarter of 2016, the Company recorded an $18.0 million gain related to a bulk lump sum pension program offering.</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total other non-operating expense, net, of $12.6 million in 2016,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$8.6 million in 2015.</w:t>
      </w:r>
    </w:p>
    <w:p>
      <w:pPr>
        <w:spacing w:after="0" w:line="12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2016 non-operating expense, net, included $39.9 million in foreign currency losses; $29.4 million in cost method investment write-downs; and $1.8 million in net losses on the sales of marketable securities, partially offset by a $34.1 million gain on the sale of land; an $18.9 million gain on the sale of a business; a $3.2 million gain on the Residential joint venture transaction and other items. The 2015 non-operating expense, net, included $23.3 million in losses from the sales of businesses, $15.6 million in unrealized foreign currency losses and other items, offset by a $21.4 million gain on the sale of land from Robinson Terminal, a $6.0 million gain on the formation of a Celtic joint venture and a $4.8 million increase to the gain from the 2014 sale of Classified Ventures.</w:t>
      </w:r>
    </w:p>
    <w:p>
      <w:pPr>
        <w:spacing w:after="0" w:line="11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Company’s effective tax rate for 2016 was 32.4%. In the third quarter of 2016, a net nonrecurring $8.3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9" w:name="page20"/>
    <w:bookmarkEnd w:id="19"/>
    <w:p>
      <w:pPr>
        <w:ind w:right="100"/>
        <w:spacing w:after="0" w:line="229" w:lineRule="auto"/>
        <w:rPr>
          <w:sz w:val="20"/>
          <w:szCs w:val="20"/>
          <w:color w:val="auto"/>
        </w:rPr>
      </w:pPr>
      <w:r>
        <w:rPr>
          <w:rFonts w:ascii="Arial" w:cs="Arial" w:eastAsia="Arial" w:hAnsi="Arial"/>
          <w:sz w:val="18"/>
          <w:szCs w:val="18"/>
          <w:color w:val="auto"/>
        </w:rPr>
        <w:t>The Company recorded a tax provision on the pre-tax loss from continuing operations in 2015, as a large portion of the goodwill impairment charges and the goodwill included in the loss on the KHE Campuses sale were permanent differences not deductible for income tax purposes. Excluding the effect of these permanent differences, the effective tax rate for continuing operations in 2015 was 38.1%.</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 2015, the Company completed the spin-off of Cable ONE as an independent, publicly traded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 school in China that was previously part of Kaplan International.</w:t>
      </w:r>
    </w:p>
    <w:p>
      <w:pPr>
        <w:spacing w:after="0" w:line="12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2017, the Company acquired six businesses, two in its education division, two in its television broadcasting division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two in other businesses for $318.9 million in cash and contingent consideration, and the assumption of $59.1 million in certain pension and postretirement obligations. The assets and liabilities of the companies acquired have been recorded at their estimated fair values at the date of acquisition.</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for $258.0 million. The assets and liabilities of the companies acquired were recorded at their estimated fair values at the date of acquisition.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was based on several strategic benefits expected to be realized in the future. Both of these acquisitions are included in Kaplan International.</w:t>
      </w:r>
    </w:p>
    <w:p>
      <w:pPr>
        <w:spacing w:after="0" w:line="139"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During 2015, the Company acquired two businesses for $163.3 million. The assets and liabilities of the companies acquired have been recorded at their estimated fair values at the date of acquisition. On November 13, 2015, the Company acquired a 100% interest in Dekko, a Garrett, IN-based manufacturer of electrical solutions for applications across three business lines: workspace power solutions, architectural lighting and electrical</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20" w:name="page21"/>
    <w:bookmarkEnd w:id="20"/>
    <w:p>
      <w:pPr>
        <w:ind w:right="40"/>
        <w:spacing w:after="0" w:line="229" w:lineRule="auto"/>
        <w:rPr>
          <w:sz w:val="20"/>
          <w:szCs w:val="20"/>
          <w:color w:val="auto"/>
        </w:rPr>
      </w:pPr>
      <w:r>
        <w:rPr>
          <w:rFonts w:ascii="Arial" w:cs="Arial" w:eastAsia="Arial" w:hAnsi="Arial"/>
          <w:sz w:val="18"/>
          <w:szCs w:val="18"/>
          <w:color w:val="auto"/>
        </w:rPr>
        <w:t>components and assemblies, by purchasing all of the issued and outstanding shares. Dekko is included in other businesses. On December 22, 2015, Kaplan acquired a 100% interest in SmartPros, a provider of accredited professional education and training, primarily in accountancy, which is included in Professional (U.S.).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9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the fourth quarter of 2017, Kaplan Australia completed the sale of a small business, which was included in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In February 2017, GHG completed the sale of Celtic Healthcare of Maryland.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21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a vocational school company. KHE Campuses schools that were closed or were in the process of closing were not included in the sale transaction.</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Professional (U.S.). As a result of these sales, the Company reported net losses in other non-operating income (expense).</w:t>
      </w:r>
    </w:p>
    <w:p>
      <w:pPr>
        <w:spacing w:after="0" w:line="113"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Healthcare (Residential) and a Michigan hospital formed a joint venture to provide home health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western 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Healthcare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December 31, 2017.</w:t>
      </w:r>
    </w:p>
    <w:p>
      <w:pPr>
        <w:spacing w:after="0" w:line="13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January 2015, Celtic and Allegheny Health Network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3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w:t>
      </w:r>
    </w:p>
    <w:p>
      <w:pPr>
        <w:spacing w:after="0" w:line="113"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the fourth quarter of 2017, Kaplan entered into an agreement to acquire the College for Financial Planning.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subject to regulatory approval from the HLC, which is not expected before June 2018.</w:t>
      </w:r>
    </w:p>
    <w:p>
      <w:pPr>
        <w:spacing w:after="0" w:line="99"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2017, the Company’s capital expenditures totaled $57.1 million. The Company’s capital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included in continuing operations for 2017, 2016 and 2015 are disclosed in Note 20 to the Consolidated Financial Statements. These amounts include assets acquired during the year, whereas the amounts reflected in the Company’s Statements of Cash Flows are based on cash payments made during the relevant periods. The Company estimates that its capital expenditures will be in the range of $110 million to $120 million in 2018. This includes amounts for constructing an academic and student residential facility in connection with Kaplan’s Pathways program in Liverpool, U.K. This also includes capital expenditures in connection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21" w:name="page22"/>
    <w:bookmarkEnd w:id="21"/>
    <w:p>
      <w:pPr>
        <w:ind w:right="900"/>
        <w:spacing w:after="0" w:line="235" w:lineRule="auto"/>
        <w:rPr>
          <w:sz w:val="20"/>
          <w:szCs w:val="20"/>
          <w:color w:val="auto"/>
        </w:rPr>
      </w:pPr>
      <w:r>
        <w:rPr>
          <w:rFonts w:ascii="Arial" w:cs="Arial" w:eastAsia="Arial" w:hAnsi="Arial"/>
          <w:sz w:val="18"/>
          <w:szCs w:val="18"/>
          <w:color w:val="auto"/>
        </w:rPr>
        <w:t>with spectrum repacking at the Company’s television stations in Jacksonville, FL, and Roanoke, VA, as mandated by the FCC; these expenditures are expected to be largely reimbursed to the Company by the FCC.</w:t>
      </w:r>
    </w:p>
    <w:p>
      <w:pPr>
        <w:spacing w:after="0" w:line="11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2017,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was $536.3 million, which includes investments in the common stock of six publicly traded companies. At December 31, 2017, the unrealized gain related to the Company’s investments totaled $267.0 million.</w:t>
      </w:r>
    </w:p>
    <w:p>
      <w:pPr>
        <w:spacing w:after="0" w:line="114"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2017,</w:t>
      </w:r>
      <w:r>
        <w:rPr>
          <w:rFonts w:ascii="Arial" w:cs="Arial" w:eastAsia="Arial" w:hAnsi="Arial"/>
          <w:sz w:val="18"/>
          <w:szCs w:val="18"/>
          <w:b w:val="1"/>
          <w:bCs w:val="1"/>
          <w:color w:val="auto"/>
        </w:rPr>
        <w:t xml:space="preserve"> </w:t>
      </w:r>
      <w:r>
        <w:rPr>
          <w:rFonts w:ascii="Arial" w:cs="Arial" w:eastAsia="Arial" w:hAnsi="Arial"/>
          <w:sz w:val="18"/>
          <w:szCs w:val="18"/>
          <w:color w:val="auto"/>
        </w:rPr>
        <w:t>2016, and 2015, the Company purchased a total of 88,361,</w:t>
      </w:r>
      <w:r>
        <w:rPr>
          <w:rFonts w:ascii="Arial" w:cs="Arial" w:eastAsia="Arial" w:hAnsi="Arial"/>
          <w:sz w:val="18"/>
          <w:szCs w:val="18"/>
          <w:b w:val="1"/>
          <w:bCs w:val="1"/>
          <w:color w:val="auto"/>
        </w:rPr>
        <w:t xml:space="preserve"> </w:t>
      </w:r>
      <w:r>
        <w:rPr>
          <w:rFonts w:ascii="Arial" w:cs="Arial" w:eastAsia="Arial" w:hAnsi="Arial"/>
          <w:sz w:val="18"/>
          <w:szCs w:val="18"/>
          <w:color w:val="auto"/>
        </w:rPr>
        <w:t>229,498, and</w:t>
      </w:r>
      <w:r>
        <w:rPr>
          <w:rFonts w:ascii="Arial" w:cs="Arial" w:eastAsia="Arial" w:hAnsi="Arial"/>
          <w:sz w:val="18"/>
          <w:szCs w:val="18"/>
          <w:b w:val="1"/>
          <w:bCs w:val="1"/>
          <w:color w:val="auto"/>
        </w:rPr>
        <w:t xml:space="preserve"> </w:t>
      </w:r>
      <w:r>
        <w:rPr>
          <w:rFonts w:ascii="Arial" w:cs="Arial" w:eastAsia="Arial" w:hAnsi="Arial"/>
          <w:sz w:val="18"/>
          <w:szCs w:val="18"/>
          <w:color w:val="auto"/>
        </w:rPr>
        <w:t>46,226 shares, respectively, of its Class B common stock at a cost of approximately $50.8 million, $108.9 million, and $23.0 million, respectively. On November 9, 2017, the Board of Directors authorized the Company to acquire up to 500,000 shares of its Class B common stock. The Company did not announce a ceiling price or time limit for the purchases. The authorization includes 163,237 shares that remained under the previous authorization. At December 31, 2017, the Company had remaining authorization from the Board of Directors to purchase up to 472,678 shares of Class B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annual dividend rate for 2018 is $5.32 per share, compared to $5.08 and $4.84 in 2017 and 2016, respectively.</w:t>
      </w:r>
    </w:p>
    <w:p>
      <w:pPr>
        <w:spacing w:after="0" w:line="12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2017, the Company’s cash and cash equivalents decreased by $258.9 million due largely to significant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repurchases of common shares. During 2017, the Company’s borrowings increased by $1.4 million due to foreign currency fluctuations, offset by repayments.</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At December 31, 2017, the Company has $390.0 million in cash and cash equivalents, compared to $648.9 million at December 31, 2016. Restricted cash at December 31, 2017, totaled $17.6 million, compared to $21.9 million at December 31, 2016. As of December 31, 2017 and 2016, the Company had commercial paper and money market investments of $217.6 million and $485.1 million, respectively, that are classified as cash, cash equivalents and restricted cash in the Company’s Consolidated Financial Statements. At December 31, 2017, the Company has approximately $5.0 million in cash and cash equivalents in countries outside the U.S., which is not immediately available for use in operations or for distribution.</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At December 31, 2017 and 2016, the Company had borrowings outstanding of $493.3 million and $491.8 million, respectively. The Company’s borrowings at December 31, 2017 were mostly from $400.0 million of 7.25% unsecured notes due February 1, 2019, and £70 million in outstanding borrowings under the Kaplan Credit Agreement; the interest on $400.0 million of 7.25% unsecured notes is payable semiannually on February 1 and August 1. The Company’s borrowings at December 31, 2016 were mostly from $400.0 million of 7.25% unsecured notes due February 1, 2019, and £ 75 million in borrowings under the Kaplan Credit Agreement. The Company did not have any outstanding commercial paper borrowing or USD revolving credit borrowing as of December 31, 2017 and 2016.</w:t>
      </w:r>
    </w:p>
    <w:p>
      <w:pPr>
        <w:spacing w:after="0" w:line="13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w:t>
      </w:r>
    </w:p>
    <w:p>
      <w:pPr>
        <w:spacing w:after="0" w:line="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w:t>
      </w:r>
    </w:p>
    <w:p>
      <w:pPr>
        <w:spacing w:after="0" w:line="22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outstanding aggregate amount of the loan be repaid on the first three anniversaries of funding, with the remaining balance due on July 1, 2020. The Kaplan Credit Agreement contains terms and conditions, including remedies 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22" w:name="page23"/>
    <w:bookmarkEnd w:id="22"/>
    <w:p>
      <w:pPr>
        <w:ind w:right="40"/>
        <w:spacing w:after="0" w:line="229" w:lineRule="auto"/>
        <w:rPr>
          <w:sz w:val="20"/>
          <w:szCs w:val="20"/>
          <w:color w:val="auto"/>
        </w:rPr>
      </w:pPr>
      <w:r>
        <w:rPr>
          <w:rFonts w:ascii="Arial" w:cs="Arial" w:eastAsia="Arial" w:hAnsi="Arial"/>
          <w:sz w:val="18"/>
          <w:szCs w:val="18"/>
          <w:color w:val="auto"/>
        </w:rPr>
        <w:t>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May 24, 2017, Moody’s affirmed the Company’s credit ratings, but revised the outlook from Stable to Negative.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760" w:type="dxa"/>
            <w:vAlign w:val="bottom"/>
          </w:tcPr>
          <w:p>
            <w:pPr>
              <w:ind w:left="40"/>
              <w:spacing w:after="0"/>
              <w:rPr>
                <w:sz w:val="20"/>
                <w:szCs w:val="20"/>
                <w:color w:val="auto"/>
              </w:rPr>
            </w:pPr>
            <w:r>
              <w:rPr>
                <w:rFonts w:ascii="Arial" w:cs="Arial" w:eastAsia="Arial" w:hAnsi="Arial"/>
                <w:sz w:val="16"/>
                <w:szCs w:val="16"/>
                <w:color w:val="auto"/>
              </w:rPr>
              <w:t>Long-term</w:t>
            </w:r>
          </w:p>
        </w:tc>
        <w:tc>
          <w:tcPr>
            <w:tcW w:w="5000" w:type="dxa"/>
            <w:vAlign w:val="bottom"/>
          </w:tcPr>
          <w:p>
            <w:pPr>
              <w:ind w:left="4540"/>
              <w:spacing w:after="0"/>
              <w:rPr>
                <w:sz w:val="20"/>
                <w:szCs w:val="20"/>
                <w:color w:val="auto"/>
              </w:rPr>
            </w:pPr>
            <w:r>
              <w:rPr>
                <w:rFonts w:ascii="Arial" w:cs="Arial" w:eastAsia="Arial" w:hAnsi="Arial"/>
                <w:sz w:val="16"/>
                <w:szCs w:val="16"/>
                <w:color w:val="auto"/>
              </w:rPr>
              <w:t>Ba1</w:t>
            </w:r>
          </w:p>
        </w:tc>
        <w:tc>
          <w:tcPr>
            <w:tcW w:w="1660" w:type="dxa"/>
            <w:vAlign w:val="bottom"/>
          </w:tcPr>
          <w:p>
            <w:pPr>
              <w:ind w:left="132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During 2017 and 2016, the Company had average borrowings outstanding of approximately $493.2 million and $443.9 million, respectively, at average annual interest rates of approximately 6.3% and 6.7%, respectively. The Company incurred net interest expense of $27.3 million and $32.3 million, respectively, during 2017 and 2016.</w:t>
      </w:r>
    </w:p>
    <w:p>
      <w:pPr>
        <w:spacing w:after="0" w:line="137"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color w:val="auto"/>
        </w:rPr>
        <w:t>The Company is evaluating its long-term financing needs and in 2018 may refinance all or part of its unsecured $400.0 million notes outstanding due February 1, 2019.</w:t>
      </w:r>
    </w:p>
    <w:p>
      <w:pPr>
        <w:spacing w:after="0" w:line="135"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At December 31, 2017 and 2016, the Company had working capital of $857.2 million and $1,052.4 million,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$268.1 million in 2017, compared to $261.3 million in 2016.</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York International College £25 million over the next 18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KIHL is terminated. In the second half of 2016, KIHL advanced approximately £11.0 million to York International College. In 2017, an additional £5.0 million was advanced to York International College.</w:t>
      </w:r>
    </w:p>
    <w:p>
      <w:pPr>
        <w:spacing w:after="0" w:line="13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2018.</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37,534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422,899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81,064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541,571</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97,935</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88,298</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70,500</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56,693</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43,976</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121,875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479,277</w:t>
            </w:r>
          </w:p>
        </w:tc>
        <w:tc>
          <w:tcPr>
            <w:tcW w:w="0" w:type="dxa"/>
            <w:vAlign w:val="bottom"/>
          </w:tcPr>
          <w:p>
            <w:pPr>
              <w:spacing w:after="0"/>
              <w:rPr>
                <w:sz w:val="1"/>
                <w:szCs w:val="1"/>
                <w:color w:val="auto"/>
              </w:rPr>
            </w:pPr>
          </w:p>
        </w:tc>
      </w:tr>
      <w:tr>
        <w:trPr>
          <w:trHeight w:val="34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8,741</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7,422</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4,835</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383</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21,682</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94,595</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49,408</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17,197</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7,158</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2,848</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1,626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172,832</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4,315</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4,191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4,277</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4,286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4,319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26,826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48,214</w:t>
            </w:r>
          </w:p>
        </w:tc>
        <w:tc>
          <w:tcPr>
            <w:tcW w:w="0" w:type="dxa"/>
            <w:vAlign w:val="bottom"/>
          </w:tcPr>
          <w:p>
            <w:pPr>
              <w:spacing w:after="0"/>
              <w:rPr>
                <w:sz w:val="1"/>
                <w:szCs w:val="1"/>
                <w:color w:val="auto"/>
              </w:rPr>
            </w:pPr>
          </w:p>
        </w:tc>
      </w:tr>
      <w:tr>
        <w:trPr>
          <w:trHeight w:val="258"/>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243,120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572,218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177,873</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68,452</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150,372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1,263,576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140" w:hanging="332"/>
        <w:spacing w:after="0" w:line="205"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780" w:hanging="332"/>
        <w:spacing w:after="0" w:line="219"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the Company’s commitment to loan an additional £9.0 million to York International College.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tuition revenue is recognized ratably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of instruction as services are delivered to students, net of any refunds, corporate discounts, scholarships and employee tuition discounts.</w:t>
      </w:r>
    </w:p>
    <w:p>
      <w:pPr>
        <w:spacing w:after="0" w:line="13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KTP and Kaplan International,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24" w:name="page25"/>
    <w:bookmarkEnd w:id="24"/>
    <w:p>
      <w:pPr>
        <w:ind w:right="60"/>
        <w:spacing w:after="0" w:line="235" w:lineRule="auto"/>
        <w:rPr>
          <w:sz w:val="20"/>
          <w:szCs w:val="20"/>
          <w:color w:val="auto"/>
        </w:rPr>
      </w:pPr>
      <w:r>
        <w:rPr>
          <w:rFonts w:ascii="Arial" w:cs="Arial" w:eastAsia="Arial" w:hAnsi="Arial"/>
          <w:sz w:val="18"/>
          <w:szCs w:val="18"/>
          <w:color w:val="auto"/>
        </w:rPr>
        <w:t>balances deemed uncollectible against the allowance for doubtful accounts following the passage of a certain period of time, or generally when the account is turned over for collection to an outside collection agency.</w:t>
      </w:r>
    </w:p>
    <w:p>
      <w:pPr>
        <w:spacing w:after="0" w:line="11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2016</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1,401.9</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1,189.0</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4,937.8</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4,432.7</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28%</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27%</w:t>
            </w:r>
          </w:p>
        </w:tc>
      </w:tr>
    </w:tbl>
    <w:p>
      <w:pPr>
        <w:spacing w:after="0" w:line="16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had 15 reporting units as of December 31, 2017. The reporting units with significant goodwill balances as of December 31, 2017, were as follows, representing 85% of the total goodwill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615.9</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74.5</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66.8</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190.8</w:t>
            </w:r>
          </w:p>
        </w:tc>
      </w:tr>
      <w:tr>
        <w:trPr>
          <w:trHeight w:val="256"/>
        </w:trPr>
        <w:tc>
          <w:tcPr>
            <w:tcW w:w="10120" w:type="dxa"/>
            <w:vAlign w:val="bottom"/>
          </w:tcPr>
          <w:p>
            <w:pPr>
              <w:ind w:left="40"/>
              <w:spacing w:after="0"/>
              <w:rPr>
                <w:sz w:val="20"/>
                <w:szCs w:val="20"/>
                <w:color w:val="auto"/>
              </w:rPr>
            </w:pPr>
            <w:r>
              <w:rPr>
                <w:rFonts w:ascii="Arial" w:cs="Arial" w:eastAsia="Arial" w:hAnsi="Arial"/>
                <w:sz w:val="16"/>
                <w:szCs w:val="16"/>
                <w:color w:val="auto"/>
              </w:rPr>
              <w:t>Hoover</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91.3</w:t>
            </w:r>
          </w:p>
        </w:tc>
      </w:tr>
      <w:tr>
        <w:trPr>
          <w:trHeight w:val="240"/>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1,103.1</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of November 30, 2017, in connection with the Company’s annual impairment testing, the Company decided to perform the quantitative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2017, was consistent with the one used during the 2016 annual goodwill impairment test.</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2017 compared with the prior year to take into account changes in the economic environment, regulations and their impact on the Company’s businesses. The key assumptions used by the Company were as follows:</w:t>
      </w:r>
    </w:p>
    <w:p>
      <w:pPr>
        <w:spacing w:after="0" w:line="83" w:lineRule="exact"/>
        <w:rPr>
          <w:sz w:val="20"/>
          <w:szCs w:val="20"/>
          <w:color w:val="auto"/>
        </w:rPr>
      </w:pPr>
    </w:p>
    <w:p>
      <w:pPr>
        <w:ind w:left="180" w:right="120" w:hanging="172"/>
        <w:spacing w:after="0" w:line="229"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2018 through 2022 were used. The expected cash flows took into account historical growth rates, the effect of the changed economic outlook at some of the Company’s businesses, industry challenges and an estimate for the possible impact of any applicable regulations.</w:t>
      </w:r>
    </w:p>
    <w:p>
      <w:pPr>
        <w:spacing w:after="0" w:line="82" w:lineRule="exact"/>
        <w:rPr>
          <w:rFonts w:ascii="Arial" w:cs="Arial" w:eastAsia="Arial" w:hAnsi="Arial"/>
          <w:sz w:val="18"/>
          <w:szCs w:val="18"/>
          <w:color w:val="auto"/>
        </w:rPr>
      </w:pPr>
    </w:p>
    <w:p>
      <w:pPr>
        <w:ind w:left="180" w:right="38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flows beyond 2022 were projected to grow at a long-term growth rate, which the Company estimated between 1% and 3% for each reporting unit.</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used a discount rate of 10.0% to 22.5%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2017.</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5" w:name="page26"/>
    <w:bookmarkEnd w:id="25"/>
    <w:p>
      <w:pPr>
        <w:spacing w:after="0" w:line="225" w:lineRule="auto"/>
        <w:rPr>
          <w:sz w:val="20"/>
          <w:szCs w:val="20"/>
          <w:color w:val="auto"/>
        </w:rPr>
      </w:pPr>
      <w:r>
        <w:rPr>
          <w:rFonts w:ascii="Arial" w:cs="Arial" w:eastAsia="Arial" w:hAnsi="Arial"/>
          <w:sz w:val="18"/>
          <w:szCs w:val="18"/>
          <w:color w:val="auto"/>
        </w:rPr>
        <w:t>In 2015, the Company reported a goodwill impairment charge of $248.6 million at the KHE reporting unit. The remaining goodwill balance at the KHE reporting unit as of December 31, 2017 totaled $74.5 million. The estimated fair value of the KHE reporting unit exceeded its carrying value by a margin in excess of 25%. 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41"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Company’s intangible assets with an indefinite life are principally from trade names and FCC licenses. The fair value of each indefinite-lived intangible asset exceeded its respective carrying value as of November 30, 2017. There is always a possibility that impairment charges could occur in the future, given the inherent variability in projecting future operating performance.</w:t>
      </w:r>
    </w:p>
    <w:p>
      <w:pPr>
        <w:spacing w:after="0" w:line="11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 and special termination benefits, the Company’s net pension credit, including amounts for discontinued operations, was $59.0 million, $49.1 million and $ 63.3 million for 2017, 2016 and 2015,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assumed a 6.25% expected return on plan assets for 2017, which is a change from 6.5% expected return assumption for 2016 and 2015. The Company’s actual return (loss) on plan assets was 19.2% in 2017, (2.0)% in 2016 and (6.2)% in 2015. The 10-year and 20-year actual returns on plan assets on an annual basis were 8.6% and 8.8%,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2017, 2016 and 2015, was 3.6%, 4.1% and 4.3%, respectively, reflecting market interest rates.</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2017 pension credit, excluding special termination benefits:</w:t>
      </w:r>
    </w:p>
    <w:p>
      <w:pPr>
        <w:spacing w:after="0" w:line="81" w:lineRule="exact"/>
        <w:rPr>
          <w:sz w:val="20"/>
          <w:szCs w:val="20"/>
          <w:color w:val="auto"/>
        </w:rPr>
      </w:pPr>
    </w:p>
    <w:p>
      <w:pPr>
        <w:ind w:left="180" w:right="40" w:hanging="172"/>
        <w:spacing w:after="0" w:line="235"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$19.4 million.</w:t>
      </w:r>
    </w:p>
    <w:p>
      <w:pPr>
        <w:spacing w:after="0" w:line="80" w:lineRule="exact"/>
        <w:rPr>
          <w:rFonts w:ascii="Arial" w:cs="Arial" w:eastAsia="Arial" w:hAnsi="Arial"/>
          <w:sz w:val="18"/>
          <w:szCs w:val="18"/>
          <w:color w:val="auto"/>
        </w:rPr>
      </w:pPr>
    </w:p>
    <w:p>
      <w:pPr>
        <w:jc w:val="both"/>
        <w:ind w:left="180" w:right="300" w:hanging="172"/>
        <w:spacing w:after="0" w:line="25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$0.4 million. A 1% increase to the Company’s assumed discount rate would have increased the pension credit by approximately $21.9 million.</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26" w:name="page27"/>
    <w:bookmarkEnd w:id="26"/>
    <w:p>
      <w:pPr>
        <w:ind w:right="20"/>
        <w:spacing w:after="0" w:line="227"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2014, the Company had no net unamortized actuarial gains or losses in accumulated other comprehensive income subject to amortization outside the 10% corridor, and therefore, no amortized gain or loss amounts were included in the pension credit in the first six months of 2015.</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As a result of the Cable ONE spin-off and KHE Campuses sale, the Company remeasured the accumulated and projected benefit obligation as of July 1, 2015 and September 3, 2015, respectively, and recorded a curtailment gain. During the first six months of 2015, there were pension asset gains and an increase in the discount rate, which resulted in net unamortized actuarial gains in accumulated other comprehensive income subject to amortization outside the corridor, and therefore, an amortized gain of $11.9 million is included in the pension credit for the last six months of 2015. During the last four months of 2015, there were significant pension asset losses that resulted in no net unamortized actuarial gains or losses in accumulated other comprehensive income subject to amortization outside the 10% corridor, and therefore, no amortized gain or loss amounts were included in the pension credit for 2016.</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there was a decrease in the discount rate and pension asset losses that still resulted in unamortized gains in accumulated other comprehensive income subject to amortization outside the corridor; an amortized gain amount of $4.4 million was included in the pension credit for 2017.</w:t>
      </w:r>
    </w:p>
    <w:p>
      <w:pPr>
        <w:spacing w:after="0" w:line="137"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During 2017, there were pension asset gains offset by a further decrease in the discount rate; however, the Company currently estimates that there will be net unamortized gains in accumulated other comprehensive income subject to amortization outside the corridor, and therefore, an amortized gain amount of $4.2 million is included in the estimated pension credit for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$69 million in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62"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35"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As of December 31, 2017, the Company had state income tax net operating loss carryforwards of $635.1 million, which will expire at various future dates. Also at December 31, 2017, the Company had $68.4 million of non-U.S. income tax loss carryforwards, of which $57.4 million may be carried forward indefinitely; $7.0 million of losses that, if unutilized, will expire in varying amounts through 2022; and $3.9 million of losses that, if unutilized, will start to expire after 2022. At December 31, 2017, the Company has established approximately $48.7 million in valuation allowances against deferred state tax assets, net of U.S. Federal income taxes, and non-U.S. deferred tax assets, as the Company believes that it is more likely than not that the benefit from certain state and non-U.S. net operating</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7" w:name="page28"/>
    <w:bookmarkEnd w:id="27"/>
    <w:p>
      <w:pPr>
        <w:ind w:right="60"/>
        <w:spacing w:after="0" w:line="222" w:lineRule="auto"/>
        <w:rPr>
          <w:sz w:val="20"/>
          <w:szCs w:val="20"/>
          <w:color w:val="auto"/>
        </w:rPr>
      </w:pPr>
      <w:r>
        <w:rPr>
          <w:rFonts w:ascii="Arial" w:cs="Arial" w:eastAsia="Arial" w:hAnsi="Arial"/>
          <w:sz w:val="18"/>
          <w:szCs w:val="18"/>
          <w:color w:val="auto"/>
        </w:rPr>
        <w:t>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 The Company anticipates that the education division may release valuation allowances against state deferred tax assets of approximately $ 22.7 million within the next 12 months, as the education division may generate positive operating results which would support the realization of these deferred tax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6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to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termination is made. However, due to lapse of statutes of limitations, the Company expects that approximately $15.7 million of the unrecognized tax benefits will be recognized, and the Company will record a $3.5 million state tax benefit, net of $0.7 million federal tax expense during 2018. Subsequently, the Company expects that a $1.7 million state tax benefit, net of $0.4 million federal tax expense, will reduce the effective tax rate in the future if recognized.</w:t>
      </w:r>
    </w:p>
    <w:p>
      <w:pPr>
        <w:spacing w:after="0" w:line="139"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2017, the Company has accrued $1.1 million of interest related to the unrecognized tax benefits. The Company has not accrued any penalties related to the unrecognized tax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6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Tax Cuts and Jobs Act (the Tax Act) was enacted in December 2017. The Tax Act significantly changes U.S. tax law by, among other things, imposing a one-time transition tax on historic earnings of foreign subsidiaries; effective January 1, 2018, lowering the U.S. Federal corporate income tax rate from 35% to 21%; imposing current U.S. taxes on certain non-U.S. profits (depending on how the new tax law will apply to the facts and circumstances of each taxpayer), and at the same time generally allowing overseas cash to be repatriated to the U.S. tax-free.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SAB 118 allows the registrant to record provisional amounts during a measurement period not to extend beyond one year of the enactment date. The Company has not recognized any provisional tax expense related to the one-time transition tax, and recognized provisional tax benefits on the revaluation of deferred tax balances and included these estimates in its Consolidated Financial Statements for the year ended December 31, 2017. The ultimate impact may materially differ from these provisional amounts due to, among other things, additional analysis, changes in interpretations and assumptions the Company made, additional regulatory guidance that may be issued, and actions the Company may take as a result of the Tax Act. The Company expects to complete its analysis within the measurement period in accordance with SAB 118.</w:t>
      </w:r>
    </w:p>
    <w:p>
      <w:pPr>
        <w:spacing w:after="0" w:line="120"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rPr>
          <w:sz w:val="20"/>
          <w:szCs w:val="20"/>
          <w:color w:val="auto"/>
        </w:rPr>
      </w:pPr>
      <w:r>
        <w:rPr>
          <w:rFonts w:ascii="Arial" w:cs="Arial" w:eastAsia="Arial" w:hAnsi="Arial"/>
          <w:sz w:val="18"/>
          <w:szCs w:val="18"/>
          <w:color w:val="auto"/>
        </w:rPr>
        <w:t>Stockholders of Graham Holdings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 xml:space="preserve">We have audited the accompanying consolidated balance sheets of Graham Holdings Company and its subsidiaries as of December 31, 2017 and 2016, and the related consolidated statements of operations, comprehensive income (loss), changes in common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did not maintain,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because a material weakness in internal control over financial reporting related to changes to the Company’s procedures impacting the processing of refunds of student financial aid existed as of that date.</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(not presented herein) appearing under Item 9A of the Company’s 2017 Annual Report on Form 10-K. We considered this material weakness in determining the nature, timing, and extent of audit tests applied in our audit of the 2017 consolidated financial statements, and our opinion regarding the effectiveness of the Company’s internal control over financial reporting does not affect our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discussed in Notes 1, 2 and 15 to the consolidated financial statements, the Company changed the manner in which it accounts for pension and postretirement benefit costs in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4"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2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ind w:right="40"/>
        <w:spacing w:after="0" w:line="229" w:lineRule="auto"/>
        <w:rPr>
          <w:sz w:val="20"/>
          <w:szCs w:val="20"/>
          <w:color w:val="auto"/>
        </w:rPr>
      </w:pPr>
      <w:r>
        <w:rPr>
          <w:rFonts w:ascii="Arial" w:cs="Arial" w:eastAsia="Arial" w:hAnsi="Arial"/>
          <w:sz w:val="18"/>
          <w:szCs w:val="18"/>
          <w:color w:val="auto"/>
        </w:rPr>
        <w:t>February 23, 2018, except with respect to our opinion on the consolidated financial statements insofar as it relates to the change in the manner in which the Company classifies fringe costs discussed in Notes 1 and 2 and accounts for pension and postretirement benefit costs discussed in Notes 1, 2 and 15, and in the composition of reportable segments discussed in Notes 1, 2, 9 and 20, as to which the date is May 21,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913"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1,517,659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1,598,347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1,927,405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Advertising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305,373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330,902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299,076</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768,814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552,641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359,633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2,591,846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2,481,890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2,586,114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1,454,343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1,270,030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1,306,863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887,790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896,097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1,080,768</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62,509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64,620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77,906</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41,187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26,671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19,017</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9,614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259,700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2,455,443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2,259,021</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2,744,254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136,403</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222,869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(158,140)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(3,249)</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(7,937)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6,581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(33,886)</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(35,390)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(32,654)</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72,699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80,665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77,315</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4,241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182,789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250,658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(120,890)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(119,700)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81,200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302,489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169,458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(141,390)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302,489</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169,458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(99,220)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(100,655)</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(143,456)</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color w:val="auto"/>
              </w:rPr>
              <w:t>Net income (loss)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302,044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168,590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54.24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54.24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5,516</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5,559</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53.89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5,552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5,589</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738"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252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660" w:hanging="161"/>
        <w:spacing w:after="0" w:line="260" w:lineRule="auto"/>
        <w:rPr>
          <w:sz w:val="20"/>
          <w:szCs w:val="20"/>
          <w:color w:val="auto"/>
        </w:rPr>
      </w:pPr>
      <w:r>
        <w:rPr>
          <w:rFonts w:ascii="Arial" w:cs="Arial" w:eastAsia="Arial" w:hAnsi="Arial"/>
          <w:sz w:val="16"/>
          <w:szCs w:val="16"/>
          <w:color w:val="auto"/>
        </w:rPr>
        <w:t>Reclassification adjustment for realization of loss (gain) on sale of available-for-sale securities included in net income</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gain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gain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(Loss)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302,489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169,458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(99,220)</w:t>
            </w:r>
          </w:p>
        </w:tc>
      </w:tr>
      <w:tr>
        <w:trPr>
          <w:trHeight w:val="81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33,175</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(18,898)</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33,312</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(13,397)</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112,086</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55,507</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10,620</w:t>
            </w:r>
          </w:p>
        </w:tc>
      </w:tr>
      <w:tr>
        <w:trPr>
          <w:trHeight w:val="445"/>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112,086</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57,386</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10,616</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179,674</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(133,915)</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(211,054)</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(6,527)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1,157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(9,906)</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477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173,549</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(150,332)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(219,800)</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319,059</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(115,429)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(222,402)</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(90,923)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37,235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83,602</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228,136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(78,194)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(138,800)</w:t>
            </w:r>
          </w:p>
        </w:tc>
      </w:tr>
      <w:tr>
        <w:trPr>
          <w:trHeight w:val="251"/>
        </w:trPr>
        <w:tc>
          <w:tcPr>
            <w:tcW w:w="2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530,625</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91,264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(238,020)</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530,180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90,396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(239,455)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200" w:space="580"/>
            <w:col w:w="3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738"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390,014</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648,885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17,552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21,931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557,153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448,241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620,319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615,101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23,901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41,635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60,612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34,818</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66,253</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60,735</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1,735,804</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1,871,346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259,358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233,664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128,590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58,806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1,299,710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1,122,954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102,195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66,026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237,976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107,939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1,056,777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881,593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15,367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17,246</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102,046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73,096</w:t>
            </w:r>
          </w:p>
        </w:tc>
        <w:tc>
          <w:tcPr>
            <w:tcW w:w="0" w:type="dxa"/>
            <w:vAlign w:val="bottom"/>
          </w:tcPr>
          <w:p>
            <w:pPr>
              <w:spacing w:after="0"/>
              <w:rPr>
                <w:sz w:val="1"/>
                <w:szCs w:val="1"/>
                <w:color w:val="auto"/>
              </w:rPr>
            </w:pPr>
          </w:p>
        </w:tc>
      </w:tr>
      <w:tr>
        <w:trPr>
          <w:trHeight w:val="26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4,937,823</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4,432,670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526,323</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500,726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339,454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312,107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6,109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6,726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6,128</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878,612</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818,961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Postretirement Benefits Other Than Pensions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20,865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21,859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193,024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195,910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65,977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65,554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362,701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379,092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10,331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12,584</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486,561</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485,719</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2,018,071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1,979,679</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18 and 19)</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4,607</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 xml:space="preserve">Class A Common stock, $1 par value; </w:t>
            </w:r>
            <w:r>
              <w:rPr>
                <w:rFonts w:ascii="Arial" w:cs="Arial" w:eastAsia="Arial" w:hAnsi="Arial"/>
                <w:sz w:val="15"/>
                <w:szCs w:val="15"/>
                <w:color w:val="2C2C2C"/>
              </w:rPr>
              <w:t>7,000,000</w:t>
            </w:r>
            <w:r>
              <w:rPr>
                <w:rFonts w:ascii="Arial" w:cs="Arial" w:eastAsia="Arial" w:hAnsi="Arial"/>
                <w:sz w:val="15"/>
                <w:szCs w:val="15"/>
                <w:color w:val="auto"/>
              </w:rPr>
              <w:t xml:space="preserve"> shares authorized; 964,001 shares issued and outstanding</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94"/>
        </w:trPr>
        <w:tc>
          <w:tcPr>
            <w:tcW w:w="9020" w:type="dxa"/>
            <w:vAlign w:val="bottom"/>
          </w:tcPr>
          <w:p>
            <w:pPr>
              <w:ind w:left="500"/>
              <w:spacing w:after="0"/>
              <w:rPr>
                <w:sz w:val="20"/>
                <w:szCs w:val="20"/>
                <w:color w:val="auto"/>
              </w:rPr>
            </w:pPr>
            <w:r>
              <w:rPr>
                <w:rFonts w:ascii="Arial" w:cs="Arial" w:eastAsia="Arial" w:hAnsi="Arial"/>
                <w:sz w:val="15"/>
                <w:szCs w:val="15"/>
                <w:color w:val="auto"/>
              </w:rPr>
              <w:t>Class B Common stock, $1 par value; 40,000,000 shares authorized; 19,035,999 shares issued; 4,540,493 and 4,612,435</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19,036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660"/>
              <w:spacing w:after="0"/>
              <w:rPr>
                <w:sz w:val="20"/>
                <w:szCs w:val="20"/>
                <w:color w:val="auto"/>
              </w:rPr>
            </w:pPr>
            <w:r>
              <w:rPr>
                <w:rFonts w:ascii="Arial" w:cs="Arial" w:eastAsia="Arial" w:hAnsi="Arial"/>
                <w:sz w:val="15"/>
                <w:szCs w:val="15"/>
                <w:color w:val="auto"/>
              </w:rPr>
              <w:t>shares outstanding</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370,700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364,363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5,791,724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5,588,942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6,314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(26,998)</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194,889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92,931</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334,536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170,830</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(184)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Cost of 14,495,506 and 14,423,564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(3,802,834)</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(3,756,850)</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2,915,145</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2,452,941</w:t>
            </w:r>
          </w:p>
        </w:tc>
        <w:tc>
          <w:tcPr>
            <w:tcW w:w="0" w:type="dxa"/>
            <w:vAlign w:val="bottom"/>
          </w:tcPr>
          <w:p>
            <w:pPr>
              <w:spacing w:after="0"/>
              <w:rPr>
                <w:sz w:val="1"/>
                <w:szCs w:val="1"/>
                <w:color w:val="auto"/>
              </w:rPr>
            </w:pPr>
          </w:p>
        </w:tc>
      </w:tr>
      <w:tr>
        <w:trPr>
          <w:trHeight w:val="268"/>
        </w:trPr>
        <w:tc>
          <w:tcPr>
            <w:tcW w:w="9020" w:type="dxa"/>
            <w:vAlign w:val="bottom"/>
          </w:tcPr>
          <w:p>
            <w:pPr>
              <w:ind w:left="72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4,937,823</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4,432,670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24" w:right="239" w:bottom="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724" w:right="239" w:bottom="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302,489</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169,458</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(99,220)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113,310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92,894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428,437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(59,039)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(67,097)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(65,433)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Early retirement and special separation benefit program expense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1,825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4,606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10,169</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13,418</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48,033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Foreign exchange (gain) loss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(3,310)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39,890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15,564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569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(22,163)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18,095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on dispositions, sales or write-downs of marketable equity securities and cost method investments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30,449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1,378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Gain on sale of an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(4,827)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Equity in losses of affiliates, net of distributions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3,646</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8,859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(Benefit from) provision for deferred income taxes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(146,452)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10,070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4,060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loss (gain)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413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(32,362)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(18,265)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11,086</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(47,892)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(87,165)</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(541)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(2,422)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(1,778)</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19,380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58,147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62,901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13,903</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16,552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(51,825)</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24,739</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5,115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(174,326)</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(25,469)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(12,265)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(11,972)</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1,137</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605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1,270</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268,055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261,256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70,651</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(299,938)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(245,084)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(159,320)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(82,944)</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(6,273)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(25,267)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(60,358)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(66,612)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(136,859)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Disbursement of loan to affiliate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(6,771)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(14,244)</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Return of investment in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4,727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3,265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69,192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41,683</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(48,265)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(145,807)</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(442,019)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(311,286)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(425,570)</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(50,770)</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(108,948)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(22,979)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(28,329)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(27,325)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(53,721)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proceeds from bank overdrafts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(9,505)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14,429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(7,715)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(44,815)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Deferred payments of acquisition and noncontrolling interest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(5,187)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1,400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1,247</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15,312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98,610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550,000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distributed to Cable ONE in spin-off</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(94,115)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(21,000)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Excess tax benefit on share-based payment awards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558</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11,828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Redemption of redeemable preferred stock</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(10,510)</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Payments of financing costs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(648)</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(9,944)</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(100,106)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(43,077)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342,151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10,820</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(11,029)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(11,164)</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Decrease in Cash and Cash Equivalents and Restricted Cash</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(263,250)</w:t>
            </w:r>
          </w:p>
        </w:tc>
        <w:tc>
          <w:tcPr>
            <w:tcW w:w="32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(104,136)</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(23,932)</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670,816</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774,952</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798,884</w:t>
            </w:r>
          </w:p>
        </w:tc>
        <w:tc>
          <w:tcPr>
            <w:tcW w:w="0" w:type="dxa"/>
            <w:vAlign w:val="bottom"/>
          </w:tcPr>
          <w:p>
            <w:pPr>
              <w:spacing w:after="0"/>
              <w:rPr>
                <w:sz w:val="1"/>
                <w:szCs w:val="1"/>
                <w:color w:val="auto"/>
              </w:rPr>
            </w:pPr>
          </w:p>
        </w:tc>
      </w:tr>
      <w:tr>
        <w:trPr>
          <w:trHeight w:val="26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407,566</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670,816</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774,952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65,000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209,000</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33,000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30,000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33,000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4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1980" w:type="dxa"/>
            <w:vAlign w:val="bottom"/>
          </w:tcPr>
          <w:p>
            <w:pPr>
              <w:spacing w:after="0"/>
              <w:rPr>
                <w:sz w:val="10"/>
                <w:szCs w:val="10"/>
                <w:color w:val="auto"/>
              </w:rPr>
            </w:pPr>
          </w:p>
        </w:tc>
        <w:tc>
          <w:tcPr>
            <w:tcW w:w="1900" w:type="dxa"/>
            <w:vAlign w:val="bottom"/>
          </w:tcPr>
          <w:p>
            <w:pPr>
              <w:jc w:val="center"/>
              <w:ind w:left="1126"/>
              <w:spacing w:after="0" w:line="122" w:lineRule="exact"/>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Class B</w:t>
            </w:r>
          </w:p>
        </w:tc>
        <w:tc>
          <w:tcPr>
            <w:tcW w:w="8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Capital in</w:t>
            </w:r>
          </w:p>
        </w:tc>
        <w:tc>
          <w:tcPr>
            <w:tcW w:w="8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Other</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8"/>
              </w:rPr>
              <w:t>Redeemable</w:t>
            </w:r>
          </w:p>
        </w:tc>
      </w:tr>
      <w:tr>
        <w:trPr>
          <w:trHeight w:val="122"/>
        </w:trPr>
        <w:tc>
          <w:tcPr>
            <w:tcW w:w="1980" w:type="dxa"/>
            <w:vAlign w:val="bottom"/>
          </w:tcPr>
          <w:p>
            <w:pPr>
              <w:spacing w:after="0"/>
              <w:rPr>
                <w:sz w:val="10"/>
                <w:szCs w:val="10"/>
                <w:color w:val="auto"/>
              </w:rPr>
            </w:pPr>
          </w:p>
        </w:tc>
        <w:tc>
          <w:tcPr>
            <w:tcW w:w="1900" w:type="dxa"/>
            <w:vAlign w:val="bottom"/>
          </w:tcPr>
          <w:p>
            <w:pPr>
              <w:jc w:val="center"/>
              <w:ind w:left="1146"/>
              <w:spacing w:after="0" w:line="122" w:lineRule="exact"/>
              <w:rPr>
                <w:sz w:val="20"/>
                <w:szCs w:val="20"/>
                <w:color w:val="auto"/>
              </w:rPr>
            </w:pPr>
            <w:r>
              <w:rPr>
                <w:rFonts w:ascii="Arial" w:cs="Arial" w:eastAsia="Arial" w:hAnsi="Arial"/>
                <w:sz w:val="11"/>
                <w:szCs w:val="11"/>
                <w:b w:val="1"/>
                <w:bCs w:val="1"/>
                <w:color w:val="auto"/>
                <w:w w:val="96"/>
              </w:rPr>
              <w:t>Common</w:t>
            </w: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Common</w:t>
            </w:r>
          </w:p>
        </w:tc>
        <w:tc>
          <w:tcPr>
            <w:tcW w:w="8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Excess of</w:t>
            </w:r>
          </w:p>
        </w:tc>
        <w:tc>
          <w:tcPr>
            <w:tcW w:w="82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Retained</w:t>
            </w: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Treasury</w:t>
            </w:r>
          </w:p>
        </w:tc>
        <w:tc>
          <w:tcPr>
            <w:tcW w:w="112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7"/>
              </w:rPr>
              <w:t>Noncontrolling</w:t>
            </w:r>
          </w:p>
        </w:tc>
        <w:tc>
          <w:tcPr>
            <w:tcW w:w="920" w:type="dxa"/>
            <w:vAlign w:val="bottom"/>
          </w:tcPr>
          <w:p>
            <w:pPr>
              <w:spacing w:after="0"/>
              <w:rPr>
                <w:sz w:val="10"/>
                <w:szCs w:val="10"/>
                <w:color w:val="auto"/>
              </w:rPr>
            </w:pPr>
          </w:p>
        </w:tc>
        <w:tc>
          <w:tcPr>
            <w:tcW w:w="96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1980" w:type="dxa"/>
            <w:vAlign w:val="bottom"/>
          </w:tcPr>
          <w:p>
            <w:pPr>
              <w:spacing w:after="0"/>
              <w:rPr>
                <w:sz w:val="20"/>
                <w:szCs w:val="20"/>
                <w:color w:val="auto"/>
              </w:rPr>
            </w:pPr>
            <w:r>
              <w:rPr>
                <w:rFonts w:ascii="Arial" w:cs="Arial" w:eastAsia="Arial" w:hAnsi="Arial"/>
                <w:sz w:val="11"/>
                <w:szCs w:val="11"/>
                <w:color w:val="auto"/>
              </w:rPr>
              <w:t>(in thousands)</w:t>
            </w:r>
          </w:p>
        </w:tc>
        <w:tc>
          <w:tcPr>
            <w:tcW w:w="1900" w:type="dxa"/>
            <w:vAlign w:val="bottom"/>
          </w:tcPr>
          <w:p>
            <w:pPr>
              <w:jc w:val="center"/>
              <w:ind w:left="1146"/>
              <w:spacing w:after="0"/>
              <w:rPr>
                <w:sz w:val="20"/>
                <w:szCs w:val="20"/>
                <w:color w:val="auto"/>
              </w:rPr>
            </w:pPr>
            <w:r>
              <w:rPr>
                <w:rFonts w:ascii="Arial" w:cs="Arial" w:eastAsia="Arial" w:hAnsi="Arial"/>
                <w:sz w:val="11"/>
                <w:szCs w:val="11"/>
                <w:b w:val="1"/>
                <w:bCs w:val="1"/>
                <w:color w:val="auto"/>
                <w:w w:val="99"/>
              </w:rPr>
              <w:t>Stock</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Par Value</w:t>
            </w:r>
          </w:p>
        </w:tc>
        <w:tc>
          <w:tcPr>
            <w:tcW w:w="820" w:type="dxa"/>
            <w:vAlign w:val="bottom"/>
          </w:tcPr>
          <w:p>
            <w:pPr>
              <w:ind w:left="200"/>
              <w:spacing w:after="0"/>
              <w:rPr>
                <w:sz w:val="20"/>
                <w:szCs w:val="20"/>
                <w:color w:val="auto"/>
              </w:rPr>
            </w:pPr>
            <w:r>
              <w:rPr>
                <w:rFonts w:ascii="Arial" w:cs="Arial" w:eastAsia="Arial" w:hAnsi="Arial"/>
                <w:sz w:val="11"/>
                <w:szCs w:val="11"/>
                <w:b w:val="1"/>
                <w:bCs w:val="1"/>
                <w:color w:val="auto"/>
              </w:rPr>
              <w:t>Earnings</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112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Interest</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Total Equity</w:t>
            </w:r>
          </w:p>
        </w:tc>
        <w:tc>
          <w:tcPr>
            <w:tcW w:w="960" w:type="dxa"/>
            <w:vAlign w:val="bottom"/>
          </w:tcPr>
          <w:p>
            <w:pPr>
              <w:jc w:val="center"/>
              <w:ind w:left="12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13970</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2014</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for the year</w:t>
      </w:r>
    </w:p>
    <w:p>
      <w:pPr>
        <w:spacing w:after="0" w:line="109" w:lineRule="exact"/>
        <w:rPr>
          <w:sz w:val="20"/>
          <w:szCs w:val="20"/>
          <w:color w:val="auto"/>
        </w:rPr>
      </w:pPr>
    </w:p>
    <w:p>
      <w:pPr>
        <w:ind w:left="200" w:right="320" w:hanging="161"/>
        <w:spacing w:after="0" w:line="231" w:lineRule="auto"/>
        <w:rPr>
          <w:sz w:val="20"/>
          <w:szCs w:val="20"/>
          <w:color w:val="auto"/>
        </w:rPr>
      </w:pPr>
      <w:r>
        <w:rPr>
          <w:rFonts w:ascii="Arial" w:cs="Arial" w:eastAsia="Arial" w:hAnsi="Arial"/>
          <w:sz w:val="14"/>
          <w:szCs w:val="14"/>
          <w:color w:val="auto"/>
        </w:rPr>
        <w:t>Contribution of noncontrolling interest to a joint venture</w:t>
      </w:r>
    </w:p>
    <w:p>
      <w:pPr>
        <w:spacing w:after="0" w:line="41" w:lineRule="exact"/>
        <w:rPr>
          <w:sz w:val="20"/>
          <w:szCs w:val="20"/>
          <w:color w:val="auto"/>
        </w:rPr>
      </w:pPr>
    </w:p>
    <w:p>
      <w:pPr>
        <w:ind w:left="200" w:right="800" w:hanging="161"/>
        <w:spacing w:after="0" w:line="300" w:lineRule="auto"/>
        <w:rPr>
          <w:sz w:val="20"/>
          <w:szCs w:val="20"/>
          <w:color w:val="auto"/>
        </w:rPr>
      </w:pPr>
      <w:r>
        <w:rPr>
          <w:rFonts w:ascii="Arial" w:cs="Arial" w:eastAsia="Arial" w:hAnsi="Arial"/>
          <w:sz w:val="12"/>
          <w:szCs w:val="12"/>
          <w:color w:val="auto"/>
        </w:rPr>
        <w:t>Net income attributable to redeemable noncontrolling interests</w:t>
      </w:r>
    </w:p>
    <w:p>
      <w:pPr>
        <w:spacing w:after="0" w:line="6" w:lineRule="exact"/>
        <w:rPr>
          <w:sz w:val="20"/>
          <w:szCs w:val="20"/>
          <w:color w:val="auto"/>
        </w:rPr>
      </w:pPr>
    </w:p>
    <w:p>
      <w:pPr>
        <w:ind w:left="200" w:right="500" w:hanging="161"/>
        <w:spacing w:after="0" w:line="231"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redeemable preferred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Class B common stock</w:t>
      </w:r>
    </w:p>
    <w:p>
      <w:pPr>
        <w:spacing w:after="0" w:line="109" w:lineRule="exact"/>
        <w:rPr>
          <w:sz w:val="20"/>
          <w:szCs w:val="20"/>
          <w:color w:val="auto"/>
        </w:rPr>
      </w:pPr>
    </w:p>
    <w:p>
      <w:pPr>
        <w:ind w:left="20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income taxes</w:t>
      </w:r>
    </w:p>
    <w:p>
      <w:pPr>
        <w:spacing w:after="0" w:line="109" w:lineRule="exact"/>
        <w:rPr>
          <w:sz w:val="20"/>
          <w:szCs w:val="20"/>
          <w:color w:val="auto"/>
        </w:rPr>
      </w:pPr>
    </w:p>
    <w:p>
      <w:pPr>
        <w:ind w:left="200" w:right="200" w:hanging="161"/>
        <w:spacing w:after="0" w:line="231" w:lineRule="auto"/>
        <w:rPr>
          <w:sz w:val="20"/>
          <w:szCs w:val="20"/>
          <w:color w:val="auto"/>
        </w:rPr>
      </w:pPr>
      <w:r>
        <w:rPr>
          <w:rFonts w:ascii="Arial" w:cs="Arial" w:eastAsia="Arial" w:hAnsi="Arial"/>
          <w:sz w:val="14"/>
          <w:szCs w:val="14"/>
          <w:color w:val="auto"/>
        </w:rPr>
        <w:t>Conversion of Class A common stock to Class B common stock</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Spin-Off of Cable ONE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Taxes arising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123" w:lineRule="exact"/>
        <w:rPr>
          <w:sz w:val="20"/>
          <w:szCs w:val="20"/>
          <w:color w:val="auto"/>
        </w:rPr>
      </w:pPr>
    </w:p>
    <w:p>
      <w:pPr>
        <w:ind w:left="200" w:right="800" w:hanging="161"/>
        <w:spacing w:after="0" w:line="300" w:lineRule="auto"/>
        <w:rPr>
          <w:sz w:val="20"/>
          <w:szCs w:val="20"/>
          <w:color w:val="auto"/>
        </w:rPr>
      </w:pPr>
      <w:r>
        <w:rPr>
          <w:rFonts w:ascii="Arial" w:cs="Arial" w:eastAsia="Arial" w:hAnsi="Arial"/>
          <w:sz w:val="12"/>
          <w:szCs w:val="12"/>
          <w:color w:val="auto"/>
        </w:rPr>
        <w:t>Net income attributable to redeemable noncontrolling interests</w:t>
      </w:r>
    </w:p>
    <w:p>
      <w:pPr>
        <w:spacing w:after="0" w:line="6" w:lineRule="exact"/>
        <w:rPr>
          <w:sz w:val="20"/>
          <w:szCs w:val="20"/>
          <w:color w:val="auto"/>
        </w:rPr>
      </w:pPr>
    </w:p>
    <w:p>
      <w:pPr>
        <w:ind w:left="200" w:right="500" w:hanging="161"/>
        <w:spacing w:after="0" w:line="231"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41" w:lineRule="exact"/>
        <w:rPr>
          <w:sz w:val="20"/>
          <w:szCs w:val="20"/>
          <w:color w:val="auto"/>
        </w:rPr>
      </w:pPr>
    </w:p>
    <w:p>
      <w:pPr>
        <w:ind w:left="40" w:right="800"/>
        <w:spacing w:after="0" w:line="469" w:lineRule="auto"/>
        <w:rPr>
          <w:sz w:val="20"/>
          <w:szCs w:val="20"/>
          <w:color w:val="auto"/>
        </w:rPr>
      </w:pPr>
      <w:r>
        <w:rPr>
          <w:rFonts w:ascii="Arial" w:cs="Arial" w:eastAsia="Arial" w:hAnsi="Arial"/>
          <w:sz w:val="12"/>
          <w:szCs w:val="12"/>
          <w:color w:val="auto"/>
        </w:rPr>
        <w:t>Dividends paid on common stock Repurchase of Class B common stock</w:t>
      </w:r>
    </w:p>
    <w:p>
      <w:pPr>
        <w:spacing w:after="0" w:line="1" w:lineRule="exact"/>
        <w:rPr>
          <w:sz w:val="20"/>
          <w:szCs w:val="20"/>
          <w:color w:val="auto"/>
        </w:rPr>
      </w:pPr>
    </w:p>
    <w:p>
      <w:pPr>
        <w:ind w:left="20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40" w:right="240"/>
        <w:spacing w:after="0" w:line="405" w:lineRule="auto"/>
        <w:rPr>
          <w:sz w:val="20"/>
          <w:szCs w:val="20"/>
          <w:color w:val="auto"/>
        </w:rPr>
      </w:pPr>
      <w:r>
        <w:rPr>
          <w:rFonts w:ascii="Arial" w:cs="Arial" w:eastAsia="Arial" w:hAnsi="Arial"/>
          <w:sz w:val="14"/>
          <w:szCs w:val="14"/>
          <w:color w:val="auto"/>
        </w:rPr>
        <w:t xml:space="preserve">Other comprehensive loss, net of income taxes Taxes arising from employee stock plans Purchase of redeemable noncontrolling interest Exchange of redeemable noncontrolling interest </w:t>
      </w:r>
      <w:r>
        <w:rPr>
          <w:rFonts w:ascii="Arial" w:cs="Arial" w:eastAsia="Arial" w:hAnsi="Arial"/>
          <w:sz w:val="14"/>
          <w:szCs w:val="14"/>
          <w:b w:val="1"/>
          <w:bCs w:val="1"/>
          <w:color w:val="auto"/>
        </w:rPr>
        <w:t>As of December 31, 2016 Net income for the year</w:t>
      </w:r>
    </w:p>
    <w:p>
      <w:pPr>
        <w:spacing w:after="0" w:line="2" w:lineRule="exact"/>
        <w:rPr>
          <w:sz w:val="20"/>
          <w:szCs w:val="20"/>
          <w:color w:val="auto"/>
        </w:rPr>
      </w:pPr>
    </w:p>
    <w:p>
      <w:pPr>
        <w:ind w:left="200" w:right="420" w:hanging="161"/>
        <w:spacing w:after="0" w:line="247" w:lineRule="auto"/>
        <w:rPr>
          <w:sz w:val="20"/>
          <w:szCs w:val="20"/>
          <w:color w:val="auto"/>
        </w:rPr>
      </w:pPr>
      <w:r>
        <w:rPr>
          <w:rFonts w:ascii="Arial" w:cs="Arial" w:eastAsia="Arial" w:hAnsi="Arial"/>
          <w:sz w:val="14"/>
          <w:szCs w:val="14"/>
          <w:b w:val="1"/>
          <w:bCs w:val="1"/>
          <w:color w:val="auto"/>
        </w:rPr>
        <w:t>Acquisition of redeemable noncontrolling interest</w:t>
      </w:r>
    </w:p>
    <w:p>
      <w:pPr>
        <w:spacing w:after="0" w:line="20" w:lineRule="exact"/>
        <w:rPr>
          <w:sz w:val="20"/>
          <w:szCs w:val="20"/>
          <w:color w:val="auto"/>
        </w:rPr>
      </w:pPr>
    </w:p>
    <w:p>
      <w:pPr>
        <w:ind w:left="200" w:right="640" w:hanging="161"/>
        <w:spacing w:after="0" w:line="305" w:lineRule="auto"/>
        <w:rPr>
          <w:sz w:val="20"/>
          <w:szCs w:val="20"/>
          <w:color w:val="auto"/>
        </w:rPr>
      </w:pPr>
      <w:r>
        <w:rPr>
          <w:rFonts w:ascii="Arial" w:cs="Arial" w:eastAsia="Arial" w:hAnsi="Arial"/>
          <w:sz w:val="12"/>
          <w:szCs w:val="12"/>
          <w:b w:val="1"/>
          <w:bCs w:val="1"/>
          <w:color w:val="auto"/>
        </w:rPr>
        <w:t>Net income attributable to redeemable noncontrolling interests</w:t>
      </w:r>
    </w:p>
    <w:p>
      <w:pPr>
        <w:ind w:left="200" w:right="340" w:hanging="161"/>
        <w:spacing w:after="0" w:line="247" w:lineRule="auto"/>
        <w:rPr>
          <w:sz w:val="20"/>
          <w:szCs w:val="20"/>
          <w:color w:val="auto"/>
        </w:rPr>
      </w:pPr>
      <w:r>
        <w:rPr>
          <w:rFonts w:ascii="Arial" w:cs="Arial" w:eastAsia="Arial" w:hAnsi="Arial"/>
          <w:sz w:val="14"/>
          <w:szCs w:val="14"/>
          <w:b w:val="1"/>
          <w:bCs w:val="1"/>
          <w:color w:val="auto"/>
        </w:rPr>
        <w:t>Change in redemption value of redeemable noncontrolling interests</w:t>
      </w:r>
    </w:p>
    <w:p>
      <w:pPr>
        <w:spacing w:after="0" w:line="20" w:lineRule="exact"/>
        <w:rPr>
          <w:sz w:val="20"/>
          <w:szCs w:val="20"/>
          <w:color w:val="auto"/>
        </w:rPr>
      </w:pPr>
    </w:p>
    <w:p>
      <w:pPr>
        <w:ind w:left="40" w:right="640"/>
        <w:spacing w:after="0" w:line="469" w:lineRule="auto"/>
        <w:rPr>
          <w:sz w:val="20"/>
          <w:szCs w:val="20"/>
          <w:color w:val="auto"/>
        </w:rPr>
      </w:pPr>
      <w:r>
        <w:rPr>
          <w:rFonts w:ascii="Arial" w:cs="Arial" w:eastAsia="Arial" w:hAnsi="Arial"/>
          <w:sz w:val="12"/>
          <w:szCs w:val="12"/>
          <w:b w:val="1"/>
          <w:bCs w:val="1"/>
          <w:color w:val="auto"/>
        </w:rPr>
        <w:t>Dividends paid on common stock Repurchase of Class B common stock</w:t>
      </w:r>
    </w:p>
    <w:p>
      <w:pPr>
        <w:spacing w:after="0" w:line="1" w:lineRule="exact"/>
        <w:rPr>
          <w:sz w:val="20"/>
          <w:szCs w:val="20"/>
          <w:color w:val="auto"/>
        </w:rPr>
      </w:pPr>
    </w:p>
    <w:p>
      <w:pPr>
        <w:ind w:left="200" w:right="380" w:hanging="161"/>
        <w:spacing w:after="0" w:line="247"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20" w:lineRule="exact"/>
        <w:rPr>
          <w:sz w:val="20"/>
          <w:szCs w:val="20"/>
          <w:color w:val="auto"/>
        </w:rPr>
      </w:pPr>
    </w:p>
    <w:p>
      <w:pPr>
        <w:ind w:left="200" w:right="120" w:hanging="161"/>
        <w:spacing w:after="0" w:line="247"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20" w:lineRule="exact"/>
        <w:rPr>
          <w:sz w:val="20"/>
          <w:szCs w:val="20"/>
          <w:color w:val="auto"/>
        </w:rPr>
      </w:pPr>
    </w:p>
    <w:p>
      <w:pPr>
        <w:ind w:left="200" w:right="240" w:hanging="161"/>
        <w:spacing w:after="0" w:line="247" w:lineRule="auto"/>
        <w:rPr>
          <w:sz w:val="20"/>
          <w:szCs w:val="20"/>
          <w:color w:val="auto"/>
        </w:rPr>
      </w:pPr>
      <w:r>
        <w:rPr>
          <w:rFonts w:ascii="Arial" w:cs="Arial" w:eastAsia="Arial" w:hAnsi="Arial"/>
          <w:sz w:val="14"/>
          <w:szCs w:val="14"/>
          <w:b w:val="1"/>
          <w:bCs w:val="1"/>
          <w:color w:val="auto"/>
        </w:rPr>
        <w:t>Other comprehensive income, net of income taxes</w:t>
      </w:r>
    </w:p>
    <w:p>
      <w:pPr>
        <w:spacing w:after="0" w:line="20" w:lineRule="exact"/>
        <w:rPr>
          <w:sz w:val="20"/>
          <w:szCs w:val="20"/>
          <w:color w:val="auto"/>
        </w:rPr>
      </w:pPr>
    </w:p>
    <w:p>
      <w:pPr>
        <w:ind w:left="200" w:right="300" w:hanging="161"/>
        <w:spacing w:after="0" w:line="247" w:lineRule="auto"/>
        <w:rPr>
          <w:sz w:val="20"/>
          <w:szCs w:val="20"/>
          <w:color w:val="auto"/>
        </w:rPr>
      </w:pPr>
      <w:r>
        <w:rPr>
          <w:rFonts w:ascii="Arial" w:cs="Arial" w:eastAsia="Arial" w:hAnsi="Arial"/>
          <w:sz w:val="14"/>
          <w:szCs w:val="14"/>
          <w:b w:val="1"/>
          <w:bCs w:val="1"/>
          <w:color w:val="auto"/>
        </w:rPr>
        <w:t>Reclassification of stranded tax effects as a result of tax reform</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975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$ 19,025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303,789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6,008,506</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453,480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(3,645,476)</w:t>
            </w:r>
          </w:p>
        </w:tc>
        <w:tc>
          <w:tcPr>
            <w:tcW w:w="3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476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w w:val="99"/>
              </w:rPr>
              <w:t>3,140,775</w:t>
            </w:r>
          </w:p>
        </w:tc>
        <w:tc>
          <w:tcPr>
            <w:tcW w:w="3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21,904</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(99,220)</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(99,220)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w:t>
            </w: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(476)</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(1,435)</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(1,435)</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1,435</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(2,601)</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2,601</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(53,090)</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(53,090)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(631)</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(631)</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(22,979)</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(22,979)</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(13,244)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19,909</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6,665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57,115</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57,115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(139,658)</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(139,658)</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7,285</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(406,453)</w:t>
            </w:r>
          </w:p>
        </w:tc>
        <w:tc>
          <w:tcPr>
            <w:tcW w:w="2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858</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(398,310)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4,543</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4,543</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8"/>
        </w:trPr>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w:t>
            </w:r>
          </w:p>
        </w:tc>
      </w:tr>
      <w:tr>
        <w:trPr>
          <w:trHeight w:val="264"/>
        </w:trPr>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19,036</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356,887</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5,447,677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314,680</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(3,648,546)</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9"/>
              </w:rPr>
              <w:t>2,490,698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25,957</w:t>
            </w:r>
          </w:p>
        </w:tc>
      </w:tr>
      <w:tr>
        <w:trPr>
          <w:trHeight w:val="256"/>
        </w:trPr>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169,458</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169,458</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(868)</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868</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(3,026)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(3,026)</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3,026</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(27,325)</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(27,325)</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(108,948)</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(108,948)</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644</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14,717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14,717</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(78,194)</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(78,194)</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558</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558</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(24,031)</w:t>
            </w:r>
          </w:p>
        </w:tc>
      </w:tr>
      <w:tr>
        <w:trPr>
          <w:trHeight w:val="278"/>
        </w:trPr>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(4,076)</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(4,076)</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(5,770)</w:t>
            </w:r>
          </w:p>
        </w:tc>
      </w:tr>
      <w:tr>
        <w:trPr>
          <w:trHeight w:val="264"/>
        </w:trPr>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19,036</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364,363</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5,588,942</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236,486</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(3,756,850)</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9"/>
              </w:rPr>
              <w:t>2,452,941</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w:t>
            </w:r>
          </w:p>
        </w:tc>
      </w:tr>
      <w:tr>
        <w:trPr>
          <w:trHeight w:val="256"/>
        </w:trPr>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302,489</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302,489</w:t>
            </w: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3,666</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(445)</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(445)</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445</w:t>
            </w: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(446)</w:t>
            </w:r>
          </w:p>
        </w:tc>
        <w:tc>
          <w:tcPr>
            <w:tcW w:w="3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446</w:t>
            </w: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(28,329)</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(28,329)</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(50,770)</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(50,770)</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(4,401)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4,786</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385</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11,184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11,184</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228,136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228,136</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9"/>
        </w:trPr>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(70,933)</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70,933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64"/>
        </w:trPr>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964</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$ 19,036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370,700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5,791,724</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535,555</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(3,802,834)</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2,915,145</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4,607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ectPr>
          <w:pgSz w:w="11900" w:h="16838" w:orient="portrait"/>
          <w:cols w:equalWidth="0" w:num="2">
            <w:col w:w="3140" w:space="80"/>
            <w:col w:w="820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38" w:right="23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four categories: Kaplan International, Higher Education (KHE), Test Preparation (KTP) and Professional (U.S.).</w:t>
      </w:r>
    </w:p>
    <w:p>
      <w:pPr>
        <w:spacing w:after="0" w:line="99"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and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solutions provider.</w:t>
      </w:r>
    </w:p>
    <w:p>
      <w:pPr>
        <w:spacing w:after="0" w:line="103" w:lineRule="exact"/>
        <w:rPr>
          <w:sz w:val="20"/>
          <w:szCs w:val="20"/>
          <w:color w:val="auto"/>
        </w:rPr>
      </w:pPr>
    </w:p>
    <w:p>
      <w:pPr>
        <w:jc w:val="both"/>
        <w:ind w:right="60"/>
        <w:spacing w:after="0" w:line="280" w:lineRule="auto"/>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As of December 31, 2017, the Company owned seven television stations located in Houston, TX; Detroit, MI; Orlando,</w:t>
      </w:r>
      <w:r>
        <w:rPr>
          <w:rFonts w:ascii="Arial" w:cs="Arial" w:eastAsia="Arial" w:hAnsi="Arial"/>
          <w:sz w:val="17"/>
          <w:szCs w:val="17"/>
          <w:i w:val="1"/>
          <w:iCs w:val="1"/>
          <w:color w:val="auto"/>
        </w:rPr>
        <w:t xml:space="preserve"> </w:t>
      </w:r>
      <w:r>
        <w:rPr>
          <w:rFonts w:ascii="Arial" w:cs="Arial" w:eastAsia="Arial" w:hAnsi="Arial"/>
          <w:sz w:val="17"/>
          <w:szCs w:val="17"/>
          <w:color w:val="auto"/>
        </w:rPr>
        <w:t>FL; San Antonio, TX; Roanoke, VA; and two stations in Jacksonville, FL. All stations are network-affiliated except for WJXT in Jacksonville, FL.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home health and hospice services and manufacturing.</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color w:val="auto"/>
        </w:rPr>
        <w:t>Recasting of Prior Period Information</w:t>
      </w:r>
      <w:r>
        <w:rPr>
          <w:rFonts w:ascii="Arial" w:cs="Arial" w:eastAsia="Arial" w:hAnsi="Arial"/>
          <w:sz w:val="18"/>
          <w:szCs w:val="18"/>
          <w:color w:val="auto"/>
        </w:rPr>
        <w:t>—On January 1, 2018, the Company adopted new accounting guidance that changes the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net periodic pension cost and net periodic postretirement benefit cost for defined benefit plans. The guidance requires an issuer to disaggregate the service cost component of net periodic pension and postretirement benefit cost from other components and include the service cost in the same line item(s) as other compensation costs arising from services rendered by employees during the period. Other components of net periodic pension cost and net periodic postretirement benefit cost are recognized after income from operations. 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to the reclassified presentation.</w:t>
      </w:r>
    </w:p>
    <w:p>
      <w:pPr>
        <w:spacing w:after="0" w:line="13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March 22, 2018, Kaplan completed the sale of the institutional assets and operations of Kaplan University (KU) to an Indiana non-profit, public benefit corporation that is a subsidiary affiliated with Purdue University (Purdue) (see Note 3). As a result of the transaction, the Company reorganized its operations into the following six reportable segments for the purpose of making operating decisions and assessing performance: Kaplan Higher Education, Kaplan Professional (U.S.), Kaplan Test Preparation, Kaplan International, Television Broadcasting and Healthcare.</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Company has recast certain prior period amounts to reflect the adoption of the new presentation of net periodic pension cost and net periodic postretirement benefit cost for defined benefit plans; the reclassification of costs associated with fringe benefits between operating expenses and selling, general and administrative expenses; and the changes to the reportable segments that took effect in the first quarter of 2018. These changes impacted the following Notes to the Consolidated Financial Statements:</w:t>
      </w:r>
    </w:p>
    <w:p>
      <w:pPr>
        <w:spacing w:after="0" w:line="13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2 - Summary of Significant Accounting Policies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3 - Acquisitions and Dispositions of Businesses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9 - Goodwill and Other Intangible Assets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15 - Pensions and Other Postretirement Plans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20 - Business Segments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21 - Summary of Quarterly Operating Results and Comprehensive Income (Unaudited)</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changes had no impact on the Company's income (loss) from continuing operations or net income (loss) for any period reported in the Consolidated Statements of Operations. The changes affected the operating, and selling, general and administrative expenses, and decreased the income (loss) from operations for each reported period as a result of the adoption of the new accounting guidance that changes the presentation of net periodic pension cost and net periodic postretirement benefit cost for defined benefit plans. The changes referred to above had no impact on the Company's historical consolidated financial position or cash flows.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8" w:right="239" w:bottom="1440" w:gutter="0" w:footer="0" w:header="0"/>
        </w:sectPr>
      </w:pPr>
    </w:p>
    <w:bookmarkStart w:id="37" w:name="page38"/>
    <w:bookmarkEnd w:id="37"/>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2017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includes the reclassification of $19.8 million and $19.2 million from other revenue to advertising revenue in the Consolidated Statements of Operations for the years ended December 31, 2016 and 2015, respectively.</w:t>
      </w:r>
    </w:p>
    <w:p>
      <w:pPr>
        <w:spacing w:after="0" w:line="114"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16"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held for students that were received from U.S. Federal and state governments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aid grant and loan programs, such as Title IV of the U.S. Federal Higher Education Act of 1965 (Higher Education Act), as amended, that the Company is required to maintain pursuant to 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117"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11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b w:val="1"/>
          <w:bCs w:val="1"/>
          <w:color w:val="auto"/>
        </w:rPr>
        <w:t xml:space="preserve">Allowance for Doubtful Accounts. </w:t>
      </w:r>
      <w:r>
        <w:rPr>
          <w:rFonts w:ascii="Arial" w:cs="Arial" w:eastAsia="Arial" w:hAnsi="Arial"/>
          <w:sz w:val="17"/>
          <w:szCs w:val="17"/>
          <w:color w:val="auto"/>
        </w:rPr>
        <w:t>Accounts receivable have been reduced by an allowance for amounts that may be uncollectible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are recorded at fair value in the 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 The Company uses the average cost method to determine the basis of the securities sold or reclassified out of other comprehensive income.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4" w:right="239" w:bottom="1440" w:gutter="0" w:footer="0" w:header="0"/>
        </w:sectPr>
      </w:pPr>
    </w:p>
    <w:bookmarkStart w:id="38" w:name="page39"/>
    <w:bookmarkEnd w:id="38"/>
    <w:p>
      <w:pPr>
        <w:ind w:right="20"/>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17"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16"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16"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and FCC licenses. Amortized intangible assets are primarily student and customer relationships and trade names and trademarks, with amortization periods up to 10 years. Costs associated with renewing or extending intangible assets are insignificant and expensed as incurred.</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24" w:right="239" w:bottom="1440" w:gutter="0" w:footer="0" w:header="0"/>
        </w:sectPr>
      </w:pPr>
    </w:p>
    <w:bookmarkStart w:id="39" w:name="page40"/>
    <w:bookmarkEnd w:id="39"/>
    <w:p>
      <w:pPr>
        <w:ind w:right="360"/>
        <w:spacing w:after="0" w:line="225" w:lineRule="auto"/>
        <w:rPr>
          <w:sz w:val="20"/>
          <w:szCs w:val="20"/>
          <w:color w:val="auto"/>
        </w:rPr>
      </w:pPr>
      <w:r>
        <w:rPr>
          <w:rFonts w:ascii="Arial" w:cs="Arial" w:eastAsia="Arial" w:hAnsi="Arial"/>
          <w:sz w:val="18"/>
          <w:szCs w:val="18"/>
          <w:color w:val="auto"/>
        </w:rPr>
        <w:t>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1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income (expense), net, in the Company’s Consolidated Statements of Operations. Fair value estimates are based on a review of the investees’ product development activities, historical financial results and projected discounted cash flows. The Company includes cost method investments in deferred charges and other assets in the Company’s Consolidated Balance Sheets.</w:t>
      </w:r>
    </w:p>
    <w:p>
      <w:pPr>
        <w:spacing w:after="0" w:line="11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when persuasive evidence of an arrangement exists, the fees are fixed or determinable,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 has been delivered and collectability is reasonably assured. The Company considers the terms of each arrangement to determine the appropriate accounting treatment.</w:t>
      </w:r>
    </w:p>
    <w:p>
      <w:pPr>
        <w:spacing w:after="0" w:line="118"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Tuition revenue is recognized ratably over the period of instruction as services are delivered to students,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refunds, corporate discounts, scholarships and employee tuition discounts. At KTP, Professional (U.S.), and International divisions,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35"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KHE’s refund policy may permit students who do not complete a course to be eligible for a refund for 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i w:val="1"/>
          <w:iCs w:val="1"/>
          <w:color w:val="auto"/>
        </w:rPr>
        <w:t xml:space="preserve">Television broadcasting revenues. </w:t>
      </w:r>
      <w:r>
        <w:rPr>
          <w:rFonts w:ascii="Arial" w:cs="Arial" w:eastAsia="Arial" w:hAnsi="Arial"/>
          <w:sz w:val="18"/>
          <w:szCs w:val="18"/>
          <w:color w:val="auto"/>
        </w:rPr>
        <w:t>Advertising revenues are recognized, net of agency commissions, when the underlying advertisement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Retransmission revenues are recognized over the term of the agreement based on monthly subscriber counts and contractual rates.</w:t>
      </w:r>
    </w:p>
    <w:p>
      <w:pPr>
        <w:spacing w:after="0" w:line="107"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i w:val="1"/>
          <w:iCs w:val="1"/>
          <w:color w:val="auto"/>
        </w:rPr>
        <w:t>Revenue presentation</w:t>
      </w:r>
      <w:r>
        <w:rPr>
          <w:rFonts w:ascii="Arial" w:cs="Arial" w:eastAsia="Arial" w:hAnsi="Arial"/>
          <w:sz w:val="18"/>
          <w:szCs w:val="18"/>
          <w:color w:val="auto"/>
        </w:rPr>
        <w:t>. The determination of whether revenue should be reported on a gross or net basis is based on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SocialCode LLC (SocialCode), a wholly owned subsidiary, is a marketing and insights company that manages digital advertising for leading brands on digital media platforms like Facebook, Twitter, Instagram, Snapchat, Pinterest and YouTube. Donald E. Graham, the Chairman of the Company’s Board, was a member of the Board of</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40" w:name="page41"/>
    <w:bookmarkEnd w:id="40"/>
    <w:p>
      <w:pPr>
        <w:ind w:right="180"/>
        <w:spacing w:after="0" w:line="235" w:lineRule="auto"/>
        <w:rPr>
          <w:sz w:val="20"/>
          <w:szCs w:val="20"/>
          <w:color w:val="auto"/>
        </w:rPr>
      </w:pPr>
      <w:r>
        <w:rPr>
          <w:rFonts w:ascii="Arial" w:cs="Arial" w:eastAsia="Arial" w:hAnsi="Arial"/>
          <w:sz w:val="18"/>
          <w:szCs w:val="18"/>
          <w:color w:val="auto"/>
        </w:rPr>
        <w:t>Directors of Facebook, Inc. through June 10, 2015. SocialCode’s revenues are reported on a net basis; therefore, the Company’s Statements of Operations exclude the media acquisition costs incurred related to the relevant advertising platforms.</w:t>
      </w:r>
    </w:p>
    <w:p>
      <w:pPr>
        <w:spacing w:after="0" w:line="117"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Amounts received from customers in advance of revenue recognition are deferred as liabilities. Deferred revenue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after one year is included in other noncurrent liabilities in the Company’s Consolidated Balance Sheets.</w:t>
      </w:r>
    </w:p>
    <w:p>
      <w:pPr>
        <w:spacing w:after="0" w:line="103"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38"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Company’s Consolidated Balance Sheets for lease agreements that require payments in advance or deposits held for security that are refundable, less any damages, at the end of the respective lease.</w:t>
      </w:r>
    </w:p>
    <w:p>
      <w:pPr>
        <w:spacing w:after="0" w:line="11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are covered by these plans. The Company also provides healthcare and life insurance benefits to certain retired employees. These employees become eligible for benefits after meeting age and service requirements.</w:t>
      </w:r>
    </w:p>
    <w:p>
      <w:pPr>
        <w:spacing w:after="0" w:line="13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rate of compensation increase. The Company uses a measurement date of December 31 for its pension and other postretirement benefit plans.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6"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6" w:right="259" w:bottom="1440" w:gutter="0" w:footer="0" w:header="0"/>
        </w:sectPr>
      </w:pPr>
    </w:p>
    <w:bookmarkStart w:id="41" w:name="page42"/>
    <w:bookmarkEnd w:id="41"/>
    <w:p>
      <w:pPr>
        <w:ind w:right="360"/>
        <w:spacing w:after="0" w:line="235" w:lineRule="auto"/>
        <w:rPr>
          <w:sz w:val="20"/>
          <w:szCs w:val="20"/>
          <w:color w:val="auto"/>
        </w:rPr>
      </w:pPr>
      <w:r>
        <w:rPr>
          <w:rFonts w:ascii="Arial" w:cs="Arial" w:eastAsia="Arial" w:hAnsi="Arial"/>
          <w:sz w:val="18"/>
          <w:szCs w:val="18"/>
          <w:color w:val="auto"/>
        </w:rPr>
        <w:t>Gains and losses on foreign currency transactions, including foreign currency denominated intercompany loans on entities with a functional currency in U.S. dollars, are recognized in the Consolidated Statements of Operations.</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Graham Healthcare Group (GHG) which is 90% owned. The minority shareholders have an option to put their shares to the Company starting in 2020 and are required to put a percentage of their shares in 2022 and 2024, with the remaining shares required to be put by the minority shareholders in 2026. Since the noncontrolling interest is mandatorily redeemable by 2026, it is reported as a noncurrent liability at December 31, 2017, in the Consolidated Balance Sheets. The Company presents this liability at fair value, which is computed annually as the current redemption value. Changes in the redemption value are recorded as interest expense or income in the Company’s Consolidated Statements of Operations.</w:t>
      </w:r>
    </w:p>
    <w:p>
      <w:pPr>
        <w:spacing w:after="0" w:line="11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Hoover,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97.72% owned. The minority shareholders have an option to put some of their shares to the Company starting in 2019 and the remaining shares starting in 2021. The Company has an option to buy the shares of minority shareholders starting in 2027. The Company presents the redeemable noncontrolling interest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11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the change in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(losses) on investments in marketable equity securities, net changes in cash flow hedge and pension and other postretirement plan adjustments.</w:t>
      </w:r>
    </w:p>
    <w:p>
      <w:pPr>
        <w:spacing w:after="0" w:line="1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A disposal of a component is reported as discontinued operations if the disposal represents a strategic shift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or will have a major effect on the Company’s operations and financial results. The results of discontinued operations (as well as the gain or loss on the disposal) are aggregated and separately presented in the Company’s Consolidated Statements of Operations, net of income taxes.</w:t>
      </w:r>
    </w:p>
    <w:p>
      <w:pPr>
        <w:spacing w:after="0" w:line="11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will adopt the new guidance on January 1, 2018 using the modified retrospective approach, which requires a cumulative adjustment to retained earnings.</w:t>
      </w:r>
    </w:p>
    <w:p>
      <w:pPr>
        <w:spacing w:after="0" w:line="13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Upon adoption of the new guidance, the Company will record a net increase to the opening balance of retained earnings of approximately $7 million to $12 million. This adjustment primarily results from a change to the Company’s current treatment of certain commissions paid to employees and agents at its education division. The Company currently expenses such commissions as incurred. Under the new guidance, the Company expects to capitalize certain commission costs as an incremental cost of obtaining a contract and subsequently amortize the cost as the tuition services are delivered to students.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42" w:name="page43"/>
    <w:bookmarkEnd w:id="42"/>
    <w:p>
      <w:pPr>
        <w:ind w:right="80"/>
        <w:spacing w:after="0" w:line="224" w:lineRule="auto"/>
        <w:rPr>
          <w:sz w:val="20"/>
          <w:szCs w:val="20"/>
          <w:color w:val="auto"/>
        </w:rPr>
      </w:pPr>
      <w:r>
        <w:rPr>
          <w:rFonts w:ascii="Arial" w:cs="Arial" w:eastAsia="Arial" w:hAnsi="Arial"/>
          <w:sz w:val="18"/>
          <w:szCs w:val="18"/>
          <w:color w:val="auto"/>
        </w:rPr>
        <w:t>The Company has substantially completed its evaluation of the impact of adopting the new guidance, as well as its assessment of the need for any changes to the Company’s accounting policies and internal control structure. As a result, the Company will implement new processes and internal controls to enable the preparation of financial information on adoption. The Company is finalizing its evaluation of new disclosures required by the guidance to determine additional information that will need to be disclosed including the nature and timing of the Company’s performance obligations, deferred revenue contract liabilities, deferred contract cost assets, as well as significant judgments and practical expedients used by the Company in applying the new guidance.</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w:t>
      </w:r>
    </w:p>
    <w:p>
      <w:pPr>
        <w:spacing w:after="0" w:line="138" w:lineRule="exact"/>
        <w:rPr>
          <w:sz w:val="20"/>
          <w:szCs w:val="20"/>
          <w:color w:val="auto"/>
        </w:rPr>
      </w:pPr>
    </w:p>
    <w:p>
      <w:pPr>
        <w:ind w:right="400"/>
        <w:spacing w:after="0" w:line="225" w:lineRule="auto"/>
        <w:rPr>
          <w:sz w:val="20"/>
          <w:szCs w:val="20"/>
          <w:color w:val="auto"/>
        </w:rPr>
      </w:pPr>
      <w:r>
        <w:rPr>
          <w:rFonts w:ascii="Arial" w:cs="Arial" w:eastAsia="Arial" w:hAnsi="Arial"/>
          <w:sz w:val="18"/>
          <w:szCs w:val="18"/>
          <w:color w:val="auto"/>
        </w:rPr>
        <w:t>Upon adoption in the first quarter of 2018, the Company will record a cumulative adjustment of $194.9 million to retained earnings on its Consolidated Balance Sheet related to unrealized gains of available-for-sale securities, net of tax, previously classified within accumulated other comprehensive income, and will recognize any changes in fair value in net income. In addition, the Company expects to elect the measurement alternative to measure cost method investments that do not have a readily determinable fair value at cost less impairment, adjusted by observable price changes with any fair value changes recognized in net income.</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Consolidated Financial Statements; however, the recognition of right-of-use assets and lease liabilities is expected to have a material effect on its Consolidated Balance Sheet.</w:t>
      </w:r>
    </w:p>
    <w:p>
      <w:pPr>
        <w:spacing w:after="0" w:line="14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The Company adopted the new guidance as of January 1, 2017. As a result of adoption, the Company recognized a $5.9 million excess tax benefit as a discrete item in its tax provision related to the vesting of restricted stock awards in the first quarter of 2017. This tax benefit is classified as an operating activity on the Consolidated Statement of Cash Flows. Additionally, the Company elected to account for forfeitures of stock awards as they occur and not estimate a forfeiture rate. The Company does not expect the forfeiture rate election to have a material impact on its financial statements.</w:t>
      </w:r>
    </w:p>
    <w:p>
      <w:pPr>
        <w:spacing w:after="0" w:line="14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January 2017, the FASB issued new guidance which simplifies the subsequent measurement of goodwill. The new guidance eliminates Step 2 from the goodwill impairment test, which required entities to determine the implied fair value of goodwill as of the test date to measure a goodwill impairment charge. Instead, an entity should continue to test goodwill for impairment by comparing the fair value of a reporting unit with its carrying amount (Step 1), and an impairment charge will be recognized for the amount by which the carrying amount exceeds the reporting unit’s fair value. The guidance is effective for interim and fiscal years beginning after December 15, 2019, with early adoption permitted. The Company early adopted this guidance in the second quarter of 2017.</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6" w:right="259" w:bottom="1440" w:gutter="0" w:footer="0" w:header="0"/>
        </w:sectPr>
      </w:pPr>
    </w:p>
    <w:bookmarkStart w:id="43" w:name="page44"/>
    <w:bookmarkEnd w:id="43"/>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w:t>
      </w:r>
    </w:p>
    <w:p>
      <w:pPr>
        <w:spacing w:after="0" w:line="13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Company adopted the new standard in the first quarter of 2018. 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to the reclassified presentation. The effect of these changes to the Consolidated Statement of Operations for 2017, 2016 and 2015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b w:val="1"/>
                <w:bCs w:val="1"/>
                <w:color w:val="auto"/>
              </w:rPr>
              <w:t>As Previously</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Upon Adoption</w:t>
            </w:r>
          </w:p>
        </w:tc>
      </w:tr>
      <w:tr>
        <w:trPr>
          <w:trHeight w:val="25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2017</w:t>
            </w: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1,359,842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94,501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1,454,343</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909,592</w:t>
            </w:r>
          </w:p>
        </w:tc>
        <w:tc>
          <w:tcPr>
            <w:tcW w:w="32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(21,802)</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887,790</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209,102</w:t>
            </w:r>
          </w:p>
        </w:tc>
        <w:tc>
          <w:tcPr>
            <w:tcW w:w="32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(72,699)</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136,403</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72,699</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72,699</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182,789</w:t>
            </w:r>
          </w:p>
        </w:tc>
        <w:tc>
          <w:tcPr>
            <w:tcW w:w="3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182,789</w:t>
            </w:r>
          </w:p>
        </w:tc>
      </w:tr>
      <w:tr>
        <w:trPr>
          <w:trHeight w:val="513"/>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2016</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1,180,945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89,085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1,270,030</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904,517</w:t>
            </w:r>
          </w:p>
        </w:tc>
        <w:tc>
          <w:tcPr>
            <w:tcW w:w="32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(8,420)</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896,097</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303,534</w:t>
            </w:r>
          </w:p>
        </w:tc>
        <w:tc>
          <w:tcPr>
            <w:tcW w:w="32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(80,665)</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222,869</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80,665</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80,665</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250,658</w:t>
            </w:r>
          </w:p>
        </w:tc>
        <w:tc>
          <w:tcPr>
            <w:tcW w:w="3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250,658</w:t>
            </w:r>
          </w:p>
        </w:tc>
      </w:tr>
      <w:tr>
        <w:trPr>
          <w:trHeight w:val="513"/>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2015</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1,206,153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100,710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1,306,863</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1,104,163</w:t>
            </w:r>
          </w:p>
        </w:tc>
        <w:tc>
          <w:tcPr>
            <w:tcW w:w="32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(23,395)</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1,080,768</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Loss from Operations</w:t>
            </w:r>
          </w:p>
        </w:tc>
        <w:tc>
          <w:tcPr>
            <w:tcW w:w="112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(80,825)</w:t>
            </w:r>
          </w:p>
        </w:tc>
        <w:tc>
          <w:tcPr>
            <w:tcW w:w="32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(77,315)</w:t>
            </w: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(158,140)</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20" w:type="dxa"/>
            <w:vAlign w:val="bottom"/>
          </w:tcPr>
          <w:p>
            <w:pPr>
              <w:spacing w:after="0"/>
              <w:rPr>
                <w:sz w:val="23"/>
                <w:szCs w:val="23"/>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77,315</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77,315</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Loss from Continuing Operations Before Income Taxes</w:t>
            </w:r>
          </w:p>
        </w:tc>
        <w:tc>
          <w:tcPr>
            <w:tcW w:w="112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(120,890)</w:t>
            </w:r>
          </w:p>
        </w:tc>
        <w:tc>
          <w:tcPr>
            <w:tcW w:w="32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(120,890)</w:t>
            </w:r>
          </w:p>
        </w:tc>
      </w:tr>
    </w:tbl>
    <w:p>
      <w:pPr>
        <w:spacing w:after="0" w:line="16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February 2018, the FASB issued new guidance that allows an entity to elect to reclassify stranded tax effects resulting from the Tax Cuts and Jobs Act (the Tax Act) from accumulated other comprehensive income to retained earnings. If elected, the amount of the reclassification shall include the effect of the change in the U.S. federal corporate income tax rate on the gross deferred tax amount and related valuation allowances at the date of enactment of the Tax Act as well as other income tax effects of the Tax Act on items remaining in accumulated other comprehensive income. The guidance is effective for interim and fiscal years beginning after December 15, 2018, with early adoption permitted. The Company early adopted this guidance in the fourth quarter of 2017, and elected to reclassify the income tax effects of the Tax Act of $70.9 million from accumulated other comprehensive income to retained earnings. No other income tax effects related to the application of the Tax Act were reclassified.</w:t>
      </w:r>
    </w:p>
    <w:p>
      <w:pPr>
        <w:spacing w:after="0" w:line="13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Other new pronouncements issued but not effective until after December 31, 2017, are not expected to have a material impact on the Company’s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44" w:name="page45"/>
    <w:bookmarkEnd w:id="44"/>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2017, the Company acquired six businesses, two in its education division, two in its television broadcasting division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two in other businesses for $318.9 million in cash and contingent consideration, and the assumption of $59.1 million in certain pension and postretirement obligations. The assets and liabilities of the companies acquired have been recorded at their estimated fair values at the date of acquisition.</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7"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for $258.0 million. The assets and liabilities of the companies acquired were recorded at their estimated fair values at the date of acquisition. In January 2016, Kaplan acquired a 100% interest in Mander Portman Woodward, a leading provider of high-quality, bespoke education to United Kingdom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was based on several strategic benefits expected to be realized in the future. Both of these acquisitions are included in Kaplan International.</w:t>
      </w:r>
    </w:p>
    <w:p>
      <w:pPr>
        <w:spacing w:after="0" w:line="139"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3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During 2015, the Company acquired two businesses for $163.3 million. The assets and liabilities of the companies acquired have been recorded at their estimated fair values at the date of acquisition. On November 13, 2015, the Company acquired a 100% interest in Dekko, a Garrett, IN-based manufacturer of electrical solutions for applications across three business lines: workspace power solutions, architectural lighting and electrical components and assemblies, by purchasing all of the issued and outstanding shares. Dekko is included in other businesses. On December 22, 2015, Kaplan acquired a 100% interest in SmartPros, a provider of accredited professional education and training, primarily in accountancy, which is included in Professional (U.S.).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24" w:right="279" w:bottom="1440" w:gutter="0" w:footer="0" w:header="0"/>
        </w:sectPr>
      </w:pPr>
    </w:p>
    <w:bookmarkStart w:id="45" w:name="page46"/>
    <w:bookmarkEnd w:id="45"/>
    <w:p>
      <w:pPr>
        <w:spacing w:after="0" w:line="227" w:lineRule="auto"/>
        <w:rPr>
          <w:sz w:val="20"/>
          <w:szCs w:val="20"/>
          <w:color w:val="auto"/>
        </w:rPr>
      </w:pPr>
      <w:r>
        <w:rPr>
          <w:rFonts w:ascii="Arial" w:cs="Arial" w:eastAsia="Arial" w:hAnsi="Arial"/>
          <w:sz w:val="18"/>
          <w:szCs w:val="18"/>
          <w:color w:val="auto"/>
        </w:rPr>
        <w:t>Acquisition-related costs for acquisitions that closed during 2017 and 2016 were $4.1 million and $1.5 million, respectively, and expensed as incurred. Acquisition-related costs were not significant for 2015 and were expensed as incurred. The aggregate purchase price of these acquisitions was allocated as follows, based on acquisition date fair values to the following assets and liabilities (excluding measurement period adjustments recorded in subsequent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Purchase Price Allocation</w:t>
            </w:r>
          </w:p>
        </w:tc>
        <w:tc>
          <w:tcPr>
            <w:tcW w:w="960" w:type="dxa"/>
            <w:vAlign w:val="bottom"/>
            <w:tcBorders>
              <w:bottom w:val="single" w:sz="8" w:color="auto"/>
            </w:tcBorders>
          </w:tcPr>
          <w:p>
            <w:pPr>
              <w:spacing w:after="0"/>
              <w:rPr>
                <w:sz w:val="17"/>
                <w:szCs w:val="17"/>
                <w:color w:val="auto"/>
              </w:rPr>
            </w:pPr>
          </w:p>
        </w:tc>
      </w:tr>
      <w:tr>
        <w:trPr>
          <w:trHeight w:val="250"/>
        </w:trPr>
        <w:tc>
          <w:tcPr>
            <w:tcW w:w="7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2015</w:t>
            </w: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12,502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8,538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30,537</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25,253</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878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20,593</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29,921</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3,940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28,872</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143,149</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184,118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76,156</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33,800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53,110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7,400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170,658</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28,267</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31,900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1,880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1,420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1,213</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(59,116)</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(12,177)</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(21,892)</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(28,880)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(37,289)</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(11,009)</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(8,012)</w:t>
            </w:r>
          </w:p>
        </w:tc>
      </w:tr>
      <w:tr>
        <w:trPr>
          <w:trHeight w:val="283"/>
        </w:trPr>
        <w:tc>
          <w:tcPr>
            <w:tcW w:w="720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(3,666)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720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304,915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247,370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159,779</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fair values recorded were based upon valuations.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$11.0 million, $22.2 million and $20.0 million of goodwill for income tax purposes for the acquisitions completed in 2017, 2016 and 2015, respectively.</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2016, the Company recorded adjustments to the deferred taxes included in the preliminary purchase accounting of Dekko and SmartPros acquired in the fourth quarter of 2015. These adjustments resulted in a $20.0 million decrease to goodwill.</w:t>
      </w:r>
    </w:p>
    <w:p>
      <w:pPr>
        <w:spacing w:after="0" w:line="135"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revenues and operating income for the companies acquired in 2017 of $199.4 million and $4.5 million, respectively. The following unaudited pro forma financial information presents the Company’s results as if the current year acquisitions had occurred at the beginning of 2016. The unaudited pro forma information also includes the 2016 acquisitions as if they occurred at the beginning of 2015 and the 2015 acquisitions as if they had occurred at the beginning of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   2,655,601</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  2,750,416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2,804,663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311,274</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175,021</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(84,209)</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4).</w:t>
      </w:r>
    </w:p>
    <w:p>
      <w:pPr>
        <w:spacing w:after="0" w:line="9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the fourth quarter of 2017, Kaplan Australia completed the sale of a small business, which was included in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In February 2017, GHG completed the sale of Celtic Healthcare of Maryland.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21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746" w:right="239" w:bottom="1440" w:gutter="0" w:footer="0" w:header="0"/>
          <w:type w:val="continuous"/>
        </w:sectPr>
      </w:pPr>
    </w:p>
    <w:bookmarkStart w:id="46" w:name="page47"/>
    <w:bookmarkEnd w:id="46"/>
    <w:p>
      <w:pPr>
        <w:ind w:right="60"/>
        <w:spacing w:after="0" w:line="235" w:lineRule="auto"/>
        <w:rPr>
          <w:sz w:val="20"/>
          <w:szCs w:val="20"/>
          <w:color w:val="auto"/>
        </w:rPr>
      </w:pPr>
      <w:r>
        <w:rPr>
          <w:rFonts w:ascii="Arial" w:cs="Arial" w:eastAsia="Arial" w:hAnsi="Arial"/>
          <w:sz w:val="18"/>
          <w:szCs w:val="18"/>
          <w:color w:val="auto"/>
        </w:rPr>
        <w:t>equity interest in a vocational school company. KHE Campuses schools that were closed or were in the process of closing were not included in the sale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were sold as part of the KHE Campuses sale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720" w:type="dxa"/>
            <w:vAlign w:val="bottom"/>
          </w:tcPr>
          <w:p>
            <w:pPr>
              <w:jc w:val="right"/>
              <w:ind w:right="503"/>
              <w:spacing w:after="0"/>
              <w:rPr>
                <w:sz w:val="20"/>
                <w:szCs w:val="20"/>
                <w:color w:val="auto"/>
              </w:rPr>
            </w:pPr>
            <w:r>
              <w:rPr>
                <w:rFonts w:ascii="Arial" w:cs="Arial" w:eastAsia="Arial" w:hAnsi="Arial"/>
                <w:sz w:val="14"/>
                <w:szCs w:val="14"/>
                <w:b w:val="1"/>
                <w:bCs w:val="1"/>
                <w:color w:val="auto"/>
              </w:rPr>
              <w:t>Year Ended</w:t>
            </w:r>
          </w:p>
        </w:tc>
      </w:tr>
      <w:tr>
        <w:trPr>
          <w:trHeight w:val="22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5300" w:type="dxa"/>
            <w:vAlign w:val="bottom"/>
          </w:tcPr>
          <w:p>
            <w:pPr>
              <w:ind w:left="40"/>
              <w:spacing w:after="0"/>
              <w:rPr>
                <w:sz w:val="20"/>
                <w:szCs w:val="20"/>
                <w:color w:val="auto"/>
              </w:rPr>
            </w:pPr>
            <w:r>
              <w:rPr>
                <w:rFonts w:ascii="Arial" w:cs="Arial" w:eastAsia="Arial" w:hAnsi="Arial"/>
                <w:sz w:val="16"/>
                <w:szCs w:val="16"/>
                <w:color w:val="auto"/>
              </w:rPr>
              <w:t>Revenue</w:t>
            </w:r>
          </w:p>
        </w:tc>
        <w:tc>
          <w:tcPr>
            <w:tcW w:w="4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167,093</w:t>
            </w:r>
          </w:p>
        </w:tc>
      </w:tr>
      <w:tr>
        <w:trPr>
          <w:trHeight w:val="243"/>
        </w:trPr>
        <w:tc>
          <w:tcPr>
            <w:tcW w:w="5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44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(6,264)</w:t>
            </w:r>
          </w:p>
        </w:tc>
      </w:tr>
    </w:tbl>
    <w:p>
      <w:pPr>
        <w:spacing w:after="0" w:line="16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 (this amount is included in the above table).</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Professional (U.S.). As a result of these sales, the Company reported net losses in other non-operating income (expense) (see Note 16).</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Healthcare (Residential) and a Michigan hospital formed a joint venture to provide home health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western 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Healthcare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December 31, 2017.</w:t>
      </w:r>
    </w:p>
    <w:p>
      <w:pPr>
        <w:spacing w:after="0" w:line="13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January 2015, Celtic and Allegheny Health Network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 (see Note 4).</w:t>
      </w:r>
    </w:p>
    <w:p>
      <w:pPr>
        <w:spacing w:after="0" w:line="113"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Kaplan subsidiaries entered into a Contribution and Transfer Agreement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contribute Kaplan University (KU), its institutional assets and operations to a new, non-profit, public-benefit corporation affiliated with Purdue University (Purdue) in exchange for a Transition and Operations Support Agreement (TOSA) to provide key non-academic operations support to the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the Higher Learning Commission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7" w:name="page48"/>
    <w:bookmarkEnd w:id="47"/>
    <w:p>
      <w:pPr>
        <w:ind w:right="500"/>
        <w:spacing w:after="0" w:line="235" w:lineRule="auto"/>
        <w:rPr>
          <w:sz w:val="20"/>
          <w:szCs w:val="20"/>
          <w:color w:val="auto"/>
        </w:rPr>
      </w:pPr>
      <w:r>
        <w:rPr>
          <w:rFonts w:ascii="Arial" w:cs="Arial" w:eastAsia="Arial" w:hAnsi="Arial"/>
          <w:sz w:val="18"/>
          <w:szCs w:val="18"/>
          <w:color w:val="auto"/>
        </w:rPr>
        <w:t>approval will be obtained; however, a decision is not expected to be received until later in the first quarter of 2018. If the transaction is not consummated by April 30, 2018, either party may terminate the Transfer Agreement.</w:t>
      </w:r>
    </w:p>
    <w:p>
      <w:pPr>
        <w:spacing w:after="0" w:line="113"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the fourth quarter of 2017, Kaplan entered into an agreement to acquire the College for Financial Planning.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subject to regulatory approval from the HLC, which is not expected before June 2018.</w:t>
      </w:r>
    </w:p>
    <w:p>
      <w:pPr>
        <w:spacing w:after="0" w:line="99"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color w:val="auto"/>
        </w:rPr>
        <w:t xml:space="preserve">Subsequent Events (Unaudited). </w:t>
      </w:r>
      <w:r>
        <w:rPr>
          <w:rFonts w:ascii="Arial" w:cs="Arial" w:eastAsia="Arial" w:hAnsi="Arial"/>
          <w:sz w:val="18"/>
          <w:szCs w:val="18"/>
          <w:color w:val="auto"/>
        </w:rPr>
        <w:t>On March 22, 2018, Kaplan completed the contribution of the institutional assets and operations of KU to</w:t>
      </w:r>
      <w:r>
        <w:rPr>
          <w:rFonts w:ascii="Arial" w:cs="Arial" w:eastAsia="Arial" w:hAnsi="Arial"/>
          <w:sz w:val="18"/>
          <w:szCs w:val="18"/>
          <w:b w:val="1"/>
          <w:bCs w:val="1"/>
          <w:color w:val="auto"/>
        </w:rPr>
        <w:t xml:space="preserve"> </w:t>
      </w:r>
      <w:r>
        <w:rPr>
          <w:rFonts w:ascii="Arial" w:cs="Arial" w:eastAsia="Arial" w:hAnsi="Arial"/>
          <w:sz w:val="18"/>
          <w:szCs w:val="18"/>
          <w:color w:val="auto"/>
        </w:rPr>
        <w:t>Purdue University Global, an Indiana non-profit, public benefit corporation that is a subsidiary affiliated with Purdue University (Purdue). At the same time, the parties entered into a Transition and Operations Support Agreement (TOSA) pursuant to which Kaplan will provide key non-academic operations support to the new university. Purdue University Global will operate almost exclusively online as a new Indiana public university affiliated with Purdue.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On May 4, 2018, Kaplan acquired Professional Publications, Inc., an independent publisher of professional licensing exam review materials and recognized leader in engineering, surveying, architecture, and interior design licensure exam review.</w:t>
      </w:r>
    </w:p>
    <w:p>
      <w:pPr>
        <w:spacing w:after="0" w:line="113"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44"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as an independent,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Cable ONE is now an independent public company trading on the New York Stock Exchange under the symbol “CABO”. After the spin-off, the Company does not beneficially own any shares of Cable ONE common stock.</w:t>
      </w:r>
    </w:p>
    <w:p>
      <w:pPr>
        <w:spacing w:after="0" w:line="13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results of operations of Cable ONE are included in the Company’s Consolidated Statements of Operations as income from discontinued operations, net of tax, for all periods presented.</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order to implement the spin-off, the Company entered into certain agreements with Cable ONE to give effect to the legal and structural separation and to allocate various assets, liabilities and obligations between the Company and Cable ONE. In addition to executing the spin-off in the manner provided in the agreements, Cable ONE distributed $450 million in cash to the Company in June 2015 using the proceeds from their issuance of unsecured notes of $ 450 million. Also, in connection with the spin-off,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as discontinued operations in the Company’s Consolidated Financial Statements.</w:t>
      </w:r>
    </w:p>
    <w:p>
      <w:pPr>
        <w:spacing w:after="0" w:line="13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spin-off resulted in a modification of some of the Company’s outstanding restricted stock awards and stock options due to the equity restructuring on July 1, 2015. The holders of restricted stock awards received Cable ONE restricted common stock, on a pro rata basis, as part of the distribution, while the stock options were modified to add an antidilution provision. The modification of the restricted stock awards resulted in an estimated incremental stock compensation expense of $3.0 million that is being recognized over the remaining service periods of the unvested restricted stock awards through the end of 2018. The modification of some of the stock options resulted in an incremental stock compensation expense of $23.5 million, of which $18.8 million related to fully vested stock options was recognized as a one-time expense in the third quarter of 2015, with the remaining $4.7 million to be recognized over the remaining service periods of the unvested stock options through the end of 2018. The $18.8 million expense is included in the Company’s corporate office segment results and in selling, general and administrative in the Company’s Consolidated Statements of Operations.</w:t>
      </w:r>
    </w:p>
    <w:p>
      <w:pPr>
        <w:spacing w:after="0" w:line="14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As a result of the spin-off, Cable ONE assumed the liability related to their employees participating in the Company’s Supplemental Executive Retirement Plan (SERP), and the Company eliminated the accrual of pension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46" w:right="259" w:bottom="1440" w:gutter="0" w:footer="0" w:header="0"/>
        </w:sectPr>
      </w:pPr>
    </w:p>
    <w:bookmarkStart w:id="48" w:name="page49"/>
    <w:bookmarkEnd w:id="48"/>
    <w:p>
      <w:pPr>
        <w:ind w:right="300"/>
        <w:spacing w:after="0" w:line="229" w:lineRule="auto"/>
        <w:rPr>
          <w:sz w:val="20"/>
          <w:szCs w:val="20"/>
          <w:color w:val="auto"/>
        </w:rPr>
      </w:pPr>
      <w:r>
        <w:rPr>
          <w:rFonts w:ascii="Arial" w:cs="Arial" w:eastAsia="Arial" w:hAnsi="Arial"/>
          <w:sz w:val="18"/>
          <w:szCs w:val="18"/>
          <w:color w:val="auto"/>
        </w:rPr>
        <w:t>benefits for all Cable ONE employees related to their future service. As a result, the Company remeasured the accumulated and projected benefit obligation of the pension and SERP as of July 1, 2015. A pension curtailment gain of $2.2 million was recorded in the third quarter of 2015 in income from discontinued operations, net of tax.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divested the following assets and liabilities which net to $406.5 million, or $312.3 million net of cash retained by</w:t>
      </w:r>
    </w:p>
    <w:p>
      <w:pPr>
        <w:spacing w:after="0"/>
        <w:rPr>
          <w:sz w:val="20"/>
          <w:szCs w:val="20"/>
          <w:color w:val="auto"/>
        </w:rPr>
      </w:pPr>
      <w:r>
        <w:rPr>
          <w:rFonts w:ascii="Arial" w:cs="Arial" w:eastAsia="Arial" w:hAnsi="Arial"/>
          <w:sz w:val="18"/>
          <w:szCs w:val="18"/>
          <w:color w:val="auto"/>
        </w:rPr>
        <w:t>Cable ONE on the Distribution Date:</w:t>
      </w:r>
    </w:p>
    <w:p>
      <w:pPr>
        <w:sectPr>
          <w:pgSz w:w="11900" w:h="16838" w:orient="portrait"/>
          <w:cols w:equalWidth="0" w:num="1">
            <w:col w:w="11420"/>
          </w:cols>
          <w:pgMar w:left="240" w:top="746" w:right="239" w:bottom="557"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current assets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Indefinite-lived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Amortized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charges and other assets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borrowings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current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compensation and related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Liabilities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divested in the Spin-Off</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As of</w:t>
      </w:r>
    </w:p>
    <w:p>
      <w:pPr>
        <w:spacing w:after="0" w:line="1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July 1, 2015</w:t>
      </w:r>
    </w:p>
    <w:p>
      <w:pPr>
        <w:spacing w:after="0" w:line="93" w:lineRule="exact"/>
        <w:rPr>
          <w:sz w:val="20"/>
          <w:szCs w:val="20"/>
          <w:color w:val="auto"/>
        </w:rPr>
      </w:pPr>
    </w:p>
    <w:p>
      <w:pPr>
        <w:ind w:left="840" w:hanging="839"/>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94,115</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29,778</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14,182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138,075</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612,812</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85,488</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496,321</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510</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620" w:hanging="619"/>
        <w:spacing w:after="0"/>
        <w:tabs>
          <w:tab w:leader="none" w:pos="6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1,355,747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43" w:lineRule="exact"/>
        <w:rPr>
          <w:sz w:val="20"/>
          <w:szCs w:val="20"/>
          <w:color w:val="auto"/>
        </w:rPr>
      </w:pPr>
    </w:p>
    <w:p>
      <w:pPr>
        <w:ind w:left="840" w:hanging="839"/>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70,920</w:t>
      </w:r>
    </w:p>
    <w:p>
      <w:pPr>
        <w:spacing w:after="0" w:line="8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5"/>
          <w:szCs w:val="15"/>
          <w:color w:val="auto"/>
        </w:rPr>
        <w:t>2,962</w:t>
      </w:r>
    </w:p>
    <w:p>
      <w:pPr>
        <w:spacing w:after="0" w:line="98"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21,883</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98,265</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24,227</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57</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279,245</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547,500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760" w:hanging="759"/>
        <w:spacing w:after="0"/>
        <w:tabs>
          <w:tab w:leader="none" w:pos="76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949,294</w:t>
      </w:r>
    </w:p>
    <w:p>
      <w:pPr>
        <w:spacing w:after="0" w:line="329" w:lineRule="exact"/>
        <w:rPr>
          <w:rFonts w:ascii="Arial" w:cs="Arial" w:eastAsia="Arial" w:hAnsi="Arial"/>
          <w:sz w:val="16"/>
          <w:szCs w:val="16"/>
          <w:b w:val="1"/>
          <w:bCs w:val="1"/>
          <w:color w:val="auto"/>
        </w:rPr>
      </w:pPr>
    </w:p>
    <w:p>
      <w:pPr>
        <w:ind w:left="760" w:hanging="759"/>
        <w:spacing w:after="0"/>
        <w:tabs>
          <w:tab w:leader="none" w:pos="76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406,453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48895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-130175</wp:posOffset>
            </wp:positionV>
            <wp:extent cx="934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-293370</wp:posOffset>
            </wp:positionV>
            <wp:extent cx="934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00" w:space="720"/>
            <w:col w:w="1500"/>
          </w:cols>
          <w:pgMar w:left="240" w:top="746" w:right="239" w:bottom="557" w:gutter="0" w:footer="0" w:header="0"/>
          <w:type w:val="continuous"/>
        </w:sectPr>
      </w:pPr>
    </w:p>
    <w:p>
      <w:pPr>
        <w:spacing w:after="0" w:line="25" w:lineRule="exact"/>
        <w:rPr>
          <w:sz w:val="20"/>
          <w:szCs w:val="20"/>
          <w:color w:val="auto"/>
        </w:rPr>
      </w:pPr>
    </w:p>
    <w:p>
      <w:pPr>
        <w:jc w:val="both"/>
        <w:ind w:right="540"/>
        <w:spacing w:after="0" w:line="229" w:lineRule="auto"/>
        <w:rPr>
          <w:sz w:val="20"/>
          <w:szCs w:val="20"/>
          <w:color w:val="auto"/>
        </w:rPr>
      </w:pPr>
      <w:r>
        <w:rPr>
          <w:rFonts w:ascii="Arial" w:cs="Arial" w:eastAsia="Arial" w:hAnsi="Arial"/>
          <w:sz w:val="18"/>
          <w:szCs w:val="18"/>
          <w:color w:val="auto"/>
        </w:rPr>
        <w:t>Cash flows from Cable ONE for the year ended December 31, 2015 are combined with the cash flows from operations within each of the categories presented. Net Cash Provided by Operating Activities was $109.8 million and Net Cash Used in Investing Activities was $74.4 million.</w:t>
      </w:r>
    </w:p>
    <w:p>
      <w:pPr>
        <w:spacing w:after="0" w:line="11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 xml:space="preserve">Spin-Off Costs: </w:t>
      </w:r>
      <w:r>
        <w:rPr>
          <w:rFonts w:ascii="Arial" w:cs="Arial" w:eastAsia="Arial" w:hAnsi="Arial"/>
          <w:sz w:val="18"/>
          <w:szCs w:val="18"/>
          <w:color w:val="auto"/>
        </w:rPr>
        <w:t>One-time spin-off transaction, financing and related costs of $7.4 million in 2015 are included in discontinued operations,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tax.</w:t>
      </w:r>
    </w:p>
    <w:p>
      <w:pPr>
        <w:spacing w:after="0" w:line="10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An additional school in China was sold by Kaplan in January 2015 that resulted in a pre-tax loss of $0.7 million.</w:t>
      </w:r>
    </w:p>
    <w:p>
      <w:pPr>
        <w:spacing w:after="0" w:line="13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results of operations of Cable ONE and the school in China for 2015, where applicable, are included in the Company’s Consolidated Statements of Operations as income from discontinued operations, net of tax. The Company did not reclassify its Consolidated Statements of Cash Flows to reflect the discontinued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520"/>
              <w:spacing w:after="0"/>
              <w:rPr>
                <w:sz w:val="20"/>
                <w:szCs w:val="20"/>
                <w:color w:val="auto"/>
              </w:rPr>
            </w:pPr>
            <w:r>
              <w:rPr>
                <w:rFonts w:ascii="Arial" w:cs="Arial" w:eastAsia="Arial" w:hAnsi="Arial"/>
                <w:sz w:val="14"/>
                <w:szCs w:val="14"/>
                <w:color w:val="auto"/>
              </w:rPr>
              <w:t>Year Ended</w:t>
            </w:r>
          </w:p>
        </w:tc>
      </w:tr>
      <w:tr>
        <w:trPr>
          <w:trHeight w:val="22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December 31, 2015</w:t>
            </w:r>
          </w:p>
        </w:tc>
      </w:tr>
      <w:tr>
        <w:trPr>
          <w:trHeight w:val="223"/>
        </w:trPr>
        <w:tc>
          <w:tcPr>
            <w:tcW w:w="94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397,404</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(325,379)</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72,025</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Non-operating expense</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240" w:type="dxa"/>
            <w:vAlign w:val="bottom"/>
          </w:tcPr>
          <w:p>
            <w:pPr>
              <w:spacing w:after="0"/>
              <w:rPr>
                <w:sz w:val="19"/>
                <w:szCs w:val="19"/>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70,737</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27,783</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240" w:type="dxa"/>
            <w:vAlign w:val="bottom"/>
          </w:tcPr>
          <w:p>
            <w:pPr>
              <w:spacing w:after="0"/>
              <w:rPr>
                <w:sz w:val="19"/>
                <w:szCs w:val="19"/>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42,954</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Loss on disposition of discontinued operations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Provision for income taxes on disposition of discontinued operations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r>
      <w:tr>
        <w:trPr>
          <w:trHeight w:val="240"/>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42,170</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557"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746" w:right="239" w:bottom="557" w:gutter="0" w:footer="0" w:header="0"/>
          <w:type w:val="continuous"/>
        </w:sectPr>
      </w:pPr>
    </w:p>
    <w:bookmarkStart w:id="49" w:name="page50"/>
    <w:bookmarkEnd w:id="49"/>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b w:val="1"/>
          <w:bCs w:val="1"/>
          <w:color w:val="auto"/>
        </w:rPr>
        <w:t xml:space="preserve">Commercial Paper and Money Market Investments. </w:t>
      </w:r>
      <w:r>
        <w:rPr>
          <w:rFonts w:ascii="Arial" w:cs="Arial" w:eastAsia="Arial" w:hAnsi="Arial"/>
          <w:sz w:val="18"/>
          <w:szCs w:val="18"/>
          <w:color w:val="auto"/>
        </w:rPr>
        <w:t>As of December 31, 2017 and 2016, the Company had commercial paper and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investments of $217.6 million and $485.1 million, respectively, that are classified as cash, cash equivalents and restricted cash in the Company’s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269,343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269,343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266,972</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154,886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536,315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424,229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At December 31, 2017 and 2016, the Company owned 28,000 shares in Markel Corporation (Markel) valued at $31.9 million and $25.3 million, respectively. The Co-Chief Executive Officer of Markel, Mr. Thomas S. Gayner, is a member of the Company’s Board of Directors.</w:t>
      </w:r>
    </w:p>
    <w:p>
      <w:pPr>
        <w:spacing w:after="0" w:line="81"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There were no purchases or sales of marketable equity securities during 2017. The Company settled on $48.3 million of marketable equity securities during 2016, of which $47.9 million was purchased during the year. The Company invested $146.2 million in marketable equity securities during 2015. During 2016, proceeds from sales of marketable equity securities were $29.7 million, resulting in gross realized losses of $8.1 million and gross realized gains of $6.2 million.</w:t>
      </w:r>
    </w:p>
    <w:p>
      <w:pPr>
        <w:spacing w:after="0" w:line="5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During 2017, the Company acquired approximately 11% of Intersection Holdings, LLC, a company that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marketing and advertising services and products for cities, transit systems, airports, and other public and private spaces, which is accounted for as an investment in affiliate. As of December 31, 2017, the Company held interests in several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(see Note 3). For the year ended December 31, 2017 and 2016, the Company recorded $18.3 million and $14.9 million, respectively, in revenue for services provided to the affiliates of GHG.</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In July 2016, Kaplan International Holdings Limited (KIHL) entered into an agreement with University of York International Pathway College LLP (York International College) to loan the LLP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In the second half of 2016, KIHL advanced approximately £11.0 million to York International College. In 2017, an additional £5.0 million was advanced to York International College.</w:t>
      </w:r>
    </w:p>
    <w:p>
      <w:pPr>
        <w:spacing w:after="0" w:line="14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As a result of operating losses, in the fourth quarter of 2017, the Company recorded a $2.8 million write-down on its investment in an affiliate. As a result of the challenging industry operating environment and operating losses, in the fourth quarter of 2016, the Company recorded an $8.4 million write-down on its investment in HomeHero, a company that managed an online senior home care marketplace.</w:t>
      </w:r>
    </w:p>
    <w:p>
      <w:pPr>
        <w:spacing w:after="0" w:line="11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Trade accounts receivable, less doubtful accounts of $22,975 and $26,723</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600,215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591,854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20,104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23,247</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620,319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615,101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2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changes in allowance for doubtful accounts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44"/>
              <w:spacing w:after="0"/>
              <w:rPr>
                <w:sz w:val="20"/>
                <w:szCs w:val="20"/>
                <w:color w:val="auto"/>
              </w:rPr>
            </w:pPr>
            <w:r>
              <w:rPr>
                <w:rFonts w:ascii="Arial" w:cs="Arial" w:eastAsia="Arial" w:hAnsi="Arial"/>
                <w:sz w:val="14"/>
                <w:szCs w:val="14"/>
                <w:b w:val="1"/>
                <w:bCs w:val="1"/>
                <w:color w:val="auto"/>
              </w:rPr>
              <w:t>Additions –</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rPr>
              <w:t>Balance</w:t>
            </w:r>
          </w:p>
        </w:tc>
      </w:tr>
      <w:tr>
        <w:trPr>
          <w:trHeight w:val="162"/>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080" w:type="dxa"/>
            <w:vAlign w:val="bottom"/>
          </w:tcPr>
          <w:p>
            <w:pPr>
              <w:jc w:val="center"/>
              <w:ind w:right="164"/>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rPr>
              <w:t>at</w:t>
            </w:r>
          </w:p>
        </w:tc>
      </w:tr>
      <w:tr>
        <w:trPr>
          <w:trHeight w:val="162"/>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center"/>
              <w:ind w:right="83"/>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080" w:type="dxa"/>
            <w:vAlign w:val="bottom"/>
          </w:tcPr>
          <w:p>
            <w:pPr>
              <w:jc w:val="center"/>
              <w:ind w:right="144"/>
              <w:spacing w:after="0"/>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rPr>
              <w:t>End of</w:t>
            </w:r>
          </w:p>
        </w:tc>
      </w:tr>
      <w:tr>
        <w:trPr>
          <w:trHeight w:val="19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Deductions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Period</w:t>
            </w:r>
          </w:p>
        </w:tc>
      </w:tr>
      <w:tr>
        <w:trPr>
          <w:trHeight w:val="25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26,723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24"/>
              <w:spacing w:after="0"/>
              <w:rPr>
                <w:sz w:val="20"/>
                <w:szCs w:val="20"/>
                <w:color w:val="auto"/>
              </w:rPr>
            </w:pPr>
            <w:r>
              <w:rPr>
                <w:rFonts w:ascii="Arial" w:cs="Arial" w:eastAsia="Arial" w:hAnsi="Arial"/>
                <w:sz w:val="16"/>
                <w:szCs w:val="16"/>
                <w:b w:val="1"/>
                <w:bCs w:val="1"/>
                <w:color w:val="auto"/>
              </w:rPr>
              <w:t>33,830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(37,578)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22,975</w:t>
            </w:r>
          </w:p>
        </w:tc>
      </w:tr>
      <w:tr>
        <w:trPr>
          <w:trHeight w:val="270"/>
        </w:trPr>
        <w:tc>
          <w:tcPr>
            <w:tcW w:w="5820" w:type="dxa"/>
            <w:vAlign w:val="bottom"/>
          </w:tcPr>
          <w:p>
            <w:pPr>
              <w:ind w:left="40"/>
              <w:spacing w:after="0"/>
              <w:rPr>
                <w:sz w:val="20"/>
                <w:szCs w:val="20"/>
                <w:color w:val="auto"/>
              </w:rPr>
            </w:pPr>
            <w:r>
              <w:rPr>
                <w:rFonts w:ascii="Arial" w:cs="Arial" w:eastAsia="Arial" w:hAnsi="Arial"/>
                <w:sz w:val="16"/>
                <w:szCs w:val="16"/>
                <w:color w:val="auto"/>
              </w:rPr>
              <w:t>2016</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27,854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4"/>
              <w:spacing w:after="0"/>
              <w:rPr>
                <w:sz w:val="20"/>
                <w:szCs w:val="20"/>
                <w:color w:val="auto"/>
              </w:rPr>
            </w:pPr>
            <w:r>
              <w:rPr>
                <w:rFonts w:ascii="Arial" w:cs="Arial" w:eastAsia="Arial" w:hAnsi="Arial"/>
                <w:sz w:val="16"/>
                <w:szCs w:val="16"/>
                <w:color w:val="auto"/>
              </w:rPr>
              <w:t>29,718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(30,849)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26,723</w:t>
            </w:r>
          </w:p>
        </w:tc>
      </w:tr>
      <w:tr>
        <w:trPr>
          <w:trHeight w:val="270"/>
        </w:trPr>
        <w:tc>
          <w:tcPr>
            <w:tcW w:w="5820" w:type="dxa"/>
            <w:vAlign w:val="bottom"/>
          </w:tcPr>
          <w:p>
            <w:pPr>
              <w:ind w:left="40"/>
              <w:spacing w:after="0"/>
              <w:rPr>
                <w:sz w:val="20"/>
                <w:szCs w:val="20"/>
                <w:color w:val="auto"/>
              </w:rPr>
            </w:pPr>
            <w:r>
              <w:rPr>
                <w:rFonts w:ascii="Arial" w:cs="Arial" w:eastAsia="Arial" w:hAnsi="Arial"/>
                <w:sz w:val="16"/>
                <w:szCs w:val="16"/>
                <w:color w:val="auto"/>
              </w:rPr>
              <w:t>2015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32,598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4"/>
              <w:spacing w:after="0"/>
              <w:rPr>
                <w:sz w:val="20"/>
                <w:szCs w:val="20"/>
                <w:color w:val="auto"/>
              </w:rPr>
            </w:pPr>
            <w:r>
              <w:rPr>
                <w:rFonts w:ascii="Arial" w:cs="Arial" w:eastAsia="Arial" w:hAnsi="Arial"/>
                <w:sz w:val="16"/>
                <w:szCs w:val="16"/>
                <w:color w:val="auto"/>
              </w:rPr>
              <w:t>39,982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(44,726)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27,854</w:t>
            </w:r>
          </w:p>
        </w:tc>
      </w:tr>
      <w:tr>
        <w:trPr>
          <w:trHeight w:val="384"/>
        </w:trPr>
        <w:tc>
          <w:tcPr>
            <w:tcW w:w="5820" w:type="dxa"/>
            <w:vAlign w:val="bottom"/>
          </w:tcPr>
          <w:p>
            <w:pPr>
              <w:spacing w:after="0"/>
              <w:rPr>
                <w:sz w:val="20"/>
                <w:szCs w:val="20"/>
                <w:color w:val="auto"/>
              </w:rPr>
            </w:pPr>
            <w:r>
              <w:rPr>
                <w:rFonts w:ascii="Arial" w:cs="Arial" w:eastAsia="Arial" w:hAnsi="Arial"/>
                <w:sz w:val="18"/>
                <w:szCs w:val="18"/>
                <w:color w:val="auto"/>
              </w:rPr>
              <w:t>Accounts payable and accrued liabilities consist of the following:</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6"/>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2016</w:t>
            </w:r>
          </w:p>
        </w:tc>
      </w:tr>
      <w:tr>
        <w:trPr>
          <w:trHeight w:val="250"/>
        </w:trPr>
        <w:tc>
          <w:tcPr>
            <w:tcW w:w="58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385,927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352,356</w:t>
            </w:r>
          </w:p>
        </w:tc>
      </w:tr>
      <w:tr>
        <w:trPr>
          <w:trHeight w:val="283"/>
        </w:trPr>
        <w:tc>
          <w:tcPr>
            <w:tcW w:w="582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140,396</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148,370</w:t>
            </w:r>
          </w:p>
        </w:tc>
      </w:tr>
      <w:tr>
        <w:trPr>
          <w:trHeight w:val="264"/>
        </w:trPr>
        <w:tc>
          <w:tcPr>
            <w:tcW w:w="5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526,323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500,726</w:t>
            </w:r>
          </w:p>
        </w:tc>
      </w:tr>
      <w:tr>
        <w:trPr>
          <w:trHeight w:val="20"/>
        </w:trPr>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Cash overdrafts of $6.0 million and $15.5 million are included in accounts payable and accrued liabilities at December 31, 2017 and 2016, respectively.</w:t>
      </w:r>
    </w:p>
    <w:p>
      <w:pPr>
        <w:spacing w:after="0" w:line="11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CONTRACTS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30,429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20,646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10,258</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5,368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18,851</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8,490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1,074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314</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60,612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34,818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16,190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10,410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107,932</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88,256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387,914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433,652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215,445</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209,612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16,649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36,728</w:t>
            </w:r>
          </w:p>
        </w:tc>
      </w:tr>
      <w:tr>
        <w:trPr>
          <w:trHeight w:val="251"/>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744,130</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778,658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(484,772)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(544,994)</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259,358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233,664</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$62.5 million, $64.6 million and $77.9 million in 2017, 2016 and 2015, respectively.</w:t>
      </w:r>
    </w:p>
    <w:p>
      <w:pPr>
        <w:spacing w:after="0" w:line="144"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Company capitalized $0.3 million and $0.4 million of interest related to the construction of a building in 2017 and 2016, respectively. No interest expense was capitalized in 2015.</w:t>
      </w:r>
    </w:p>
    <w:p>
      <w:pPr>
        <w:spacing w:after="0" w:line="135" w:lineRule="exact"/>
        <w:rPr>
          <w:sz w:val="20"/>
          <w:szCs w:val="20"/>
          <w:color w:val="auto"/>
        </w:rPr>
      </w:pPr>
    </w:p>
    <w:p>
      <w:pPr>
        <w:jc w:val="both"/>
        <w:ind w:right="360"/>
        <w:spacing w:after="0" w:line="229" w:lineRule="auto"/>
        <w:rPr>
          <w:sz w:val="20"/>
          <w:szCs w:val="20"/>
          <w:color w:val="auto"/>
        </w:rPr>
      </w:pPr>
      <w:r>
        <w:rPr>
          <w:rFonts w:ascii="Arial" w:cs="Arial" w:eastAsia="Arial" w:hAnsi="Arial"/>
          <w:sz w:val="18"/>
          <w:szCs w:val="18"/>
          <w:color w:val="auto"/>
        </w:rPr>
        <w:t>In the second quarter of 2017, as a result of a challenging operating environment, Forney recorded a $0.6 million impairment charge. In the third quarter of 2017, GHG recorded an impairment charge of $0.4 million. The Company estimated the fair value of the property, plant and equipment using a market approach. Forney and GHG are included in other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as a result of the sale of Kaplan’s KHE Campuses business, Kaplan recorded a $6.9 million impairment charge.</w:t>
      </w:r>
    </w:p>
    <w:p>
      <w:pPr>
        <w:spacing w:after="0"/>
        <w:rPr>
          <w:sz w:val="20"/>
          <w:szCs w:val="20"/>
          <w:color w:val="auto"/>
        </w:rPr>
      </w:pPr>
      <w:r>
        <w:rPr>
          <w:rFonts w:ascii="Arial" w:cs="Arial" w:eastAsia="Arial" w:hAnsi="Arial"/>
          <w:sz w:val="18"/>
          <w:szCs w:val="18"/>
          <w:color w:val="auto"/>
        </w:rPr>
        <w:t>The Company estimated the fair value of the property, plant and equipment using a market approach.</w:t>
      </w:r>
    </w:p>
    <w:p>
      <w:pPr>
        <w:spacing w:after="0" w:line="122"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The Company reorganized its operations in the first quarter of 2018 into the following six operating segments for the purpose of making operating decisions and assessing performance: Higher Education, Professional (U.S.), Test</w:t>
      </w:r>
    </w:p>
    <w:p>
      <w:pPr>
        <w:sectPr>
          <w:pgSz w:w="11900" w:h="16838" w:orient="portrait"/>
          <w:cols w:equalWidth="0" w:num="1">
            <w:col w:w="11420"/>
          </w:cols>
          <w:pgMar w:left="240" w:top="746" w:right="239" w:bottom="1002"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746" w:right="239" w:bottom="1002" w:gutter="0" w:footer="0" w:header="0"/>
          <w:type w:val="continuous"/>
        </w:sectPr>
      </w:pPr>
    </w:p>
    <w:bookmarkStart w:id="51" w:name="page52"/>
    <w:bookmarkEnd w:id="51"/>
    <w:p>
      <w:pPr>
        <w:ind w:right="160"/>
        <w:spacing w:after="0" w:line="225" w:lineRule="auto"/>
        <w:rPr>
          <w:sz w:val="20"/>
          <w:szCs w:val="20"/>
          <w:color w:val="auto"/>
        </w:rPr>
      </w:pPr>
      <w:r>
        <w:rPr>
          <w:rFonts w:ascii="Arial" w:cs="Arial" w:eastAsia="Arial" w:hAnsi="Arial"/>
          <w:sz w:val="18"/>
          <w:szCs w:val="18"/>
          <w:color w:val="auto"/>
        </w:rPr>
        <w:t>Preparation, Kaplan International, Television Broadcasting and Healthcare (see Note 20). The reorganization changed the composition of the reporting units within the education division, and resulted in the reassignment of the assets and liabilities to the reporting units affected. The goodwill was allocated to the affected reporting units using the relative fair value approach. As a result of the reassignment and allocation, the Company performed an interim review of the carrying value of goodwill at the education division for possible impairment on both a pre and post-reorganization basis. No impairment of goodwill was indicated at the pre- and post-reorganization reporting units.</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intangible asset impairment charge of $8.6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 Forney is included in other businesses.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In the fourth quarter of 2016, as a result of the challenging industry operating environment and operating losses, one of the businesses in the other businesses segment recorded a goodwill impairment charge of $1.6 million.</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the third quarter of 2015, as a result of continued declines in student enrollments at KHE and the challenging industry operating environment, the Company performed an interim impairment review of its goodwill and long-lived assets at the KHE reporting unit. The KHE reporting unit failed the step one goodwill impairment test. As a result of the step two analysis, the Company recorded a $248.6 million goodwill impairment charge. The Company estimated the fair value of the KHE reporting unit utilizing a discounted cash flow model, supported by a market approach. A substantial portion of the impairment charge is due to the amount of unrecognized intangible assets identified in the step two analysis.</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addition, in the fourth quarter of 2015, Kaplan recorded intangible asset impairment charges of $0.9 million related to one of the Kaplan International businesses and $0.5 million related to a KTP business. The fair values of these intangible assets were estimated using an income approach. In November 2015, the Company announced that Trove, a digital innovation team included in other businesses, would largely be integrated into SocialCode and that Trove’s existing offerings would be discontinued. In connection with this action, the Company recorded a $2.8 million goodwill impairment charge in the fourth quarter of 2015.</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Amortization of intangible assets for the years ended December 31, 2017, 2016 and 2015, was $41.2 million, $ 26.7 million and $19.0 million, respectively. Amortization of intangible assets is estimated to be approximately $41 million in 2018, $39 million in 2019, $36 million in 2020, $31 million in 2021, $25 million in 2022 and $66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Healthcare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1,006,096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62,440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140,374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1,377,255</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(359,742)</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655,246</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62,440</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131,482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1,017,513</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Measurement period adjustment</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(2,781)</w:t>
            </w: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(17,243)</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(20,024)</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161,938</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22,180</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184,118</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(54,250)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(54,250)</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1,111,003</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59,640</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142,501</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1,481,489</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(358,535)</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760,153</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59,640</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134,816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1,122,954</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19,174</w:t>
            </w: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22,470</w:t>
            </w:r>
          </w:p>
        </w:tc>
        <w:tc>
          <w:tcPr>
            <w:tcW w:w="30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10,181</w:t>
            </w:r>
          </w:p>
        </w:tc>
        <w:tc>
          <w:tcPr>
            <w:tcW w:w="26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91,324</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143,149</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(412)</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41,635</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41,635</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3"/>
                <w:szCs w:val="23"/>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1,171,812</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69,409</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233,825</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1,665,861</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(366,151)</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820,962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69,409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218,524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1,299,710</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746"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2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447,541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205,494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186,963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1,006,096</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447,541</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74,471</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69,395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655,246</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Measurement period adjustment</w:t>
            </w:r>
          </w:p>
        </w:tc>
        <w:tc>
          <w:tcPr>
            <w:tcW w:w="20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(2,781)</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(2,781)</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161,938</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161,938</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(54,294)</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(54,250)</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555,185</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205,494</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184,226</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1,111,003</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555,185</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74,471</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66,658</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760,153</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19,174</w:t>
            </w:r>
          </w:p>
        </w:tc>
        <w:tc>
          <w:tcPr>
            <w:tcW w:w="3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19,174</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41,502</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133</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41,635</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615,861</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205,494</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166,098</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184,359</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1,171,812</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615,861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74,471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63,839</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66,791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820,962</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2017</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2016</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580" w:type="dxa"/>
            <w:vAlign w:val="bottom"/>
          </w:tcPr>
          <w:p>
            <w:pPr>
              <w:jc w:val="center"/>
              <w:ind w:right="62"/>
              <w:spacing w:after="0"/>
              <w:rPr>
                <w:sz w:val="20"/>
                <w:szCs w:val="20"/>
                <w:color w:val="auto"/>
              </w:rPr>
            </w:pPr>
            <w:r>
              <w:rPr>
                <w:rFonts w:ascii="Arial" w:cs="Arial" w:eastAsia="Arial" w:hAnsi="Arial"/>
                <w:sz w:val="14"/>
                <w:szCs w:val="14"/>
                <w:b w:val="1"/>
                <w:bCs w:val="1"/>
                <w:color w:val="auto"/>
              </w:rPr>
              <w:t>Useful</w:t>
            </w: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580" w:type="dxa"/>
            <w:vAlign w:val="bottom"/>
          </w:tcPr>
          <w:p>
            <w:pPr>
              <w:jc w:val="center"/>
              <w:ind w:right="82"/>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260,464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83,690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176,774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129,616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55,863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73,753</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50,286</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25,596</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24,690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55,240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29,670</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25,570</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1,668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15,732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3–6 years (1)</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19,563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5,008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14,555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4,368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930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467</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463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1,404</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83"/>
        </w:trPr>
        <w:tc>
          <w:tcPr>
            <w:tcW w:w="2900" w:type="dxa"/>
            <w:vAlign w:val="bottom"/>
          </w:tcPr>
          <w:p>
            <w:pPr>
              <w:ind w:left="180"/>
              <w:spacing w:after="0"/>
              <w:rPr>
                <w:sz w:val="20"/>
                <w:szCs w:val="20"/>
                <w:color w:val="auto"/>
              </w:rPr>
            </w:pPr>
            <w:r>
              <w:rPr>
                <w:rFonts w:ascii="Arial" w:cs="Arial" w:eastAsia="Arial" w:hAnsi="Arial"/>
                <w:sz w:val="16"/>
                <w:szCs w:val="16"/>
                <w:color w:val="auto"/>
              </w:rPr>
              <w:t>Other</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13,430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7,668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5,762</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4,973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362,073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124,097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237,976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204,217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96,278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0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82,745</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65,192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102,195</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66,026</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December 31, 2016, the student and customer relationships’ minimum useful life was 2 years, and the databases and technology’s maximum useful life was 5 years.</w:t>
      </w:r>
    </w:p>
    <w:p>
      <w:pPr>
        <w:spacing w:after="0" w:line="122"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134,276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227,457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(142,705)</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48,513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23,201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21,815</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182,789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250,658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746"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The (benefit from) provision for income taxes on income (loss) from continuing operations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10,743</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(153,217)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(142,474)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5,930</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3,306</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9,236</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10,079</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3,459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13,538</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(146,452)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(119,700)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2016</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56,342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33,959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90,301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6,325</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(5,164)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8,463</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(18,725)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2015</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5,728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20,890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26,618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402</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(10,749)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(10,347)</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1,788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11,929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provision for income taxes on continuing operations differs from the amount of income tax determined by applying the U.S. Federal statutory rate of 35% to the income (loss) from continuing operations before taxes as a result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 Federal taxes at 35% statutory rate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63,976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87,731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(42,311)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 taxes, net of U.S. Federal tax</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6,949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(2,965)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(946)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3,196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(3,285)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Deferred taxes on future distributions of unremitted non-U.S. subsidiary earnings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1,606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1,993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2,688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other non-U.S. income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(1,935)</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(12,688)</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(6,023)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Goodwill impairments and dispositions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(5,631)</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63,889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 Manufacturing Deduction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(1,329)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(6,012)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Write-off of deferred taxes related to intercompany loans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10,965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Deferred tax impact of U.S. Federal tax rate reduction to 21%, net of state tax impact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(153,336)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Deferred tax benefit on unremitted non-U.S. subsidiary earnings related to the Tax Act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(28,324)</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4,611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3,154</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(119,700)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81,200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Tax Act was enacted on December 22, 2017, making significant changes to the Internal Revenue Code.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and allows the registrant to record provisional amounts during a measurement period not to extend beyond one year of the enactment date. The Company has not recognized any provisional tax expense related to the one-time transition tax, and recognized provisional tax benefits on the revaluation of deferred tax balances and included these estimates in its Consolidated Financial Statements for the year ended December 31, 2017. The ultimate impact may materially differ from these provisional amounts, due to, among other things, additional analysis, changes in interpretations and assumptions the Company made, additional regulatory guidance that may be issued, and actions the Company may take as a result of the Tax Act. In accordance with SAB 118, the Company has calculated a reasonable estimate of the impact of the Tax Act and recorded a provisional amount in its financial statements based on its understanding of the Tax Act and guidance available as of the date of this filing.</w:t>
      </w:r>
    </w:p>
    <w:p>
      <w:pPr>
        <w:spacing w:after="0" w:line="1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Changes as a result of the Tax Act include, but are not limited to, a reduction in the federal corporate income tax rate from 35% to 21% effective January 1, 2018; the imposition of a one-time transition tax on historic earnings of certain non-U.S. subsidiaries that were previously tax deferred; and the imposition of new U.S. taxes on certain non-U.S. earnings. The U.S. Federal corporate income tax rate change resulted in a one-time, non-cash benefit and corresponding reduction of our U.S. Federal deferred tax liabilities, net of the state tax impact, of $153.3 million, which was recorded in the fourth quarter of 2017, the period in which the legislation was enacted. The Company estimates that it will not incur, and did not record, any liability with respect to the one-time U.S. transition tax</w:t>
      </w:r>
    </w:p>
    <w:p>
      <w:pPr>
        <w:sectPr>
          <w:pgSz w:w="11900" w:h="16838" w:orient="portrait"/>
          <w:cols w:equalWidth="0" w:num="1">
            <w:col w:w="11420"/>
          </w:cols>
          <w:pgMar w:left="240" w:top="1098"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098" w:right="239" w:bottom="1440" w:gutter="0" w:footer="0" w:header="0"/>
          <w:type w:val="continuous"/>
        </w:sectPr>
      </w:pPr>
    </w:p>
    <w:bookmarkStart w:id="54" w:name="page55"/>
    <w:bookmarkEnd w:id="54"/>
    <w:p>
      <w:pPr>
        <w:ind w:right="100"/>
        <w:spacing w:after="0" w:line="223" w:lineRule="auto"/>
        <w:rPr>
          <w:sz w:val="20"/>
          <w:szCs w:val="20"/>
          <w:color w:val="auto"/>
        </w:rPr>
      </w:pPr>
      <w:r>
        <w:rPr>
          <w:rFonts w:ascii="Arial" w:cs="Arial" w:eastAsia="Arial" w:hAnsi="Arial"/>
          <w:sz w:val="18"/>
          <w:szCs w:val="18"/>
          <w:color w:val="auto"/>
        </w:rPr>
        <w:t>imposed by the Tax Act on unremitted non-U.S. subsidiary earnings. The Company estimates that unremitted non-U.S. subsidiary earnings, when distributed, will not be subject to tax except to the extent non-U.S. withholding taxes are imposed. Accordingly, the Company recorded net deferred tax benefits and a corresponding reduction in deferred tax liabilities of $28.3 million in the fourth quarter of 2017 with respect to unremitted non-U.S. subsidiary earnings. Approximately $ 1.6 million of deferred tax liabilities remain recorded on the books with respect to future non-U.S. withholding taxes the Company estimates may be imposed on future cash distributions. The Company estimates that it will not receive a future U.S. tax benefit for $2.5 million of existing foreign tax credit carryovers as a result of the Tax Act changes; accordingly, the Company established a full valuation allowance of $2.5 million at December 31, 2017.</w:t>
      </w:r>
    </w:p>
    <w:p>
      <w:pPr>
        <w:spacing w:after="0" w:line="13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March 2016, the FASB issued new guidance that requires all excess tax benefits and tax deficiencies related to stock-based compensation to be recognized in the income statement. The Company adopted the new guidance as of January 1, 2017. As a result of the adoption, the Company recognized $6.0 million in excess tax benefits related to stock-based compensation in 2017. Excess tax benefits and tax deficiencies that occurred prior to January 1, 2017 were not recognized in the income statement, and were instead recorded to additional paid-in capital.</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2016, certain intercompany loans were capitalized and other intercompany loans were designated as long-term investments, resulting in the write-off of $11.0 million in U.S. deferred tax assets. Also, the Company benefited from a favorable $5.6 million out of period deferred tax adjustment related to the KHE goodwill impairment recorded in the third quarter of 2015.</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During 2015, in addition to the income tax provision for continuing operations presented above, the Company also recorded tax expense on discontinued operations. Income from discontinued operations and net (loss) gain on dispositions of discontinued operations have been reclassified from previously reported income from operations and reported separately as income from discontinued operations, net of tax. Tax expense of $27.8 million was recorded in discontinued operations in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Accrued postretirement benefits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5,333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9,444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benefit obligations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78,815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120,792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5,481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10,780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35,434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23,178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2,857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6,212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2,522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18,797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19,246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2,336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26,546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44,401</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178,121</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237,903</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(48,742)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(41,319)</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129,379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196,584</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11,248</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13,591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283,604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349,878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70,827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61,964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109,428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132,997</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Non-U.S. withholding tax</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476,713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558,430</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347,334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361,846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has $635.1 million of state income tax net operating loss carryforwards available to offset future state taxable income. State income tax loss carryforwards, if unutilized, will start to expire approximately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56"/>
        </w:trPr>
        <w:tc>
          <w:tcPr>
            <w:tcW w:w="10480" w:type="dxa"/>
            <w:vAlign w:val="bottom"/>
          </w:tcPr>
          <w:p>
            <w:pPr>
              <w:spacing w:after="0"/>
              <w:rPr>
                <w:sz w:val="20"/>
                <w:szCs w:val="20"/>
                <w:color w:val="auto"/>
              </w:rPr>
            </w:pPr>
            <w:r>
              <w:rPr>
                <w:rFonts w:ascii="Arial" w:cs="Arial" w:eastAsia="Arial" w:hAnsi="Arial"/>
                <w:sz w:val="16"/>
                <w:szCs w:val="16"/>
                <w:color w:val="auto"/>
              </w:rPr>
              <w:t>2023 and after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584.8</w:t>
            </w:r>
          </w:p>
        </w:tc>
      </w:tr>
      <w:tr>
        <w:trPr>
          <w:trHeight w:val="240"/>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635.1</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746" w:right="239" w:bottom="1440" w:gutter="0" w:footer="0" w:header="0"/>
          <w:type w:val="continuous"/>
        </w:sectPr>
      </w:pPr>
    </w:p>
    <w:bookmarkStart w:id="55" w:name="page56"/>
    <w:bookmarkEnd w:id="55"/>
    <w:p>
      <w:pPr>
        <w:ind w:right="80"/>
        <w:spacing w:after="0" w:line="227" w:lineRule="auto"/>
        <w:rPr>
          <w:sz w:val="20"/>
          <w:szCs w:val="20"/>
          <w:color w:val="auto"/>
        </w:rPr>
      </w:pPr>
      <w:r>
        <w:rPr>
          <w:rFonts w:ascii="Arial" w:cs="Arial" w:eastAsia="Arial" w:hAnsi="Arial"/>
          <w:sz w:val="18"/>
          <w:szCs w:val="18"/>
          <w:color w:val="auto"/>
        </w:rPr>
        <w:t>The Company has recorded at December 31, 2017, $35.3 million in deferred state income tax assets, net of U.S. Federal income tax, with respect to these state income tax loss carryforwards. The Company has established $33.3 million in valuation allowances against these deferred state income tax assets, since the Company has determined that it is more likely than not that the majority of state tax losses may not be fully utilized in the future to reduce state taxable income.</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The Company has $13.5 million of U.S. Federal income tax loss carryforwards obtained as a result of prior stock acquisitions. U.S. Federal income tax loss carryforwards are expected to be fully utilized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5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56"/>
        </w:trPr>
        <w:tc>
          <w:tcPr>
            <w:tcW w:w="10580" w:type="dxa"/>
            <w:vAlign w:val="bottom"/>
          </w:tcPr>
          <w:p>
            <w:pPr>
              <w:spacing w:after="0"/>
              <w:rPr>
                <w:sz w:val="20"/>
                <w:szCs w:val="20"/>
                <w:color w:val="auto"/>
              </w:rPr>
            </w:pPr>
            <w:r>
              <w:rPr>
                <w:rFonts w:ascii="Arial" w:cs="Arial" w:eastAsia="Arial" w:hAnsi="Arial"/>
                <w:sz w:val="16"/>
                <w:szCs w:val="16"/>
                <w:color w:val="auto"/>
              </w:rPr>
              <w:t>2023 and after</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240"/>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13.5</w:t>
            </w:r>
          </w:p>
        </w:tc>
      </w:tr>
      <w:tr>
        <w:trPr>
          <w:trHeight w:val="20"/>
        </w:trPr>
        <w:tc>
          <w:tcPr>
            <w:tcW w:w="10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 has established at December 31, 2017, $2.9 million in U.S. Federal deferred tax assets with respect to these U.S. Federal income tax loss carryforwards.</w:t>
      </w:r>
    </w:p>
    <w:p>
      <w:pPr>
        <w:spacing w:after="0" w:line="135"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For U.S. Federal income tax purposes, the Company has $2.5 million of foreign tax credits available to be credited against future U.S. Federal income tax liabilities. If unutilized, $ 0.7 million of these foreign tax credits will expire in 2024, $0.7 million will expire in 2025, $ 0.7 million will expire in 2026, and $0.4 million will expire in 2027. The Company has established at December 31, 2017, $2.5 million of U.S. Federal deferred tax assets with respect to these U.S. Federal foreign tax credit carryforwards; however, due to changes to the rules relating to foreign tax credits under the Tax Act, a valuation allowance against these deferred tax assets was established during the fourth quarter of 2017 since the Company determined that it is more likely than not its foreign tax credit carryforwards may not be fully utilized in the future to reduce U.S. Federal income taxes.</w:t>
      </w:r>
    </w:p>
    <w:p>
      <w:pPr>
        <w:spacing w:after="0" w:line="13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has $68.4 million of non-U.S. income tax loss carryforwards, as a result of operating losses and carryforwards obtained through prior stock acquisitions that are available to offset future non-U.S. taxable income and has recorded, with respect to these losses, $18.8 million in non-U.S. deferred income tax assets. The Company has established $5.6 million in valuation allowances against the deferred tax assets recorded for the portion of non-U.S. tax losses that may not be fully utilized to reduce future non-U.S. taxable income. The $68.4 million of non-U.S. income tax loss carryforwards consist of $57.4 million in losses that may be carried forward indefinitely; $7.0 million of losses that, if unutilized, will expire in varying amounts through 2022; and $3.9 million of losses that, if unutilized, will start to expire after 2022.</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has $7.8 million of non-U.S. capital loss carryforwards that may be carried forward indefinitely and are available to offset future non-U.S. capital gains. The Company recorded a $2.3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fully utilized to reduce taxable income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1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Balance at Beginning of</w:t>
            </w:r>
          </w:p>
        </w:tc>
        <w:tc>
          <w:tcPr>
            <w:tcW w:w="280" w:type="dxa"/>
            <w:vAlign w:val="bottom"/>
          </w:tcPr>
          <w:p>
            <w:pPr>
              <w:spacing w:after="0"/>
              <w:rPr>
                <w:sz w:val="14"/>
                <w:szCs w:val="14"/>
                <w:color w:val="auto"/>
              </w:rPr>
            </w:pPr>
          </w:p>
        </w:tc>
        <w:tc>
          <w:tcPr>
            <w:tcW w:w="1520" w:type="dxa"/>
            <w:vAlign w:val="bottom"/>
          </w:tcPr>
          <w:p>
            <w:pPr>
              <w:jc w:val="right"/>
              <w:ind w:right="203"/>
              <w:spacing w:after="0"/>
              <w:rPr>
                <w:sz w:val="20"/>
                <w:szCs w:val="20"/>
                <w:color w:val="auto"/>
              </w:rPr>
            </w:pPr>
            <w:r>
              <w:rPr>
                <w:rFonts w:ascii="Arial" w:cs="Arial" w:eastAsia="Arial" w:hAnsi="Arial"/>
                <w:sz w:val="14"/>
                <w:szCs w:val="14"/>
                <w:b w:val="1"/>
                <w:bCs w:val="1"/>
                <w:color w:val="auto"/>
              </w:rPr>
              <w:t>Tax Expense and</w:t>
            </w: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7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Period</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Revaluation</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Deductions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Period</w:t>
            </w:r>
          </w:p>
        </w:tc>
      </w:tr>
      <w:tr>
        <w:trPr>
          <w:trHeight w:val="25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1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7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b w:val="1"/>
                <w:bCs w:val="1"/>
                <w:color w:val="auto"/>
              </w:rPr>
              <w:t>41,319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7,423</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b w:val="1"/>
                <w:bCs w:val="1"/>
                <w:color w:val="auto"/>
              </w:rPr>
              <w:t>48,742</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December 31, 2016</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69,545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4,709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(32,935)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41,319</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65,521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4,024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69,545</w:t>
            </w:r>
          </w:p>
        </w:tc>
      </w:tr>
    </w:tbl>
    <w:p>
      <w:pPr>
        <w:spacing w:after="0" w:line="1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 has established $38.0 million in valuation allowances against deferred state tax assets recognized, net of U.S. Federal tax. As stated above, approximately $33.3 million of the valuation allowances, net of U.S. Federal income tax, relate to state income tax loss carryforwards. The Company has established valuation allowances against deferred state income tax assets, without considering potentially offsetting deferred tax liabilities established with respect to prepaid pension cost and goodwill for the state jurisdictions that do not conform to the U.S. indefinite carryforward period for losses generated after December 31, 2017. Prepaid pension cost and goodwill have not been considered a source of future taxable income for realizing those state deferred tax assets recognized since these temporary differences are not likely to reverse in the foreseeable future. The valuation allowances established against deferred state income tax assets may increase or decrease within the next 12 months, based on operating results or the market value of investment holdings. The Company will be monitoring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56" w:name="page57"/>
    <w:bookmarkEnd w:id="56"/>
    <w:p>
      <w:pPr>
        <w:ind w:right="60"/>
        <w:spacing w:after="0" w:line="227" w:lineRule="auto"/>
        <w:rPr>
          <w:sz w:val="20"/>
          <w:szCs w:val="20"/>
          <w:color w:val="auto"/>
        </w:rPr>
      </w:pPr>
      <w:r>
        <w:rPr>
          <w:rFonts w:ascii="Arial" w:cs="Arial" w:eastAsia="Arial" w:hAnsi="Arial"/>
          <w:sz w:val="18"/>
          <w:szCs w:val="18"/>
          <w:color w:val="auto"/>
        </w:rPr>
        <w:t>future results on a quarterly basis to determine whether the valuation allowances provided against deferred state tax assets should be increased or decreased, as future circumstances warrant. The Company anticipates that the education division may release valuation allowances against state deferred tax assets of approximately $22.7 million within the next 12 months, as the education division may generate positive operating results that would support the realization of these deferred tax assets.</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has established $8.2 million in valuation allowances against non-U.S. deferred tax assets, and, as stated above, $5.6 million of the non-U.S. valuation allowances relate to non-U.S. income tax loss carryforwards and $2.3 million relate to non-U.S. capital loss carryforwards. In addition, the Company has established $0.3 million in valuation allowances against other non-U.S. deferred tax assets.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Deferred U.S. Federal and state income taxes had historically been recorded with respect to undistributed earnings of investments in non-U.S. subsidiaries to the extent taxable dividend income would be recognized if such earnings were distributed. Deferred income taxes recorded with respect to undistributed earnings of investments in non-U.S. subsidiaries were recorded net of foreign tax credits with respect to such undistributed earnings estimated to be creditable against future U.S. Federal tax liabilities. At December 31, 2016, net U.S. Federal and state deferred income tax liabilities of approximately $23.8 million were recorded with respect to undistributed earnings of investments in non-U.S. subsidiaries based on the year-end position.</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As noted above, the Company removed its net U.S. federal and state deferred tax liabilities on undistributed earnings of investments in non-U.S. subsidiaries because the Company does not expect to pay any transition tax under the Tax Act. Further, the Tax Act provides a 100% dividends received deduction for distributions from non-U.S. subsidiaries after December 31, 2017, subject to certain holding period requirements. The Tax Act establishes a new regime, the Global Intangible Low Taxed Income (GILTI) tax, that may currently subject to U.S. tax the operations of non-U.S. subsidiaries. The GILTI tax is imposed annually based on all current year non-U.S. operations starting January 1, 2018. The Company has not yet decided whether to elect to record the GILTI tax regime as either a deferred tax accounting item or as a periodic tax expense, and is not yet able to quantify the 2017 tax provision impact, if any. Accordingly, the Company has not made any tax provision adjustment with respect to the new GILTI tax in the 2017 tax provision.</w:t>
      </w:r>
    </w:p>
    <w:p>
      <w:pPr>
        <w:spacing w:after="0" w:line="136"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The book value of investments in the stocks of non-U.S. subsidiaries exceeded the tax basis by approximately $113.2 million and $103.3 million at December 31, 2017 and 2016. If the investment in non-U.S. subsidiaries were held for sale instead of being held indefinitely, it is possible additional U.S. Federal and state tax liabilities may be recorded, but calculation of the tax due is not practicable.</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third quarter of 2016, the Company released $19.3 million of valuation allowance previously recorded on its operations in Australia, as the Company determined that it was more likely than not that the benefit of the net deferred tax assets would be realized based on improved operating results. The remaining valuation allowances established against non-U.S. deferred tax assets are recorded at the education division and other businesses. The remaining non-U.S. valuation allowances may increase or decrease within the next 12 months, based on operating results. As a result, the Company is unable to estimate the potential tax impact, given the uncertain operating environment. The Company will be monitoring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1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2017, the Internal Revenue Service (IRS) completed its examination of the Company’s 2013 tax return and the Company received a $9.7 million refund primarily related to capital loss carryforwards. The Company is no longer under examination by the IRS, and has not been contacted by the IRS about any further examinations. Barring the start of another IRS examination, the Company expects that the U.S. Federal statute of limitations for the 2013 and 2014 tax years will expire in July 2018 and September 2018, respectively. The Company files income tax returns with the U.S. Federal government and in various state, local and non-U.S. governmental jurisdictions, with the consolidated U.S. Federal tax return filing considered the only major tax jurisdiction.</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746"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9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26035</wp:posOffset>
            </wp:positionV>
            <wp:extent cx="23069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17,331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17,331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19,817</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17,331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20" w:space="720"/>
            <w:col w:w="3680"/>
          </w:cols>
          <w:pgMar w:left="240" w:top="746" w:right="239" w:bottom="1440" w:gutter="0" w:footer="0" w:header="0"/>
          <w:type w:val="continuous"/>
        </w:sectPr>
      </w:pPr>
    </w:p>
    <w:p>
      <w:pPr>
        <w:ind w:right="40"/>
        <w:spacing w:after="0" w:line="223" w:lineRule="auto"/>
        <w:rPr>
          <w:sz w:val="20"/>
          <w:szCs w:val="20"/>
          <w:color w:val="auto"/>
        </w:rPr>
      </w:pPr>
      <w:r>
        <w:rPr>
          <w:rFonts w:ascii="Arial" w:cs="Arial" w:eastAsia="Arial" w:hAnsi="Arial"/>
          <w:sz w:val="18"/>
          <w:szCs w:val="18"/>
          <w:color w:val="auto"/>
        </w:rPr>
        <w:t>The unrecognized tax benefits mainly relate to state income tax filing positions applicable to the 2014 tax period.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no portion of unrecognized tax benefits will be reduced in the next 12 months due to settlement with the tax authorities. However, due to lapse of statutes of limitations, the Company expects that approximately $15.7 million of the unrecognized tax benefits will be recognized, and the Company will record a $3.5 million state tax benefit, net of $0.7 million federal tax expense during 2018. Subsequently, the Company expects that a $1.7 million state tax benefit, net of $0.4 million federal tax expense, will reduce the effective tax rate in the future if recognized.</w:t>
      </w:r>
    </w:p>
    <w:p>
      <w:pPr>
        <w:spacing w:after="0" w:line="136"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2017, the Company has accrued $1.1 million of interest related to the unrecognized tax benefits. The Company has not accrued any penalties related to the unrecognized tax benefits.</w:t>
      </w:r>
    </w:p>
    <w:p>
      <w:pPr>
        <w:spacing w:after="0" w:line="115"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306"/>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399,507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399,052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93,671</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91,316</w:t>
            </w:r>
          </w:p>
        </w:tc>
        <w:tc>
          <w:tcPr>
            <w:tcW w:w="0" w:type="dxa"/>
            <w:vAlign w:val="bottom"/>
          </w:tcPr>
          <w:p>
            <w:pPr>
              <w:spacing w:after="0"/>
              <w:rPr>
                <w:sz w:val="1"/>
                <w:szCs w:val="1"/>
                <w:color w:val="auto"/>
              </w:rPr>
            </w:pPr>
          </w:p>
        </w:tc>
      </w:tr>
      <w:tr>
        <w:trPr>
          <w:trHeight w:val="228"/>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109</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1"/>
                <w:szCs w:val="21"/>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493,287</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491,847</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(6,726)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486,561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carrying value is net of $0.1 million of unamortized debt issuance costs as of December 31, 2016.</w:t>
      </w:r>
    </w:p>
    <w:p>
      <w:pPr>
        <w:spacing w:after="0" w:line="39" w:lineRule="exact"/>
        <w:rPr>
          <w:rFonts w:ascii="Arial" w:cs="Arial" w:eastAsia="Arial" w:hAnsi="Arial"/>
          <w:sz w:val="13"/>
          <w:szCs w:val="13"/>
          <w:color w:val="auto"/>
        </w:rPr>
      </w:pPr>
    </w:p>
    <w:p>
      <w:pPr>
        <w:ind w:left="260" w:hanging="252"/>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carrying value is net of $0.4 million and $0.5 million of unamortized debt issuance costs as of December 31, 2017 and 2016, respectively.</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did not borrow funds under its USD revolving credit facility in 2017 or 2016. The Company’s other indebtedness at December 31, 2017, is at an interest rate of 2% and matures in 2026. The Company’s other indebtedness at December 31, 2016, is at interest rates of 2% to 6% and matures between 2019 and 2026.</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December 31, 2017, the Company is in compliance with all financial covenants.</w:t>
      </w:r>
    </w:p>
    <w:p>
      <w:pPr>
        <w:spacing w:after="0" w:line="15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746" w:right="239" w:bottom="1440" w:gutter="0" w:footer="0" w:header="0"/>
          <w:type w:val="continuous"/>
        </w:sectPr>
      </w:pPr>
    </w:p>
    <w:bookmarkStart w:id="58" w:name="page59"/>
    <w:bookmarkEnd w:id="58"/>
    <w:p>
      <w:pPr>
        <w:spacing w:after="0" w:line="252" w:lineRule="auto"/>
        <w:rPr>
          <w:sz w:val="20"/>
          <w:szCs w:val="20"/>
          <w:color w:val="auto"/>
        </w:rPr>
      </w:pPr>
      <w:r>
        <w:rPr>
          <w:rFonts w:ascii="Arial" w:cs="Arial" w:eastAsia="Arial" w:hAnsi="Arial"/>
          <w:sz w:val="18"/>
          <w:szCs w:val="18"/>
          <w:color w:val="auto"/>
        </w:rPr>
        <w:t>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5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June 2015, Cable ONE issued $550 million in debt. With the Cable ONE spin-off effective on July 1, 2015, the Cable ONE debt is no longer an obligation of the Company.</w:t>
      </w:r>
    </w:p>
    <w:p>
      <w:pPr>
        <w:spacing w:after="0" w:line="135"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w:t>
      </w:r>
    </w:p>
    <w:p>
      <w:pPr>
        <w:spacing w:after="0" w:line="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 As of December 31, 2017, the Company is in compliance with all financial covenants.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the Company had average borrowings outstanding of approximately $493.2 million and $443.9 million, respectively, at</w:t>
      </w:r>
    </w:p>
    <w:p>
      <w:pPr>
        <w:spacing w:after="0" w:line="219" w:lineRule="auto"/>
        <w:rPr>
          <w:sz w:val="20"/>
          <w:szCs w:val="20"/>
          <w:color w:val="auto"/>
        </w:rPr>
      </w:pPr>
      <w:r>
        <w:rPr>
          <w:rFonts w:ascii="Arial" w:cs="Arial" w:eastAsia="Arial" w:hAnsi="Arial"/>
          <w:sz w:val="18"/>
          <w:szCs w:val="18"/>
          <w:color w:val="auto"/>
        </w:rPr>
        <w:t>average annual interest rates of approximately 6.3% and 6.7%, respectively. The Company incurred net interest expense of $27.3 million,</w:t>
      </w:r>
    </w:p>
    <w:p>
      <w:pPr>
        <w:spacing w:after="0" w:line="219" w:lineRule="auto"/>
        <w:rPr>
          <w:sz w:val="20"/>
          <w:szCs w:val="20"/>
          <w:color w:val="auto"/>
        </w:rPr>
      </w:pPr>
      <w:r>
        <w:rPr>
          <w:rFonts w:ascii="Arial" w:cs="Arial" w:eastAsia="Arial" w:hAnsi="Arial"/>
          <w:sz w:val="18"/>
          <w:szCs w:val="18"/>
          <w:color w:val="auto"/>
        </w:rPr>
        <w:t>$32.3 million and $30.7 million during 2017, 2016 and 2015, respectively. The Company recorded interest income of $2.3 million and interest</w:t>
      </w:r>
    </w:p>
    <w:p>
      <w:pPr>
        <w:spacing w:after="0" w:line="219" w:lineRule="auto"/>
        <w:rPr>
          <w:sz w:val="20"/>
          <w:szCs w:val="20"/>
          <w:color w:val="auto"/>
        </w:rPr>
      </w:pPr>
      <w:r>
        <w:rPr>
          <w:rFonts w:ascii="Arial" w:cs="Arial" w:eastAsia="Arial" w:hAnsi="Arial"/>
          <w:sz w:val="18"/>
          <w:szCs w:val="18"/>
          <w:color w:val="auto"/>
        </w:rPr>
        <w:t>expense of $2.7 million for the years ended December 31, 2017 and 2016, respectively, to adjust the fair value of the mandatorily redeemable</w:t>
      </w:r>
    </w:p>
    <w:p>
      <w:pPr>
        <w:spacing w:after="0" w:line="219" w:lineRule="auto"/>
        <w:rPr>
          <w:sz w:val="20"/>
          <w:szCs w:val="20"/>
          <w:color w:val="auto"/>
        </w:rPr>
      </w:pPr>
      <w:r>
        <w:rPr>
          <w:rFonts w:ascii="Arial" w:cs="Arial" w:eastAsia="Arial" w:hAnsi="Arial"/>
          <w:sz w:val="18"/>
          <w:szCs w:val="18"/>
          <w:color w:val="auto"/>
        </w:rPr>
        <w:t>noncontrolling interest (see Note 3). The fair value of the mandatorily redeemable noncontrolling interest is based on an EBITDA multiple,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adjusted for working capital and other items, which approximates fair value (Level 3 fair value assessment).</w:t>
      </w:r>
    </w:p>
    <w:p>
      <w:pPr>
        <w:spacing w:after="0" w:line="144"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At December 31, 2017 and 2016, the fair value of the Company’s 7.25% unsecured notes, based on quoted market prices (Level 2 fair value assessment), totaled $414.7 million and $438.7 million, respectively, compared with the carrying amount of $399.5 million and $399.1 million. The carrying value of the Company’s other unsecured debt at December 31, 2017, approximates fair value.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41" w:right="239" w:bottom="1440" w:gutter="0" w:footer="0" w:header="0"/>
        </w:sectPr>
      </w:pPr>
    </w:p>
    <w:bookmarkStart w:id="59" w:name="page60"/>
    <w:bookmarkEnd w:id="59"/>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217,628</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217,628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536,315</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536,315</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Other current investments</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9,831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11,007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20,838</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546,146</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228,635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774,781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43,414</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43,414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rate swap</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244</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244</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Mandatorily redeemable noncontrolling interest</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10,331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10,331</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43,658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10,331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53,989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435,258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435,258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49,882</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49,882</w:t>
            </w:r>
          </w:p>
        </w:tc>
        <w:tc>
          <w:tcPr>
            <w:tcW w:w="0" w:type="dxa"/>
            <w:vAlign w:val="bottom"/>
          </w:tcPr>
          <w:p>
            <w:pPr>
              <w:spacing w:after="0"/>
              <w:rPr>
                <w:sz w:val="1"/>
                <w:szCs w:val="1"/>
                <w:color w:val="auto"/>
              </w:rPr>
            </w:pPr>
          </w:p>
        </w:tc>
      </w:tr>
      <w:tr>
        <w:trPr>
          <w:trHeight w:val="308"/>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424,229</w:t>
            </w:r>
          </w:p>
        </w:tc>
        <w:tc>
          <w:tcPr>
            <w:tcW w:w="320" w:type="dxa"/>
            <w:vAlign w:val="bottom"/>
          </w:tcPr>
          <w:p>
            <w:pPr>
              <w:spacing w:after="0"/>
              <w:rPr>
                <w:sz w:val="24"/>
                <w:szCs w:val="24"/>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424,229</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6,957</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17,055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24,012</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481,068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452,313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933,381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46,300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46,300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46,665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59,249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 and the value considers the liquidity of the counterparty.</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Company’s commercial paper investments with original maturities of three months or less are included in cash and cash equivalents.</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spacing w:after="0" w:line="26" w:lineRule="exact"/>
        <w:rPr>
          <w:rFonts w:ascii="Arial" w:cs="Arial" w:eastAsia="Arial" w:hAnsi="Arial"/>
          <w:sz w:val="13"/>
          <w:szCs w:val="13"/>
          <w:color w:val="auto"/>
        </w:rPr>
      </w:pPr>
    </w:p>
    <w:p>
      <w:pPr>
        <w:ind w:left="260" w:right="200" w:hanging="252"/>
        <w:spacing w:after="0" w:line="219"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24" w:lineRule="exact"/>
        <w:rPr>
          <w:rFonts w:ascii="Arial" w:cs="Arial" w:eastAsia="Arial" w:hAnsi="Arial"/>
          <w:sz w:val="13"/>
          <w:szCs w:val="13"/>
          <w:color w:val="auto"/>
        </w:rPr>
      </w:pPr>
    </w:p>
    <w:p>
      <w:pPr>
        <w:ind w:left="260" w:right="160" w:hanging="252"/>
        <w:spacing w:after="0" w:line="207"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4" w:lineRule="exact"/>
        <w:rPr>
          <w:rFonts w:ascii="Arial" w:cs="Arial" w:eastAsia="Arial" w:hAnsi="Arial"/>
          <w:sz w:val="13"/>
          <w:szCs w:val="13"/>
          <w:color w:val="auto"/>
        </w:rPr>
      </w:pPr>
    </w:p>
    <w:p>
      <w:pPr>
        <w:ind w:left="260" w:right="420" w:hanging="252"/>
        <w:spacing w:after="0" w:line="219" w:lineRule="auto"/>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24" w:lineRule="exact"/>
        <w:rPr>
          <w:rFonts w:ascii="Arial" w:cs="Arial" w:eastAsia="Arial" w:hAnsi="Arial"/>
          <w:sz w:val="13"/>
          <w:szCs w:val="13"/>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fair value of the mandatorily redeemable noncontrolling interest is based on an EBITDA multiple, adjusted for working capital and other items, which approximates fair value.</w:t>
      </w:r>
    </w:p>
    <w:p>
      <w:pPr>
        <w:spacing w:after="0" w:line="19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For the years ended December 31, 2017, 2016 and 2015, the Company recorded goodwill and other long-lived asset impairment charges of $9.6 million, $1.6 million and $ 259.7 million, respectively.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w:t>
      </w:r>
    </w:p>
    <w:p>
      <w:pPr>
        <w:spacing w:after="0" w:line="19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For the year ended December 31, 2016, the Company recorded impairment charges totaling $27.0 million to its cost method investment relating to a preferred equity interest in a vocational school company due to a decline in business conditions. The measurement of the preferred equity interest is classified as a Level 3 fair value assessment due to the significance of unobservable inputs developed in the determination of the fair value. The Company used a discounted cash flow model to determine the estimated fair value of the preferred equity interest and made estimates and assumptions regarding future cash flows, discount rates, long-term growth rates and market values to determine the estimated fair value.</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724" w:right="239" w:bottom="1440" w:gutter="0" w:footer="0" w:header="0"/>
          <w:type w:val="continuous"/>
        </w:sectPr>
      </w:pPr>
    </w:p>
    <w:bookmarkStart w:id="60" w:name="page61"/>
    <w:bookmarkEnd w:id="60"/>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October 1, 2015, the Company redeemed its Series A preferred stock with a par value of $1.00 per share and a liquidation preference of $1,000 per share. The 10,510 shares outstanding were redeemed at the redemption price of $1,000 per share for $10.5 million. Prior to redemption, dividends on the Series A preferred stock were payable four times a year at the annual rate of $80.00 per share and in preference to any dividends on the Company’s common stock. The Series A preferred stock was not convertible into any other security of the Company, and the holders thereof had no voting rights except with respect to any proposed changes in the preferences and special rights of such stock.</w:t>
      </w:r>
    </w:p>
    <w:p>
      <w:pPr>
        <w:spacing w:after="0" w:line="11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2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During 2017, 2016, and 2015 the Company purchased a total of 88,361, 229,498, and 46,226 shares, respectively, of its Class B common stock at a cost of approximately $ 50.8 million, $ 108.9 million, and $23.0 million, respectively.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December 31, 2017, the Company had remaining authorization from the Board of Directors to purchase up to 472,678 shares of Class B common stock.</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As a result of the Cable ONE spin-off, the number of Class B common stock authorized for issuance under the 2012 Plan was increased from 500,000 shares to 772,588 shares. The individual award limit under the 2012 Plan was also increased from 50,000 shares to 77,258 shares per calendar year. At December 31, 2017, there were 589,483 shares reserved for issuance under the 2012 incentive compensation plan. Of this number, 157,506 shares were subject to stock awards and stock options outstanding, and 431,977 shares were available for future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2017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6"/>
        </w:trPr>
        <w:tc>
          <w:tcPr>
            <w:tcW w:w="9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67,225</w:t>
            </w:r>
          </w:p>
        </w:tc>
        <w:tc>
          <w:tcPr>
            <w:tcW w:w="42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655.15</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15,543</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535.67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(28,593)</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415.66</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(2,600)</w:t>
            </w:r>
          </w:p>
        </w:tc>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810.81</w:t>
            </w:r>
          </w:p>
        </w:tc>
      </w:tr>
      <w:tr>
        <w:trPr>
          <w:trHeight w:val="24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51,575</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744.07</w:t>
            </w:r>
          </w:p>
        </w:tc>
      </w:tr>
      <w:tr>
        <w:trPr>
          <w:trHeight w:val="20"/>
        </w:trPr>
        <w:tc>
          <w:tcPr>
            <w:tcW w:w="9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connection with the spin-off of Cable ONE,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in discontinued operations in the Company’s consolidated financial statements. The spin-off also resulted in a modification of some of the Company’s outstanding restricted stock awards. The holders of restricted stock awards received Cable ONE restricted common stock, on a pro rata basis, as part of the distribution. The modification of the restricted stock awards resulted in an estimated incremental stock compensation expense of $3.0 million that is being recognized over the remaining service periods of the unvested restricted stock awards through the end of 2018.</w:t>
      </w:r>
    </w:p>
    <w:p>
      <w:pPr>
        <w:spacing w:after="0" w:line="136"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the fourth quarter of 2015, the Company also modified the terms of an additional 9,800 restricted stock awards affecting one now former employee. The modification resulted in the acceleration of the vesting period of 9,412 restricted stock awards and the forfeiture of 388 restricted stock awards. As a result, the Company recorded incremental stock compensation expense, net of forfeitures, of $6.0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24" w:right="239" w:bottom="1440" w:gutter="0" w:footer="0" w:header="0"/>
        </w:sectPr>
      </w:pPr>
    </w:p>
    <w:bookmarkStart w:id="61" w:name="page62"/>
    <w:bookmarkEnd w:id="61"/>
    <w:p>
      <w:pPr>
        <w:ind w:right="300"/>
        <w:spacing w:after="0" w:line="227" w:lineRule="auto"/>
        <w:rPr>
          <w:sz w:val="20"/>
          <w:szCs w:val="20"/>
          <w:color w:val="auto"/>
        </w:rPr>
      </w:pPr>
      <w:r>
        <w:rPr>
          <w:rFonts w:ascii="Arial" w:cs="Arial" w:eastAsia="Arial" w:hAnsi="Arial"/>
          <w:sz w:val="18"/>
          <w:szCs w:val="18"/>
          <w:color w:val="auto"/>
        </w:rPr>
        <w:t>For the share awards outstanding at December 31, 2017, the aforementioned restriction will lapse in 2018 for 14,100 shares, in 2019 for 22,675 shares, in 2020 for 250 shares and in 2021 for 14,550 shares. Also, in early 2018, the Company issued stock awards of 200 shares. Stock-based compensation costs resulting from Company stock awards were $8.1 million, $11.0 million and $25.3 million in 2017, 2016 and 2015, respectively.</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of December 31, 2017, there was $10.2 million of total unrecognized compensation expense related to these awards. That cost is expected to be recognized on a straight-line basis over a weighted average period of 1.4 years.</w:t>
      </w:r>
    </w:p>
    <w:p>
      <w:pPr>
        <w:spacing w:after="0" w:line="113"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ten years. At December 31, 2017, there were 79,589 shares reserved for issuance under this stock option plan, which were all subject to options outstanding.</w:t>
      </w:r>
    </w:p>
    <w:p>
      <w:pPr>
        <w:spacing w:after="0" w:line="13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four years and have a maximum term of ten years. In 2017 and 2015, grants were issued that vest over six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2017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Option</w:t>
            </w:r>
          </w:p>
        </w:tc>
      </w:tr>
      <w:tr>
        <w:trPr>
          <w:trHeight w:val="196"/>
        </w:trPr>
        <w:tc>
          <w:tcPr>
            <w:tcW w:w="9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Price</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186,996</w:t>
            </w:r>
          </w:p>
        </w:tc>
        <w:tc>
          <w:tcPr>
            <w:tcW w:w="38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559.62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2,000</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845.72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(3,476)</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402.79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185,520</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565.65</w:t>
            </w:r>
          </w:p>
        </w:tc>
      </w:tr>
      <w:tr>
        <w:trPr>
          <w:trHeight w:val="20"/>
        </w:trPr>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connection with the spin-off of Cable ONE, the Company modified outstanding stock options to add an antidilution provision. This resulted in an incremental stock compensation expense of $23.5 million, of which $18.8 million related to fully vested stock options was recognized as a one-time expense in the third quarter of 2015, with the remaining $ 4.7 million to be recognized over the remaining service periods of the unvested stock options through the end of 2018. The $18.8 million expense is included in the Company’s corporate office segment results and in selling, general and administrative in the Consolidated Statements of Operations.</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Of the shares covered by options outstanding at the end of 2017, 128,394 are now exercisable; 17,332 will become exercisable in 2018; 17,333 will become exercisable in 2019; 17,334 will become exercisable in 2020; 4,459 will become exercisable in 2021; 333 will become exercisable in 2022; and 335 will become exercisable in 2023. For 2017, 2016 and 2015, the Company recorded expense of $2.0 million, $2.4 million and $22.9 million related to stock options, respectively. Information related to stock options outstanding and exercisable at December 31, 2017,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3"/>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12/31/2017</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Price</w:t>
            </w:r>
          </w:p>
        </w:tc>
      </w:tr>
      <w:tr>
        <w:trPr>
          <w:trHeight w:val="250"/>
        </w:trPr>
        <w:tc>
          <w:tcPr>
            <w:tcW w:w="3780" w:type="dxa"/>
            <w:vAlign w:val="bottom"/>
          </w:tcPr>
          <w:p>
            <w:pPr>
              <w:ind w:left="180"/>
              <w:spacing w:after="0"/>
              <w:rPr>
                <w:sz w:val="20"/>
                <w:szCs w:val="20"/>
                <w:color w:val="auto"/>
              </w:rPr>
            </w:pPr>
            <w:r>
              <w:rPr>
                <w:rFonts w:ascii="Arial" w:cs="Arial" w:eastAsia="Arial" w:hAnsi="Arial"/>
                <w:sz w:val="16"/>
                <w:szCs w:val="16"/>
                <w:color w:val="auto"/>
              </w:rPr>
              <w:t>$244–284</w:t>
            </w:r>
          </w:p>
        </w:tc>
        <w:tc>
          <w:tcPr>
            <w:tcW w:w="1180" w:type="dxa"/>
            <w:vAlign w:val="bottom"/>
          </w:tcPr>
          <w:p>
            <w:pPr>
              <w:jc w:val="right"/>
              <w:spacing w:after="0"/>
              <w:rPr>
                <w:sz w:val="20"/>
                <w:szCs w:val="20"/>
                <w:color w:val="auto"/>
              </w:rPr>
            </w:pPr>
            <w:r>
              <w:rPr>
                <w:rFonts w:ascii="Arial" w:cs="Arial" w:eastAsia="Arial" w:hAnsi="Arial"/>
                <w:sz w:val="16"/>
                <w:szCs w:val="16"/>
                <w:color w:val="auto"/>
              </w:rPr>
              <w:t>4,262</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262.22</w:t>
            </w:r>
          </w:p>
        </w:tc>
        <w:tc>
          <w:tcPr>
            <w:tcW w:w="1160" w:type="dxa"/>
            <w:vAlign w:val="bottom"/>
          </w:tcPr>
          <w:p>
            <w:pPr>
              <w:jc w:val="right"/>
              <w:spacing w:after="0"/>
              <w:rPr>
                <w:sz w:val="20"/>
                <w:szCs w:val="20"/>
                <w:color w:val="auto"/>
              </w:rPr>
            </w:pPr>
            <w:r>
              <w:rPr>
                <w:rFonts w:ascii="Arial" w:cs="Arial" w:eastAsia="Arial" w:hAnsi="Arial"/>
                <w:sz w:val="16"/>
                <w:szCs w:val="16"/>
                <w:color w:val="auto"/>
              </w:rPr>
              <w:t>4,262</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262.22</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325</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325.26</w:t>
            </w:r>
          </w:p>
        </w:tc>
        <w:tc>
          <w:tcPr>
            <w:tcW w:w="1160" w:type="dxa"/>
            <w:vAlign w:val="bottom"/>
          </w:tcPr>
          <w:p>
            <w:pPr>
              <w:jc w:val="right"/>
              <w:spacing w:after="0"/>
              <w:rPr>
                <w:sz w:val="20"/>
                <w:szCs w:val="20"/>
                <w:color w:val="auto"/>
              </w:rPr>
            </w:pPr>
            <w:r>
              <w:rPr>
                <w:rFonts w:ascii="Arial" w:cs="Arial" w:eastAsia="Arial" w:hAnsi="Arial"/>
                <w:sz w:val="16"/>
                <w:szCs w:val="16"/>
                <w:color w:val="auto"/>
              </w:rPr>
              <w:t>77,258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325.26</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719</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719.15</w:t>
            </w:r>
          </w:p>
        </w:tc>
        <w:tc>
          <w:tcPr>
            <w:tcW w:w="1160" w:type="dxa"/>
            <w:vAlign w:val="bottom"/>
          </w:tcPr>
          <w:p>
            <w:pPr>
              <w:jc w:val="right"/>
              <w:spacing w:after="0"/>
              <w:rPr>
                <w:sz w:val="20"/>
                <w:szCs w:val="20"/>
                <w:color w:val="auto"/>
              </w:rPr>
            </w:pPr>
            <w:r>
              <w:rPr>
                <w:rFonts w:ascii="Arial" w:cs="Arial" w:eastAsia="Arial" w:hAnsi="Arial"/>
                <w:sz w:val="16"/>
                <w:szCs w:val="16"/>
                <w:color w:val="auto"/>
              </w:rPr>
              <w:t>38,628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719.15</w:t>
            </w:r>
          </w:p>
        </w:tc>
      </w:tr>
      <w:tr>
        <w:trPr>
          <w:trHeight w:val="283"/>
        </w:trPr>
        <w:tc>
          <w:tcPr>
            <w:tcW w:w="3780" w:type="dxa"/>
            <w:vAlign w:val="bottom"/>
          </w:tcPr>
          <w:p>
            <w:pPr>
              <w:ind w:left="180"/>
              <w:spacing w:after="0"/>
              <w:rPr>
                <w:sz w:val="20"/>
                <w:szCs w:val="20"/>
                <w:color w:val="auto"/>
              </w:rPr>
            </w:pPr>
            <w:r>
              <w:rPr>
                <w:rFonts w:ascii="Arial" w:cs="Arial" w:eastAsia="Arial" w:hAnsi="Arial"/>
                <w:sz w:val="16"/>
                <w:szCs w:val="16"/>
                <w:color w:val="auto"/>
              </w:rPr>
              <w:t>805–872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26,742</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865.02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866.58</w:t>
            </w:r>
          </w:p>
        </w:tc>
      </w:tr>
      <w:tr>
        <w:trPr>
          <w:trHeight w:val="240"/>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185,520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565.65</w:t>
            </w:r>
          </w:p>
        </w:tc>
        <w:tc>
          <w:tcPr>
            <w:tcW w:w="1160" w:type="dxa"/>
            <w:vAlign w:val="bottom"/>
          </w:tcPr>
          <w:p>
            <w:pPr>
              <w:jc w:val="right"/>
              <w:spacing w:after="0"/>
              <w:rPr>
                <w:sz w:val="20"/>
                <w:szCs w:val="20"/>
                <w:color w:val="auto"/>
              </w:rPr>
            </w:pPr>
            <w:r>
              <w:rPr>
                <w:rFonts w:ascii="Arial" w:cs="Arial" w:eastAsia="Arial" w:hAnsi="Arial"/>
                <w:sz w:val="16"/>
                <w:szCs w:val="16"/>
                <w:color w:val="auto"/>
              </w:rPr>
              <w:t>128,394</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476.44</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December 31, 2017, the intrinsic value for all options outstanding, exercisable and unvested was $19.3 million, $19.3 million and $0.0 million, respectively. The intrinsic value of a stock option is the amount by which the market value of the underlying stock exceeds the exercise price of the option. The market value of the Company’s stock was $558.35 at December 31, 2017. At December 31, 2017, there were 57,126 unvested options related to this plan with an average exercise price of $ 770.67 and a weighted average remaining contractual term of 7.2 years. At December 31, 2016, there were 72,124 unvested options with an average exercise price of $761.30 and a weighted average remaining contractual term of 8.1 years.</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As of December 31, 2017, total unrecognized stock-based compensation expense related to stock options was $ 6.4 million, which is expected to be recognized on a straight-line basis over a weighted average period of approximately 3.2 years. There were 3,476 options exercised during 2017. The total intrinsic value of options exercised during 2017 was $0.7 million; a tax benefit from these stock option exercises of $0.3 million was realized. There were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746" w:right="239" w:bottom="1440" w:gutter="0" w:footer="0" w:header="0"/>
          <w:type w:val="continuous"/>
        </w:sectPr>
      </w:pPr>
    </w:p>
    <w:bookmarkStart w:id="62" w:name="page63"/>
    <w:bookmarkEnd w:id="62"/>
    <w:p>
      <w:pPr>
        <w:ind w:right="120"/>
        <w:spacing w:after="0" w:line="229" w:lineRule="auto"/>
        <w:rPr>
          <w:sz w:val="20"/>
          <w:szCs w:val="20"/>
          <w:color w:val="auto"/>
        </w:rPr>
      </w:pPr>
      <w:r>
        <w:rPr>
          <w:rFonts w:ascii="Arial" w:cs="Arial" w:eastAsia="Arial" w:hAnsi="Arial"/>
          <w:sz w:val="18"/>
          <w:szCs w:val="18"/>
          <w:color w:val="auto"/>
        </w:rPr>
        <w:t>4,726 options exercised during 2016. The total intrinsic value of options exercised during 2016 was $ 1.2 million; a tax benefit from these stock option exercises of $0.5 million was realized. There were 40,527 options exercised during 2015. The total intrinsic value of options exercised during 2015 was $19.5 million; a tax benefit from these option exercises of $7.8 million was realized.</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During 2017 and 2015, the Company granted 2,000 and 24,742 options at an exercise price above the fair market value of its common stock at the date of grant, respectively. All other options granted during 2015 were at an exercise price equal to the fair market value of the Company’s common stock at the date of grant. The weighted average grant-date fair value of options granted during 2017 and 2015 was $120.47 and $155.00, respectively. No options were granted during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jc w:val="center"/>
              <w:ind w:left="3081"/>
              <w:spacing w:after="0"/>
              <w:rPr>
                <w:sz w:val="20"/>
                <w:szCs w:val="20"/>
                <w:color w:val="auto"/>
              </w:rPr>
            </w:pPr>
            <w:r>
              <w:rPr>
                <w:rFonts w:ascii="Arial" w:cs="Arial" w:eastAsia="Arial" w:hAnsi="Arial"/>
                <w:sz w:val="14"/>
                <w:szCs w:val="14"/>
                <w:b w:val="1"/>
                <w:bCs w:val="1"/>
                <w:color w:val="auto"/>
              </w:rPr>
              <w:t>2017</w:t>
            </w:r>
          </w:p>
        </w:tc>
        <w:tc>
          <w:tcPr>
            <w:tcW w:w="182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color w:val="auto"/>
              </w:rPr>
              <w:t>2015</w:t>
            </w:r>
          </w:p>
        </w:tc>
      </w:tr>
      <w:tr>
        <w:trPr>
          <w:trHeight w:val="250"/>
        </w:trPr>
        <w:tc>
          <w:tcPr>
            <w:tcW w:w="506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rPr>
              <w:t>8</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7–8</w:t>
            </w: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rPr>
              <w:t>2.28%</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1.88%–2.17%</w:t>
            </w: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w w:val="99"/>
              </w:rPr>
              <w:t>26.93%</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31.59%–32.69%</w:t>
            </w: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4520" w:type="dxa"/>
            <w:vAlign w:val="bottom"/>
          </w:tcPr>
          <w:p>
            <w:pPr>
              <w:jc w:val="center"/>
              <w:ind w:left="3061"/>
              <w:spacing w:after="0"/>
              <w:rPr>
                <w:sz w:val="20"/>
                <w:szCs w:val="20"/>
                <w:color w:val="auto"/>
              </w:rPr>
            </w:pPr>
            <w:r>
              <w:rPr>
                <w:rFonts w:ascii="Arial" w:cs="Arial" w:eastAsia="Arial" w:hAnsi="Arial"/>
                <w:sz w:val="16"/>
                <w:szCs w:val="16"/>
                <w:b w:val="1"/>
                <w:bCs w:val="1"/>
                <w:color w:val="auto"/>
              </w:rPr>
              <w:t>0.85%</w:t>
            </w:r>
          </w:p>
        </w:tc>
        <w:tc>
          <w:tcPr>
            <w:tcW w:w="1820" w:type="dxa"/>
            <w:vAlign w:val="bottom"/>
          </w:tcPr>
          <w:p>
            <w:pPr>
              <w:jc w:val="center"/>
              <w:ind w:left="141"/>
              <w:spacing w:after="0"/>
              <w:rPr>
                <w:sz w:val="20"/>
                <w:szCs w:val="20"/>
                <w:color w:val="auto"/>
              </w:rPr>
            </w:pPr>
            <w:r>
              <w:rPr>
                <w:rFonts w:ascii="Arial" w:cs="Arial" w:eastAsia="Arial" w:hAnsi="Arial"/>
                <w:sz w:val="16"/>
                <w:szCs w:val="16"/>
                <w:color w:val="auto"/>
              </w:rPr>
              <w:t>0.81%–1.18%</w:t>
            </w:r>
          </w:p>
        </w:tc>
      </w:tr>
    </w:tbl>
    <w:p>
      <w:pPr>
        <w:spacing w:after="0" w:line="16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At December 31, 2017, a Kaplan senior manager holds 7,206 Kaplan restricted shares. The fair value of Kaplan’s common stock is determined by the Company’s compensation committee of the Board of Directors, and in January 2018, the committee set the fair value price at $1,500 per share. During 2015, 2,500 options were awarded to a Kaplan senior manager at a price of $1,180 that would have vested over a four-year period. No options were awarded during 2017 and 2016; no options were exercised during 2017, 2016 or 2015; and due to 2015 forfeitures, there were no options outstanding at December 31, 2017.</w:t>
      </w:r>
    </w:p>
    <w:p>
      <w:pPr>
        <w:spacing w:after="0" w:line="137"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Kaplan recorded stock compensation expense of $1.2 million and $0.6 million in 2017 and 2016, respectively, and a credit of $1.8 million in 2015. At December 31, 2017, the Company’s accrual balance related to the Kaplan restricted shares totaled $10.8 million. There were no payouts in 2017, 2016 or 2015.</w:t>
      </w:r>
    </w:p>
    <w:p>
      <w:pPr>
        <w:spacing w:after="0" w:line="11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746" w:right="259" w:bottom="1440" w:gutter="0" w:footer="0" w:header="0"/>
        </w:sectPr>
      </w:pPr>
    </w:p>
    <w:bookmarkStart w:id="63" w:name="page64"/>
    <w:bookmarkEnd w:id="63"/>
    <w:p>
      <w:pPr>
        <w:ind w:right="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(loss) per share computations using the two-class method:</w:t>
      </w:r>
    </w:p>
    <w:p>
      <w:pPr>
        <w:spacing w:after="0" w:line="19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26035</wp:posOffset>
            </wp:positionV>
            <wp:extent cx="24269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2016</w:t>
            </w: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Numerator: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7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Income (loss) from continuing operations attributable to Graham Holdings Company common stockholders</w:t>
      </w:r>
    </w:p>
    <w:p>
      <w:pPr>
        <w:spacing w:after="0" w:line="61" w:lineRule="exact"/>
        <w:rPr>
          <w:sz w:val="20"/>
          <w:szCs w:val="20"/>
          <w:color w:val="auto"/>
        </w:rPr>
      </w:pPr>
    </w:p>
    <w:p>
      <w:pPr>
        <w:ind w:left="280" w:right="880"/>
        <w:spacing w:after="0" w:line="357" w:lineRule="auto"/>
        <w:rPr>
          <w:sz w:val="20"/>
          <w:szCs w:val="20"/>
          <w:color w:val="auto"/>
        </w:rPr>
      </w:pPr>
      <w:r>
        <w:rPr>
          <w:rFonts w:ascii="Arial" w:cs="Arial" w:eastAsia="Arial" w:hAnsi="Arial"/>
          <w:sz w:val="16"/>
          <w:szCs w:val="16"/>
          <w:color w:val="auto"/>
        </w:rPr>
        <w:t>Less: Dividends paid–common stock outstanding and unvested restricted shares Undistributed earnings (losses)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p>
      <w:pPr>
        <w:spacing w:after="0" w:line="3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 paid–common stock outstanding</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diluted earnings (loss)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basic earnings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302,044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168,590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(143,456)</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(28,329)</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(27,325)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(53,090)</w:t>
            </w:r>
          </w:p>
        </w:tc>
      </w:tr>
      <w:tr>
        <w:trPr>
          <w:trHeight w:val="251"/>
        </w:trPr>
        <w:tc>
          <w:tcPr>
            <w:tcW w:w="28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273,715</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141,265</w:t>
            </w:r>
          </w:p>
        </w:tc>
        <w:tc>
          <w:tcPr>
            <w:tcW w:w="3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(196,546)</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99.06%</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51"/>
        </w:trPr>
        <w:tc>
          <w:tcPr>
            <w:tcW w:w="28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271,150</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139,562</w:t>
            </w:r>
          </w:p>
        </w:tc>
        <w:tc>
          <w:tcPr>
            <w:tcW w:w="3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(196,546)</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28,060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26,962</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52,050</w:t>
            </w:r>
          </w:p>
        </w:tc>
      </w:tr>
      <w:tr>
        <w:trPr>
          <w:trHeight w:val="264"/>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299,210</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166,524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(144,496)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17</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299,227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166,533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(144,496)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6940" w:space="660"/>
            <w:col w:w="3820"/>
          </w:cols>
          <w:pgMar w:left="240" w:top="746" w:right="239" w:bottom="1440" w:gutter="0" w:footer="0" w:header="0"/>
          <w:type w:val="continuous"/>
        </w:sectPr>
      </w:pP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diluted earnings (loss)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right="2040"/>
        <w:spacing w:after="0" w:line="388" w:lineRule="auto"/>
        <w:rPr>
          <w:sz w:val="20"/>
          <w:szCs w:val="20"/>
          <w:color w:val="auto"/>
        </w:rPr>
      </w:pPr>
      <w:r>
        <w:rPr>
          <w:rFonts w:ascii="Arial" w:cs="Arial" w:eastAsia="Arial" w:hAnsi="Arial"/>
          <w:sz w:val="16"/>
          <w:szCs w:val="16"/>
          <w:b w:val="1"/>
          <w:bCs w:val="1"/>
          <w:color w:val="auto"/>
        </w:rPr>
        <w:t>Basic earnings (loss) per share from continuing operations Diluted earnings (loss) per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5,516</w:t>
            </w:r>
          </w:p>
        </w:tc>
        <w:tc>
          <w:tcPr>
            <w:tcW w:w="5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5,559</w:t>
            </w:r>
          </w:p>
        </w:tc>
        <w:tc>
          <w:tcPr>
            <w:tcW w:w="48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5,727</w:t>
            </w:r>
          </w:p>
        </w:tc>
      </w:tr>
      <w:tr>
        <w:trPr>
          <w:trHeight w:val="283"/>
        </w:trPr>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5,552</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5,589</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5,727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54.24</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29.95</w:t>
            </w: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53.89</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29.80</w:t>
            </w: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ectPr>
          <w:pgSz w:w="11900" w:h="16838" w:orient="portrait"/>
          <w:cols w:equalWidth="0" w:num="2">
            <w:col w:w="6880" w:space="720"/>
            <w:col w:w="3820"/>
          </w:cols>
          <w:pgMar w:left="240" w:top="746" w:right="239" w:bottom="1440" w:gutter="0" w:footer="0" w:header="0"/>
          <w:type w:val="continuous"/>
        </w:sectPr>
      </w:pPr>
    </w:p>
    <w:p>
      <w:pPr>
        <w:spacing w:after="0"/>
        <w:rPr>
          <w:sz w:val="20"/>
          <w:szCs w:val="20"/>
          <w:color w:val="auto"/>
        </w:rPr>
      </w:pPr>
      <w:r>
        <w:rPr>
          <w:rFonts w:ascii="Arial" w:cs="Arial" w:eastAsia="Arial" w:hAnsi="Arial"/>
          <w:sz w:val="13"/>
          <w:szCs w:val="13"/>
          <w:color w:val="auto"/>
        </w:rPr>
        <w:t>(1)  Percent of undistributed losses allocated to common stockholders is 100% in 2015 as participating securities are not contractually obligated to share in losses.</w:t>
      </w:r>
    </w:p>
    <w:p>
      <w:pPr>
        <w:spacing w:after="0" w:line="13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30</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40</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52</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39</w:t>
            </w:r>
          </w:p>
        </w:tc>
      </w:tr>
    </w:tbl>
    <w:p>
      <w:pPr>
        <w:spacing w:after="0" w:line="16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2017, 2016 and 2015 diluted earnings (loss) per share amounts exclude the effects of 104,000, 102,000 and 102,000 stock options outstanding, respectively, as their inclusion would have been antidilutive due to a market condition. The 2017, 2016 and 2015 diluted earnings (loss) per share amounts also exclude the effects of 5,250, 5,450 and 6,250 restricted stock awards, respectively, as their inclusion would have been antidilutive due to a performance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2017, 2016 and 2015, the Company declared regular dividends totaling $5.08, $4.84 and $9.10 per share,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type w:val="continuous"/>
        </w:sectPr>
      </w:pPr>
    </w:p>
    <w:bookmarkStart w:id="64" w:name="page65"/>
    <w:bookmarkEnd w:id="64"/>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first quarter of 2018, the Company adopted new guidance which requires the presentation of service cost in the same line item as other compensation costs arising from services by employees during the period, while the other components of the net periodic benefit are recognized in non-operating pension and postretirement benefit income in the Company's Consolidated Statement of Operations.</w:t>
      </w:r>
    </w:p>
    <w:p>
      <w:pPr>
        <w:spacing w:after="0" w:line="115"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SERP. The Company also eliminated the accrual of pension benefits for all Cable ONE employees related to their future service. As a result of the spin-off of Cable ONE, the Company remeasured the accumulated and projected benefit obligation of the pension plan and SERP as of July 1, 2015, and recorded curtailment and settlement gains. The new measurement basis was used for the recognition of the SERP cost recorded in the third quarter of 2015 and the pension benefit recorded for the first two months of the third quarter of 2015. The curtailment gain on the spin-off of Cable ONE is included in income from discontinued operations, net of tax. The settlement gain on the spin-off of Cable ONE is included in the SERP liability distributed to Cable ONE (see Note 4).</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KHE Campuses Sale. </w:t>
      </w:r>
      <w:r>
        <w:rPr>
          <w:rFonts w:ascii="Arial" w:cs="Arial" w:eastAsia="Arial" w:hAnsi="Arial"/>
          <w:sz w:val="18"/>
          <w:szCs w:val="18"/>
          <w:color w:val="auto"/>
        </w:rPr>
        <w:t>On September 3, 2015, the Company eliminated the accrual of pension benefits for almost all of the KHE Campuses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related to their future service. As a result, the Company remeasured the accumulated and projected benefit obligation of the pension plan as of September 3, 2015, and the Company recorded a curtailment gain in the third quarter of 2015. The new measurement basis was used for the recognition of the Company’s pension benefit beginning in September 2015. The curtailment gain on the sale of the KHE Campuses is included in the loss on the sale of the KHE Campuses and reported in other income (expense), net in the Consolidated Statement of Operations.</w:t>
      </w:r>
    </w:p>
    <w:p>
      <w:pPr>
        <w:spacing w:after="0" w:line="117"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SERP offered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w:t>
      </w:r>
    </w:p>
    <w:p>
      <w:pPr>
        <w:spacing w:after="0" w:line="12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the fourth quarter of 2017, the Company recorded $0.9 million related to a Separation Incentive Program for certain Kaplan employees, which was funded from the assets of the Company’s pension plan. In the third quarter of 2017, the Company recorded $0.9 million related to a Separation Incentive Program for certain Forney employees, which was funded from the assets of the Company’s pension plan.</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In the fourth quarter of 2016, the Company offered certain terminated participants with a vested pension benefit an opportunity to take their benefits in the form of a lump sum or an annuity. Most of the participants that elected a lump sum benefit under the program were paid in December 2016. Additional lump sum payments were paid in early 2017. The Company recorded an $18.0 million settlement gain related to the bulk lump sum pension program offering.</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fourth quarter of 2015, the Company recorded $0.9 million related to a Special Incentive Program for certain Corporate employees, which was funded from the assets of the Company’s pension plan. In the third quarter of 2015, the Company recorded $3.7 million related to a Special Incentive Program for certain Kaplan employees, which was funded from the assets of the Company’s pension plan.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2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1,160,897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1,254,298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18,687</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20,461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47,925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51,608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75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73,191</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(32,203)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58,600</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(74,506)</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(60,076)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Special termination benefits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1,825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(73,191)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1,286,694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1,160,897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2,042,490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2,234,268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375,487</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(58,511)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(74,506)</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(60,076)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(73,191)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2,343,471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2,042,490</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1,056,777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881,593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3"/>
        </w:trPr>
        <w:tc>
          <w:tcPr>
            <w:tcW w:w="9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rPr>
              <w:t>SERP</w:t>
            </w:r>
          </w:p>
        </w:tc>
        <w:tc>
          <w:tcPr>
            <w:tcW w:w="900" w:type="dxa"/>
            <w:vAlign w:val="bottom"/>
            <w:tcBorders>
              <w:bottom w:val="single" w:sz="8" w:color="auto"/>
            </w:tcBorders>
          </w:tcPr>
          <w:p>
            <w:pPr>
              <w:spacing w:after="0"/>
              <w:rPr>
                <w:sz w:val="24"/>
                <w:szCs w:val="24"/>
                <w:color w:val="auto"/>
              </w:rPr>
            </w:pP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106,526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105,004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858</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4,233</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4,384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4,041</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1,120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(5,576)</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110,082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106,526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5,576</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4,967</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(5,576)</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(110,082)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(106,526)</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2017 and 2016, was $1,261.8 million and $1,137.9</w:t>
      </w:r>
    </w:p>
    <w:p>
      <w:pPr>
        <w:spacing w:after="0" w:line="219" w:lineRule="auto"/>
        <w:rPr>
          <w:sz w:val="20"/>
          <w:szCs w:val="20"/>
          <w:color w:val="auto"/>
        </w:rPr>
      </w:pPr>
      <w:r>
        <w:rPr>
          <w:rFonts w:ascii="Arial" w:cs="Arial" w:eastAsia="Arial" w:hAnsi="Arial"/>
          <w:sz w:val="18"/>
          <w:szCs w:val="18"/>
          <w:color w:val="auto"/>
        </w:rPr>
        <w:t>million, respectively. The accumulated benefit obligation for the Company’s SERP at December 31, 2017 and 2016, was $108.0 million and</w:t>
      </w:r>
    </w:p>
    <w:p>
      <w:pPr>
        <w:spacing w:after="0" w:line="219" w:lineRule="auto"/>
        <w:rPr>
          <w:sz w:val="20"/>
          <w:szCs w:val="20"/>
          <w:color w:val="auto"/>
        </w:rPr>
      </w:pPr>
      <w:r>
        <w:rPr>
          <w:rFonts w:ascii="Arial" w:cs="Arial" w:eastAsia="Arial" w:hAnsi="Arial"/>
          <w:sz w:val="18"/>
          <w:szCs w:val="18"/>
          <w:color w:val="auto"/>
        </w:rPr>
        <w:t>$103.0 million, respectively. The amounts recognized in the Company’s Consolidated Balance Sheets for its defined benefit pension plans are</w:t>
      </w:r>
    </w:p>
    <w:p>
      <w:pPr>
        <w:spacing w:after="0"/>
        <w:rPr>
          <w:sz w:val="20"/>
          <w:szCs w:val="20"/>
          <w:color w:val="auto"/>
        </w:rPr>
      </w:pPr>
      <w:r>
        <w:rPr>
          <w:rFonts w:ascii="Arial" w:cs="Arial" w:eastAsia="Arial" w:hAnsi="Arial"/>
          <w:sz w:val="18"/>
          <w:szCs w:val="18"/>
          <w:color w:val="auto"/>
        </w:rPr>
        <w:t>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2016</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1,056,777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881,593</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(5,838)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(5,580)</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(104,244)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(100,946)</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1,056,777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881,593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(110,082)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(106,526)</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ind w:right="1263"/>
              <w:spacing w:after="0"/>
              <w:rPr>
                <w:sz w:val="20"/>
                <w:szCs w:val="20"/>
                <w:color w:val="auto"/>
              </w:rPr>
            </w:pPr>
            <w:r>
              <w:rPr>
                <w:rFonts w:ascii="Arial" w:cs="Arial" w:eastAsia="Arial" w:hAnsi="Arial"/>
                <w:sz w:val="14"/>
                <w:szCs w:val="14"/>
                <w:b w:val="1"/>
                <w:bCs w:val="1"/>
                <w:color w:val="auto"/>
              </w:rPr>
              <w:t>Pension Plans</w:t>
            </w:r>
          </w:p>
        </w:tc>
        <w:tc>
          <w:tcPr>
            <w:tcW w:w="14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center"/>
              <w:ind w:right="1343"/>
              <w:spacing w:after="0"/>
              <w:rPr>
                <w:sz w:val="20"/>
                <w:szCs w:val="20"/>
                <w:color w:val="auto"/>
              </w:rPr>
            </w:pPr>
            <w:r>
              <w:rPr>
                <w:rFonts w:ascii="Arial" w:cs="Arial" w:eastAsia="Arial" w:hAnsi="Arial"/>
                <w:sz w:val="14"/>
                <w:szCs w:val="14"/>
                <w:b w:val="1"/>
                <w:bCs w:val="1"/>
                <w:color w:val="auto"/>
              </w:rPr>
              <w:t>SERP</w:t>
            </w:r>
          </w:p>
        </w:tc>
      </w:tr>
      <w:tr>
        <w:trPr>
          <w:trHeight w:val="264"/>
        </w:trPr>
        <w:tc>
          <w:tcPr>
            <w:tcW w:w="4240" w:type="dxa"/>
            <w:vAlign w:val="bottom"/>
          </w:tcPr>
          <w:p>
            <w:pPr>
              <w:spacing w:after="0"/>
              <w:rPr>
                <w:sz w:val="22"/>
                <w:szCs w:val="22"/>
                <w:color w:val="auto"/>
              </w:rPr>
            </w:pPr>
          </w:p>
        </w:tc>
        <w:tc>
          <w:tcPr>
            <w:tcW w:w="3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358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4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363"/>
              <w:spacing w:after="0"/>
              <w:rPr>
                <w:sz w:val="20"/>
                <w:szCs w:val="20"/>
                <w:color w:val="auto"/>
              </w:rPr>
            </w:pPr>
            <w:r>
              <w:rPr>
                <w:rFonts w:ascii="Arial" w:cs="Arial" w:eastAsia="Arial" w:hAnsi="Arial"/>
                <w:sz w:val="14"/>
                <w:szCs w:val="14"/>
                <w:b w:val="1"/>
                <w:bCs w:val="1"/>
                <w:color w:val="auto"/>
              </w:rPr>
              <w:t>2017</w:t>
            </w:r>
          </w:p>
        </w:tc>
        <w:tc>
          <w:tcPr>
            <w:tcW w:w="2320" w:type="dxa"/>
            <w:vAlign w:val="bottom"/>
            <w:tcBorders>
              <w:bottom w:val="single" w:sz="8" w:color="auto"/>
            </w:tcBorders>
          </w:tcPr>
          <w:p>
            <w:pPr>
              <w:jc w:val="center"/>
              <w:ind w:left="403"/>
              <w:spacing w:after="0"/>
              <w:rPr>
                <w:sz w:val="20"/>
                <w:szCs w:val="20"/>
                <w:color w:val="auto"/>
              </w:rPr>
            </w:pPr>
            <w:r>
              <w:rPr>
                <w:rFonts w:ascii="Arial" w:cs="Arial" w:eastAsia="Arial" w:hAnsi="Arial"/>
                <w:sz w:val="14"/>
                <w:szCs w:val="14"/>
                <w:color w:val="auto"/>
              </w:rPr>
              <w:t>2016</w:t>
            </w:r>
          </w:p>
        </w:tc>
        <w:tc>
          <w:tcPr>
            <w:tcW w:w="148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b w:val="1"/>
                <w:bCs w:val="1"/>
                <w:color w:val="auto"/>
              </w:rPr>
              <w:t>2017</w:t>
            </w:r>
          </w:p>
        </w:tc>
        <w:tc>
          <w:tcPr>
            <w:tcW w:w="2100" w:type="dxa"/>
            <w:vAlign w:val="bottom"/>
            <w:tcBorders>
              <w:bottom w:val="single" w:sz="8" w:color="auto"/>
            </w:tcBorders>
          </w:tcPr>
          <w:p>
            <w:pPr>
              <w:jc w:val="center"/>
              <w:ind w:left="303"/>
              <w:spacing w:after="0"/>
              <w:rPr>
                <w:sz w:val="20"/>
                <w:szCs w:val="20"/>
                <w:color w:val="auto"/>
              </w:rPr>
            </w:pPr>
            <w:r>
              <w:rPr>
                <w:rFonts w:ascii="Arial" w:cs="Arial" w:eastAsia="Arial" w:hAnsi="Arial"/>
                <w:sz w:val="14"/>
                <w:szCs w:val="14"/>
                <w:color w:val="auto"/>
              </w:rPr>
              <w:t>2016</w:t>
            </w: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280" w:type="dxa"/>
            <w:vAlign w:val="bottom"/>
          </w:tcPr>
          <w:p>
            <w:pPr>
              <w:jc w:val="center"/>
              <w:ind w:left="343"/>
              <w:spacing w:after="0"/>
              <w:rPr>
                <w:sz w:val="20"/>
                <w:szCs w:val="20"/>
                <w:color w:val="auto"/>
              </w:rPr>
            </w:pPr>
            <w:r>
              <w:rPr>
                <w:rFonts w:ascii="Arial" w:cs="Arial" w:eastAsia="Arial" w:hAnsi="Arial"/>
                <w:sz w:val="16"/>
                <w:szCs w:val="16"/>
                <w:b w:val="1"/>
                <w:bCs w:val="1"/>
                <w:color w:val="auto"/>
              </w:rPr>
              <w:t>3.6%</w:t>
            </w:r>
          </w:p>
        </w:tc>
        <w:tc>
          <w:tcPr>
            <w:tcW w:w="2320" w:type="dxa"/>
            <w:vAlign w:val="bottom"/>
          </w:tcPr>
          <w:p>
            <w:pPr>
              <w:jc w:val="center"/>
              <w:ind w:left="423"/>
              <w:spacing w:after="0"/>
              <w:rPr>
                <w:sz w:val="20"/>
                <w:szCs w:val="20"/>
                <w:color w:val="auto"/>
              </w:rPr>
            </w:pPr>
            <w:r>
              <w:rPr>
                <w:rFonts w:ascii="Arial" w:cs="Arial" w:eastAsia="Arial" w:hAnsi="Arial"/>
                <w:sz w:val="16"/>
                <w:szCs w:val="16"/>
                <w:color w:val="auto"/>
              </w:rPr>
              <w:t>4.1%</w:t>
            </w:r>
          </w:p>
        </w:tc>
        <w:tc>
          <w:tcPr>
            <w:tcW w:w="1480" w:type="dxa"/>
            <w:vAlign w:val="bottom"/>
          </w:tcPr>
          <w:p>
            <w:pPr>
              <w:jc w:val="center"/>
              <w:ind w:left="283"/>
              <w:spacing w:after="0"/>
              <w:rPr>
                <w:sz w:val="20"/>
                <w:szCs w:val="20"/>
                <w:color w:val="auto"/>
              </w:rPr>
            </w:pPr>
            <w:r>
              <w:rPr>
                <w:rFonts w:ascii="Arial" w:cs="Arial" w:eastAsia="Arial" w:hAnsi="Arial"/>
                <w:sz w:val="16"/>
                <w:szCs w:val="16"/>
                <w:b w:val="1"/>
                <w:bCs w:val="1"/>
                <w:color w:val="auto"/>
                <w:w w:val="98"/>
              </w:rPr>
              <w:t>3.6%</w:t>
            </w:r>
          </w:p>
        </w:tc>
        <w:tc>
          <w:tcPr>
            <w:tcW w:w="2100" w:type="dxa"/>
            <w:vAlign w:val="bottom"/>
          </w:tcPr>
          <w:p>
            <w:pPr>
              <w:jc w:val="center"/>
              <w:ind w:left="323"/>
              <w:spacing w:after="0"/>
              <w:rPr>
                <w:sz w:val="20"/>
                <w:szCs w:val="20"/>
                <w:color w:val="auto"/>
              </w:rPr>
            </w:pPr>
            <w:r>
              <w:rPr>
                <w:rFonts w:ascii="Arial" w:cs="Arial" w:eastAsia="Arial" w:hAnsi="Arial"/>
                <w:sz w:val="16"/>
                <w:szCs w:val="16"/>
                <w:color w:val="auto"/>
              </w:rPr>
              <w:t>4.1%</w:t>
            </w: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Rate of compensation increase - age graded</w:t>
            </w:r>
          </w:p>
        </w:tc>
        <w:tc>
          <w:tcPr>
            <w:tcW w:w="1280" w:type="dxa"/>
            <w:vAlign w:val="bottom"/>
          </w:tcPr>
          <w:p>
            <w:pPr>
              <w:jc w:val="center"/>
              <w:ind w:left="343"/>
              <w:spacing w:after="0"/>
              <w:rPr>
                <w:sz w:val="20"/>
                <w:szCs w:val="20"/>
                <w:color w:val="auto"/>
              </w:rPr>
            </w:pPr>
            <w:r>
              <w:rPr>
                <w:rFonts w:ascii="Arial" w:cs="Arial" w:eastAsia="Arial" w:hAnsi="Arial"/>
                <w:sz w:val="16"/>
                <w:szCs w:val="16"/>
                <w:b w:val="1"/>
                <w:bCs w:val="1"/>
                <w:color w:val="auto"/>
              </w:rPr>
              <w:t>5.0%–1.0%</w:t>
            </w:r>
          </w:p>
        </w:tc>
        <w:tc>
          <w:tcPr>
            <w:tcW w:w="2320" w:type="dxa"/>
            <w:vAlign w:val="bottom"/>
          </w:tcPr>
          <w:p>
            <w:pPr>
              <w:jc w:val="center"/>
              <w:ind w:left="423"/>
              <w:spacing w:after="0"/>
              <w:rPr>
                <w:sz w:val="20"/>
                <w:szCs w:val="20"/>
                <w:color w:val="auto"/>
              </w:rPr>
            </w:pPr>
            <w:r>
              <w:rPr>
                <w:rFonts w:ascii="Arial" w:cs="Arial" w:eastAsia="Arial" w:hAnsi="Arial"/>
                <w:sz w:val="16"/>
                <w:szCs w:val="16"/>
                <w:color w:val="auto"/>
              </w:rPr>
              <w:t>5.0%–1.0%</w:t>
            </w:r>
          </w:p>
        </w:tc>
        <w:tc>
          <w:tcPr>
            <w:tcW w:w="1480" w:type="dxa"/>
            <w:vAlign w:val="bottom"/>
          </w:tcPr>
          <w:p>
            <w:pPr>
              <w:jc w:val="center"/>
              <w:ind w:left="283"/>
              <w:spacing w:after="0"/>
              <w:rPr>
                <w:sz w:val="20"/>
                <w:szCs w:val="20"/>
                <w:color w:val="auto"/>
              </w:rPr>
            </w:pPr>
            <w:r>
              <w:rPr>
                <w:rFonts w:ascii="Arial" w:cs="Arial" w:eastAsia="Arial" w:hAnsi="Arial"/>
                <w:sz w:val="16"/>
                <w:szCs w:val="16"/>
                <w:b w:val="1"/>
                <w:bCs w:val="1"/>
                <w:color w:val="auto"/>
              </w:rPr>
              <w:t>5.0%–1.0%</w:t>
            </w:r>
          </w:p>
        </w:tc>
        <w:tc>
          <w:tcPr>
            <w:tcW w:w="2100" w:type="dxa"/>
            <w:vAlign w:val="bottom"/>
          </w:tcPr>
          <w:p>
            <w:pPr>
              <w:jc w:val="center"/>
              <w:ind w:left="323"/>
              <w:spacing w:after="0"/>
              <w:rPr>
                <w:sz w:val="20"/>
                <w:szCs w:val="20"/>
                <w:color w:val="auto"/>
              </w:rPr>
            </w:pPr>
            <w:r>
              <w:rPr>
                <w:rFonts w:ascii="Arial" w:cs="Arial" w:eastAsia="Arial" w:hAnsi="Arial"/>
                <w:sz w:val="16"/>
                <w:szCs w:val="16"/>
                <w:color w:val="auto"/>
              </w:rPr>
              <w:t>5.0%–1.0%</w:t>
            </w:r>
          </w:p>
        </w:tc>
      </w:tr>
    </w:tbl>
    <w:p>
      <w:pPr>
        <w:sectPr>
          <w:pgSz w:w="11900" w:h="16838" w:orient="portrait"/>
          <w:cols w:equalWidth="0" w:num="1">
            <w:col w:w="11420"/>
          </w:cols>
          <w:pgMar w:left="240" w:top="746" w:right="239" w:bottom="0" w:gutter="0" w:footer="0" w:header="0"/>
        </w:sectPr>
      </w:pPr>
    </w:p>
    <w:bookmarkStart w:id="66" w:name="page67"/>
    <w:bookmarkEnd w:id="66"/>
    <w:p>
      <w:pPr>
        <w:jc w:val="center"/>
        <w:ind w:right="-2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9019"/>
          </w:cols>
          <w:pgMar w:left="1440" w:top="490" w:right="1440" w:bottom="1440" w:gutter="0" w:footer="0" w:header="0"/>
        </w:sectPr>
      </w:pPr>
    </w:p>
    <w:bookmarkStart w:id="67" w:name="page68"/>
    <w:bookmarkEnd w:id="67"/>
    <w:p>
      <w:pPr>
        <w:ind w:right="300"/>
        <w:spacing w:after="0" w:line="229" w:lineRule="auto"/>
        <w:rPr>
          <w:sz w:val="20"/>
          <w:szCs w:val="20"/>
          <w:color w:val="auto"/>
        </w:rPr>
      </w:pPr>
      <w:r>
        <w:rPr>
          <w:rFonts w:ascii="Arial" w:cs="Arial" w:eastAsia="Arial" w:hAnsi="Arial"/>
          <w:sz w:val="18"/>
          <w:szCs w:val="18"/>
          <w:color w:val="auto"/>
        </w:rPr>
        <w:t>The Company made no contributions to its pension plans in 2017 and 2016, and the Company does not expect to make any contributions in 2018. The Company made contributions to its SERP of $5.6 million and $5.0 million for the years ended December 31, 2017 and 2016,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estimated benefit payments, excluding charges for early retirement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50"/>
        </w:trPr>
        <w:tc>
          <w:tcPr>
            <w:tcW w:w="5000" w:type="dxa"/>
            <w:vAlign w:val="bottom"/>
          </w:tcPr>
          <w:p>
            <w:pPr>
              <w:ind w:left="40"/>
              <w:spacing w:after="0"/>
              <w:rPr>
                <w:sz w:val="20"/>
                <w:szCs w:val="20"/>
                <w:color w:val="auto"/>
              </w:rPr>
            </w:pPr>
            <w:r>
              <w:rPr>
                <w:rFonts w:ascii="Arial" w:cs="Arial" w:eastAsia="Arial" w:hAnsi="Arial"/>
                <w:sz w:val="16"/>
                <w:szCs w:val="16"/>
                <w:color w:val="auto"/>
              </w:rPr>
              <w:t>2018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73,418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5,943</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74,433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6,320</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2020</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74,572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6,454</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2021</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75,661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6,591</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2022</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73,921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6,719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2023–2027</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371,073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34,165</w:t>
            </w:r>
          </w:p>
        </w:tc>
      </w:tr>
    </w:tbl>
    <w:p>
      <w:pPr>
        <w:spacing w:after="0" w:line="16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total (benefit) cost arising from the Company’s defined benefit pension plans, including the portion included in discontinued operations, consists of the following components:</w:t>
      </w:r>
    </w:p>
    <w:p>
      <w:pPr>
        <w:spacing w:after="0" w:line="19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46" w:right="239" w:bottom="516"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return on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Benefit for the Year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Early retirement programs and special separation benefit expense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Benefit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18,687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20,461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26,294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47,925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51,608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52,613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(121,411)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(121,470)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(130,571)</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(4,410)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(11,925)</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(59,039)</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(49,104)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(63,269)</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4,606</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(57,214)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(67,097)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(61,930)</w:t>
            </w:r>
          </w:p>
        </w:tc>
      </w:tr>
      <w:tr>
        <w:trPr>
          <w:trHeight w:val="521"/>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(180,885)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147,779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222,894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(170)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4,410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11,925</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17,993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(176,570)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165,475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234,448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(233,784)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98,378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172,518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80"/>
            <w:col w:w="3640"/>
          </w:cols>
          <w:pgMar w:left="240" w:top="746" w:right="239" w:bottom="516"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SERP</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858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985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4,233</w:t>
            </w:r>
          </w:p>
        </w:tc>
        <w:tc>
          <w:tcPr>
            <w:tcW w:w="340" w:type="dxa"/>
            <w:vAlign w:val="bottom"/>
          </w:tcPr>
          <w:p>
            <w:pPr>
              <w:spacing w:after="0"/>
              <w:rPr>
                <w:sz w:val="23"/>
                <w:szCs w:val="23"/>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4,384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4,550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455</w:t>
            </w:r>
          </w:p>
        </w:tc>
        <w:tc>
          <w:tcPr>
            <w:tcW w:w="340" w:type="dxa"/>
            <w:vAlign w:val="bottom"/>
          </w:tcPr>
          <w:p>
            <w:pPr>
              <w:spacing w:after="0"/>
              <w:rPr>
                <w:sz w:val="23"/>
                <w:szCs w:val="23"/>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457</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457</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1,774</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2,659</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3,015</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7,320</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8,485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9,968</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516"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4,041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1,120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(6,544)</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(455)</w:t>
            </w: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(1,774)</w:t>
            </w: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(10,850)</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746" w:right="239" w:bottom="516" w:gutter="0" w:footer="0" w:header="0"/>
          <w:type w:val="continuous"/>
        </w:sectPr>
      </w:pPr>
    </w:p>
    <w:p>
      <w:pPr>
        <w:ind w:right="360"/>
        <w:spacing w:after="0" w:line="235" w:lineRule="auto"/>
        <w:rPr>
          <w:sz w:val="20"/>
          <w:szCs w:val="20"/>
          <w:color w:val="auto"/>
        </w:rPr>
      </w:pPr>
      <w:r>
        <w:rPr>
          <w:rFonts w:ascii="Arial" w:cs="Arial" w:eastAsia="Arial" w:hAnsi="Arial"/>
          <w:sz w:val="18"/>
          <w:szCs w:val="18"/>
          <w:color w:val="auto"/>
        </w:rPr>
        <w:t>The net periodic benefit for the Company’s pension plans, as reported above, includes pension cost of $1.9 million reported in discontinued operations for 2015. The net periodic cost for the Company’s SERP, as reported above,</w:t>
      </w:r>
    </w:p>
    <w:p>
      <w:pPr>
        <w:sectPr>
          <w:pgSz w:w="11900" w:h="16838" w:orient="portrait"/>
          <w:cols w:equalWidth="0" w:num="1">
            <w:col w:w="11420"/>
          </w:cols>
          <w:pgMar w:left="240" w:top="746" w:right="239" w:bottom="516"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746" w:right="239" w:bottom="516" w:gutter="0" w:footer="0" w:header="0"/>
          <w:type w:val="continuous"/>
        </w:sectPr>
      </w:pPr>
    </w:p>
    <w:bookmarkStart w:id="68" w:name="page69"/>
    <w:bookmarkEnd w:id="68"/>
    <w:p>
      <w:pPr>
        <w:ind w:right="40"/>
        <w:spacing w:after="0" w:line="229" w:lineRule="auto"/>
        <w:rPr>
          <w:sz w:val="20"/>
          <w:szCs w:val="20"/>
          <w:color w:val="auto"/>
        </w:rPr>
      </w:pPr>
      <w:r>
        <w:rPr>
          <w:rFonts w:ascii="Arial" w:cs="Arial" w:eastAsia="Arial" w:hAnsi="Arial"/>
          <w:sz w:val="18"/>
          <w:szCs w:val="18"/>
          <w:color w:val="auto"/>
        </w:rPr>
        <w:t>includes cost of $0.2 million reported in discontinued operations for 2015. The curtailment gain of $2.2 million related to the Cable ONE spin-off is also included in discontinued operations for 2015. The curtailment gain of $1.1 million related to the sale of the KHE Campuses business is included in other income (expense), net for 2015.</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Pension Plans</w:t>
            </w:r>
          </w:p>
        </w:tc>
        <w:tc>
          <w:tcPr>
            <w:tcW w:w="1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w w:val="99"/>
              </w:rPr>
              <w:t>SERP</w:t>
            </w:r>
          </w:p>
        </w:tc>
        <w:tc>
          <w:tcPr>
            <w:tcW w:w="1100" w:type="dxa"/>
            <w:vAlign w:val="bottom"/>
            <w:tcBorders>
              <w:bottom w:val="single" w:sz="8" w:color="auto"/>
            </w:tcBorders>
          </w:tcPr>
          <w:p>
            <w:pPr>
              <w:spacing w:after="0"/>
              <w:rPr>
                <w:sz w:val="17"/>
                <w:szCs w:val="17"/>
                <w:color w:val="auto"/>
              </w:rPr>
            </w:pPr>
          </w:p>
        </w:tc>
      </w:tr>
      <w:tr>
        <w:trPr>
          <w:trHeight w:val="264"/>
        </w:trPr>
        <w:tc>
          <w:tcPr>
            <w:tcW w:w="2980" w:type="dxa"/>
            <w:vAlign w:val="bottom"/>
          </w:tcPr>
          <w:p>
            <w:pPr>
              <w:spacing w:after="0"/>
              <w:rPr>
                <w:sz w:val="22"/>
                <w:szCs w:val="22"/>
                <w:color w:val="auto"/>
              </w:rPr>
            </w:pPr>
          </w:p>
        </w:tc>
        <w:tc>
          <w:tcPr>
            <w:tcW w:w="3080" w:type="dxa"/>
            <w:vAlign w:val="bottom"/>
            <w:tcBorders>
              <w:bottom w:val="single" w:sz="8" w:color="auto"/>
            </w:tcBorders>
            <w:gridSpan w:val="2"/>
          </w:tcPr>
          <w:p>
            <w:pPr>
              <w:jc w:val="center"/>
              <w:ind w:left="108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2"/>
          </w:tcPr>
          <w:p>
            <w:pPr>
              <w:jc w:val="center"/>
              <w:ind w:left="1022"/>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64"/>
        </w:trPr>
        <w:tc>
          <w:tcPr>
            <w:tcW w:w="29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rPr>
              <w:t>2017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2015</w:t>
            </w:r>
          </w:p>
        </w:tc>
        <w:tc>
          <w:tcPr>
            <w:tcW w:w="16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2015</w:t>
            </w:r>
          </w:p>
        </w:tc>
      </w:tr>
      <w:tr>
        <w:trPr>
          <w:trHeight w:val="306"/>
        </w:trPr>
        <w:tc>
          <w:tcPr>
            <w:tcW w:w="2980" w:type="dxa"/>
            <w:vAlign w:val="bottom"/>
          </w:tcPr>
          <w:p>
            <w:pPr>
              <w:ind w:left="4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1480" w:type="dxa"/>
            <w:vAlign w:val="bottom"/>
          </w:tcPr>
          <w:p>
            <w:pPr>
              <w:jc w:val="center"/>
              <w:ind w:left="162"/>
              <w:spacing w:after="0"/>
              <w:rPr>
                <w:sz w:val="20"/>
                <w:szCs w:val="20"/>
                <w:color w:val="auto"/>
              </w:rPr>
            </w:pPr>
            <w:r>
              <w:rPr>
                <w:rFonts w:ascii="Arial" w:cs="Arial" w:eastAsia="Arial" w:hAnsi="Arial"/>
                <w:sz w:val="16"/>
                <w:szCs w:val="16"/>
                <w:b w:val="1"/>
                <w:bCs w:val="1"/>
                <w:color w:val="auto"/>
                <w:w w:val="98"/>
              </w:rPr>
              <w:t>4.1%</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280" w:type="dxa"/>
            <w:vAlign w:val="bottom"/>
          </w:tcPr>
          <w:p>
            <w:pPr>
              <w:jc w:val="center"/>
              <w:ind w:right="221"/>
              <w:spacing w:after="0"/>
              <w:rPr>
                <w:sz w:val="20"/>
                <w:szCs w:val="20"/>
                <w:color w:val="auto"/>
              </w:rPr>
            </w:pPr>
            <w:r>
              <w:rPr>
                <w:rFonts w:ascii="Arial" w:cs="Arial" w:eastAsia="Arial" w:hAnsi="Arial"/>
                <w:sz w:val="16"/>
                <w:szCs w:val="16"/>
                <w:color w:val="auto"/>
              </w:rPr>
              <w:t>4.4%/4.0%</w:t>
            </w:r>
          </w:p>
        </w:tc>
        <w:tc>
          <w:tcPr>
            <w:tcW w:w="1600" w:type="dxa"/>
            <w:vAlign w:val="bottom"/>
          </w:tcPr>
          <w:p>
            <w:pPr>
              <w:jc w:val="center"/>
              <w:ind w:left="62"/>
              <w:spacing w:after="0"/>
              <w:rPr>
                <w:sz w:val="20"/>
                <w:szCs w:val="20"/>
                <w:color w:val="auto"/>
              </w:rPr>
            </w:pPr>
            <w:r>
              <w:rPr>
                <w:rFonts w:ascii="Arial" w:cs="Arial" w:eastAsia="Arial" w:hAnsi="Arial"/>
                <w:sz w:val="16"/>
                <w:szCs w:val="16"/>
                <w:b w:val="1"/>
                <w:bCs w:val="1"/>
                <w:color w:val="auto"/>
              </w:rPr>
              <w:t>4.1%</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100" w:type="dxa"/>
            <w:vAlign w:val="bottom"/>
          </w:tcPr>
          <w:p>
            <w:pPr>
              <w:jc w:val="center"/>
              <w:ind w:right="61"/>
              <w:spacing w:after="0"/>
              <w:rPr>
                <w:sz w:val="20"/>
                <w:szCs w:val="20"/>
                <w:color w:val="auto"/>
              </w:rPr>
            </w:pPr>
            <w:r>
              <w:rPr>
                <w:rFonts w:ascii="Arial" w:cs="Arial" w:eastAsia="Arial" w:hAnsi="Arial"/>
                <w:sz w:val="16"/>
                <w:szCs w:val="16"/>
                <w:color w:val="auto"/>
              </w:rPr>
              <w:t>4.4%/4.0%</w:t>
            </w:r>
          </w:p>
        </w:tc>
      </w:tr>
      <w:tr>
        <w:trPr>
          <w:trHeight w:val="215"/>
        </w:trPr>
        <w:tc>
          <w:tcPr>
            <w:tcW w:w="29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Pr>
          <w:p>
            <w:pPr>
              <w:jc w:val="center"/>
              <w:ind w:left="142"/>
              <w:spacing w:after="0"/>
              <w:rPr>
                <w:sz w:val="20"/>
                <w:szCs w:val="20"/>
                <w:color w:val="auto"/>
              </w:rPr>
            </w:pPr>
            <w:r>
              <w:rPr>
                <w:rFonts w:ascii="Arial" w:cs="Arial" w:eastAsia="Arial" w:hAnsi="Arial"/>
                <w:sz w:val="16"/>
                <w:szCs w:val="16"/>
                <w:b w:val="1"/>
                <w:bCs w:val="1"/>
                <w:color w:val="auto"/>
              </w:rPr>
              <w:t>6.25%</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6.5%</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98"/>
              </w:rPr>
              <w:t>6.5%</w:t>
            </w:r>
          </w:p>
        </w:tc>
        <w:tc>
          <w:tcPr>
            <w:tcW w:w="160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ind w:right="61"/>
              <w:spacing w:after="0"/>
              <w:rPr>
                <w:sz w:val="20"/>
                <w:szCs w:val="20"/>
                <w:color w:val="auto"/>
              </w:rPr>
            </w:pPr>
            <w:r>
              <w:rPr>
                <w:rFonts w:ascii="Arial" w:cs="Arial" w:eastAsia="Arial" w:hAnsi="Arial"/>
                <w:sz w:val="16"/>
                <w:szCs w:val="16"/>
                <w:color w:val="auto"/>
                <w:w w:val="99"/>
              </w:rPr>
              <w:t>—</w:t>
            </w:r>
          </w:p>
        </w:tc>
      </w:tr>
      <w:tr>
        <w:trPr>
          <w:trHeight w:val="218"/>
        </w:trPr>
        <w:tc>
          <w:tcPr>
            <w:tcW w:w="29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6"/>
                <w:szCs w:val="16"/>
                <w:b w:val="1"/>
                <w:bCs w:val="1"/>
                <w:color w:val="auto"/>
              </w:rPr>
              <w:t>Age graded</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Arial" w:cs="Arial" w:eastAsia="Arial" w:hAnsi="Arial"/>
                <w:sz w:val="16"/>
                <w:szCs w:val="16"/>
                <w:b w:val="1"/>
                <w:bCs w:val="1"/>
                <w:color w:val="auto"/>
              </w:rPr>
              <w:t>Age graded</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298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480" w:type="dxa"/>
            <w:vAlign w:val="bottom"/>
          </w:tcPr>
          <w:p>
            <w:pPr>
              <w:jc w:val="center"/>
              <w:ind w:left="142"/>
              <w:spacing w:after="0"/>
              <w:rPr>
                <w:sz w:val="20"/>
                <w:szCs w:val="20"/>
                <w:color w:val="auto"/>
              </w:rPr>
            </w:pPr>
            <w:r>
              <w:rPr>
                <w:rFonts w:ascii="Arial" w:cs="Arial" w:eastAsia="Arial" w:hAnsi="Arial"/>
                <w:sz w:val="16"/>
                <w:szCs w:val="16"/>
                <w:b w:val="1"/>
                <w:bCs w:val="1"/>
                <w:color w:val="auto"/>
              </w:rPr>
              <w:t>(5.0%–1.0%)</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4.0%</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98"/>
              </w:rPr>
              <w:t>4.0%</w:t>
            </w:r>
          </w:p>
        </w:tc>
        <w:tc>
          <w:tcPr>
            <w:tcW w:w="1600" w:type="dxa"/>
            <w:vAlign w:val="bottom"/>
          </w:tcPr>
          <w:p>
            <w:pPr>
              <w:jc w:val="center"/>
              <w:ind w:left="62"/>
              <w:spacing w:after="0"/>
              <w:rPr>
                <w:sz w:val="20"/>
                <w:szCs w:val="20"/>
                <w:color w:val="auto"/>
              </w:rPr>
            </w:pPr>
            <w:r>
              <w:rPr>
                <w:rFonts w:ascii="Arial" w:cs="Arial" w:eastAsia="Arial" w:hAnsi="Arial"/>
                <w:sz w:val="16"/>
                <w:szCs w:val="16"/>
                <w:b w:val="1"/>
                <w:bCs w:val="1"/>
                <w:color w:val="auto"/>
              </w:rPr>
              <w:t>(5.0%–1.0%)</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4.0%</w:t>
            </w:r>
          </w:p>
        </w:tc>
        <w:tc>
          <w:tcPr>
            <w:tcW w:w="1100" w:type="dxa"/>
            <w:vAlign w:val="bottom"/>
          </w:tcPr>
          <w:p>
            <w:pPr>
              <w:jc w:val="center"/>
              <w:ind w:right="61"/>
              <w:spacing w:after="0"/>
              <w:rPr>
                <w:sz w:val="20"/>
                <w:szCs w:val="20"/>
                <w:color w:val="auto"/>
              </w:rPr>
            </w:pPr>
            <w:r>
              <w:rPr>
                <w:rFonts w:ascii="Arial" w:cs="Arial" w:eastAsia="Arial" w:hAnsi="Arial"/>
                <w:sz w:val="16"/>
                <w:szCs w:val="16"/>
                <w:color w:val="auto"/>
                <w:w w:val="98"/>
              </w:rPr>
              <w:t>4.0%</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65" w:lineRule="exact"/>
        <w:rPr>
          <w:sz w:val="20"/>
          <w:szCs w:val="20"/>
          <w:color w:val="auto"/>
        </w:rPr>
      </w:pPr>
    </w:p>
    <w:p>
      <w:pPr>
        <w:ind w:left="260" w:right="40" w:hanging="252"/>
        <w:spacing w:after="0" w:line="225"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 a result of the spin-off of Cable ONE and the sale of the KHE Campuses business, the Company remeasured the accumulated and projected benefit obligation of the pension plan as of July 1, 2015 and September 3, 2015, respectively. As a result of the spin-off of Cable ONE, the accumulated and projected benefit obligation of the SERP was remeasured as of July 1, 2015. The remeasurement changed the discount rate from 4.0% for the first six months to 4.4% for the second half of 2015.</w:t>
      </w:r>
    </w:p>
    <w:p>
      <w:pPr>
        <w:spacing w:after="0" w:line="13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(461,779)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(285,304)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27,225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24,958</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270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775</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(461,509)</w:t>
            </w: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(284,939)</w:t>
            </w:r>
          </w:p>
        </w:tc>
        <w:tc>
          <w:tcPr>
            <w:tcW w:w="320" w:type="dxa"/>
            <w:vAlign w:val="bottom"/>
          </w:tcPr>
          <w:p>
            <w:pPr>
              <w:spacing w:after="0"/>
              <w:rPr>
                <w:sz w:val="21"/>
                <w:szCs w:val="21"/>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27,545</w:t>
            </w:r>
          </w:p>
        </w:tc>
        <w:tc>
          <w:tcPr>
            <w:tcW w:w="34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25,733</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124,607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113,976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(7,437)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(10,293)</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(336,902)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(170,963)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20,108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15,440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expects to recognize the following amortization components of net periodic cost for the defined benefit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Pension Plans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SERP</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(4,236)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2,217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Prior service cost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148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311</w:t>
            </w:r>
          </w:p>
        </w:tc>
      </w:tr>
    </w:tbl>
    <w:p>
      <w:pPr>
        <w:spacing w:after="0" w:line="14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plans were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53%</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30%</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fixed-income securities. The remaining 55%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December 31, 2017, the investment managers can invest no more than 23% of the assets they manage in specified international exchanges, at the time the investment is made, and no less than 10% of the assets could be invested in fixed-income securities.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746" w:right="239" w:bottom="1440" w:gutter="0" w:footer="0" w:header="0"/>
          <w:type w:val="continuous"/>
        </w:sectPr>
      </w:pPr>
    </w:p>
    <w:bookmarkStart w:id="69" w:name="page70"/>
    <w:bookmarkEnd w:id="69"/>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2017. Types of concentrations that were evaluated include, but are not limited to, investment concentrations in a single entity, type of industry, foreign country and individual fund. At December 31, 2017 and 2016, the pension plan held investments in one common stock and one U.S. stock index fund that exceeded 10% of total plan assets. These investments were valued at $1,079.3 million and $978.8 million at December 31, 2017 and 2016, respectively, or approximately 46% and 48%, respectively, of total plan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As of December 31, 2017</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73,877</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181,638</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255,515</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1,242,139</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1,242,139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138,640</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138,640</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706,202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706,202</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1,454,656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181,638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706,202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2,342,496</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975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2,343,471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2016</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61,438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162,010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223,448</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1,074,528</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1,074,528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120,735</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120,735</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622,865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622,865</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1,256,701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162,010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622,865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2,041,576</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4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2,042,490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a combination of other collective funds that together are designed to track the performance of the S&amp;P 500 Index. The fund is valued using the net asset value (NAV) provided by the administrator of the fund and reviewed by the Company. The NAV is based on the value of the underlying assets owned by the fund, minus liabilities and divided by the number of units outstanding. The investment in this fund may be redeemed daily, subjected to the restrictions of the fund. This investment is classified as Level 3 in the valuation hierarchy.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U.S. Stock Index Fund</w:t>
            </w:r>
          </w:p>
        </w:tc>
      </w:tr>
      <w:tr>
        <w:trPr>
          <w:trHeight w:val="250"/>
        </w:trPr>
        <w:tc>
          <w:tcPr>
            <w:tcW w:w="8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622,865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Purchases, sales, and settlements, net</w:t>
            </w:r>
          </w:p>
        </w:tc>
        <w:tc>
          <w:tcPr>
            <w:tcW w:w="28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(50,000)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574,000</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Gains relating to assets sold</w:t>
            </w:r>
          </w:p>
        </w:tc>
        <w:tc>
          <w:tcPr>
            <w:tcW w:w="28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6,796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Gains relating to assets still held at year-end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126,541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48,865</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706,202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622,865</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2016</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24,171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37,391</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1,028</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1,386</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779</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1,230</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(2,830)</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(14,984)</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516</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22,785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24,171</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879</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852</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(22,785)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(24,171)</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26035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(1,920)  </w:t>
      </w:r>
      <w:r>
        <w:rPr>
          <w:rFonts w:ascii="Arial" w:cs="Arial" w:eastAsia="Arial" w:hAnsi="Arial"/>
          <w:sz w:val="16"/>
          <w:szCs w:val="16"/>
          <w:color w:val="auto"/>
        </w:rPr>
        <w:t>$</w:t>
      </w:r>
      <w:r>
        <w:rPr>
          <w:rFonts w:ascii="Arial" w:cs="Arial" w:eastAsia="Arial" w:hAnsi="Arial"/>
          <w:sz w:val="15"/>
          <w:szCs w:val="15"/>
          <w:color w:val="auto"/>
        </w:rPr>
        <w:t>(2,312)</w:t>
      </w:r>
    </w:p>
    <w:p>
      <w:pPr>
        <w:spacing w:after="0" w:line="8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(20,865)</w:t>
      </w:r>
      <w:r>
        <w:rPr>
          <w:rFonts w:ascii="Arial" w:cs="Arial" w:eastAsia="Arial" w:hAnsi="Arial"/>
          <w:sz w:val="16"/>
          <w:szCs w:val="16"/>
          <w:color w:val="auto"/>
        </w:rPr>
        <w:t>(21,859)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320" w:val="left"/>
          <w:tab w:leader="none" w:pos="1120" w:val="left"/>
          <w:tab w:leader="none" w:pos="1460" w:val="left"/>
        </w:tabs>
        <w:rPr>
          <w:sz w:val="20"/>
          <w:szCs w:val="20"/>
          <w:color w:val="auto"/>
        </w:rPr>
      </w:pPr>
      <w:r>
        <w:rPr>
          <w:rFonts w:ascii="Arial" w:cs="Arial" w:eastAsia="Arial" w:hAnsi="Arial"/>
          <w:sz w:val="16"/>
          <w:szCs w:val="16"/>
          <w:b w:val="1"/>
          <w:bCs w:val="1"/>
          <w:color w:val="auto"/>
        </w:rPr>
        <w:t>$</w:t>
        <w:tab/>
        <w:t>(22,785)</w:t>
      </w:r>
      <w:r>
        <w:rPr>
          <w:sz w:val="20"/>
          <w:szCs w:val="20"/>
          <w:color w:val="auto"/>
        </w:rPr>
        <w:tab/>
      </w:r>
      <w:r>
        <w:rPr>
          <w:rFonts w:ascii="Arial" w:cs="Arial" w:eastAsia="Arial" w:hAnsi="Arial"/>
          <w:sz w:val="16"/>
          <w:szCs w:val="16"/>
          <w:color w:val="auto"/>
        </w:rPr>
        <w:t>$</w:t>
        <w:tab/>
        <w:t>(24,171)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746" w:right="239" w:bottom="1440" w:gutter="0" w:footer="0" w:header="0"/>
          <w:type w:val="continuous"/>
        </w:sectPr>
      </w:pPr>
    </w:p>
    <w:p>
      <w:pPr>
        <w:spacing w:after="0" w:line="2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discount rates utilized for determining the benefit obligation at December 31, 2017 and 2016, for the postretirement plans were 3.11% and 3.31%, respectively. The assumed healthcare cost trend rate used in measuring the postretirement benefit obligation at December 31, 2017, was 7.81% for pre-age 65, decreasing to 4.5% in the year 2026 and thereafter. The assumed healthcare cost trend rate used in measuring the postretirement benefit obligation at December 31, 2017, was 8.42% for post-age 65, decreasing to 4.5% in the year 2026 and thereafter.</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change of one percentage point in the assumed healthcare cost trend rates would have the following effects: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1%</w:t>
            </w:r>
          </w:p>
        </w:tc>
      </w:tr>
      <w:tr>
        <w:trPr>
          <w:trHeight w:val="27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5800" w:type="dxa"/>
            <w:vAlign w:val="bottom"/>
          </w:tcPr>
          <w:p>
            <w:pPr>
              <w:ind w:left="40"/>
              <w:spacing w:after="0"/>
              <w:rPr>
                <w:sz w:val="20"/>
                <w:szCs w:val="20"/>
                <w:color w:val="auto"/>
              </w:rPr>
            </w:pPr>
            <w:r>
              <w:rPr>
                <w:rFonts w:ascii="Arial" w:cs="Arial" w:eastAsia="Arial" w:hAnsi="Arial"/>
                <w:sz w:val="16"/>
                <w:szCs w:val="16"/>
                <w:color w:val="auto"/>
              </w:rPr>
              <w:t>Benefit obligation at end of year</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1,304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contributions to its postretirement benefit plans of $0.9 million for each of the years ended December 31, 2017 and 2016.</w:t>
      </w:r>
    </w:p>
    <w:p>
      <w:pPr>
        <w:spacing w:after="0"/>
        <w:rPr>
          <w:sz w:val="20"/>
          <w:szCs w:val="20"/>
          <w:color w:val="auto"/>
        </w:rPr>
      </w:pPr>
      <w:r>
        <w:rPr>
          <w:rFonts w:ascii="Arial" w:cs="Arial" w:eastAsia="Arial" w:hAnsi="Arial"/>
          <w:sz w:val="18"/>
          <w:szCs w:val="18"/>
          <w:color w:val="auto"/>
        </w:rPr>
        <w:t>As the plans are unfunded, the Company makes contributions to its postretirement plans based on actual benefit payments.</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746"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color w:val="auto"/>
        </w:rPr>
        <w:t>At December 31, 2017, future estimated benefit payments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Postretirement</w:t>
            </w:r>
          </w:p>
        </w:tc>
      </w:tr>
      <w:tr>
        <w:trPr>
          <w:trHeight w:val="19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Plans</w:t>
            </w:r>
          </w:p>
        </w:tc>
      </w:tr>
      <w:tr>
        <w:trPr>
          <w:trHeight w:val="223"/>
        </w:trPr>
        <w:tc>
          <w:tcPr>
            <w:tcW w:w="8120" w:type="dxa"/>
            <w:vAlign w:val="bottom"/>
          </w:tcPr>
          <w:p>
            <w:pPr>
              <w:ind w:left="4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1,920</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1,885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2,054</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2,086</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2,153</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2023–2027</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10,178</w:t>
            </w:r>
          </w:p>
        </w:tc>
      </w:tr>
      <w:tr>
        <w:trPr>
          <w:trHeight w:val="384"/>
        </w:trPr>
        <w:tc>
          <w:tcPr>
            <w:tcW w:w="9240" w:type="dxa"/>
            <w:vAlign w:val="bottom"/>
            <w:gridSpan w:val="3"/>
          </w:tcPr>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6"/>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left="622"/>
              <w:spacing w:after="0"/>
              <w:rPr>
                <w:sz w:val="20"/>
                <w:szCs w:val="20"/>
                <w:color w:val="auto"/>
              </w:rPr>
            </w:pPr>
            <w:r>
              <w:rPr>
                <w:rFonts w:ascii="Arial" w:cs="Arial" w:eastAsia="Arial" w:hAnsi="Arial"/>
                <w:sz w:val="14"/>
                <w:szCs w:val="14"/>
                <w:b w:val="1"/>
                <w:bCs w:val="1"/>
                <w:color w:val="auto"/>
              </w:rPr>
              <w:t>Postretirement Plans</w:t>
            </w:r>
          </w:p>
        </w:tc>
        <w:tc>
          <w:tcPr>
            <w:tcW w:w="900" w:type="dxa"/>
            <w:vAlign w:val="bottom"/>
            <w:tcBorders>
              <w:bottom w:val="single" w:sz="8" w:color="auto"/>
            </w:tcBorders>
          </w:tcPr>
          <w:p>
            <w:pPr>
              <w:spacing w:after="0"/>
              <w:rPr>
                <w:sz w:val="24"/>
                <w:szCs w:val="24"/>
                <w:color w:val="auto"/>
              </w:rPr>
            </w:pPr>
          </w:p>
        </w:tc>
      </w:tr>
      <w:tr>
        <w:trPr>
          <w:trHeight w:val="250"/>
        </w:trPr>
        <w:tc>
          <w:tcPr>
            <w:tcW w:w="8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2015</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color w:val="auto"/>
              </w:rPr>
              <w:t>1,028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1,331</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color w:val="auto"/>
              </w:rPr>
              <w:t>779</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1,230</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1,299</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(148)</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(3,891)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(Benefit) Cost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(2,232)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(2,830)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(14,984)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(5,296)</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148</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335</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502</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3,891</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1,502</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1,209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w:t>
            </w:r>
          </w:p>
        </w:tc>
      </w:tr>
      <w:tr>
        <w:trPr>
          <w:trHeight w:val="26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00" w:space="720"/>
            <w:col w:w="3300"/>
          </w:cols>
          <w:pgMar w:left="240" w:top="746" w:right="239" w:bottom="1440" w:gutter="0" w:footer="0" w:header="0"/>
          <w:type w:val="continuous"/>
        </w:sectPr>
      </w:pPr>
    </w:p>
    <w:p>
      <w:pPr>
        <w:ind w:right="340"/>
        <w:spacing w:after="0" w:line="229" w:lineRule="auto"/>
        <w:rPr>
          <w:sz w:val="20"/>
          <w:szCs w:val="20"/>
          <w:color w:val="auto"/>
        </w:rPr>
      </w:pPr>
      <w:r>
        <w:rPr>
          <w:rFonts w:ascii="Arial" w:cs="Arial" w:eastAsia="Arial" w:hAnsi="Arial"/>
          <w:sz w:val="18"/>
          <w:szCs w:val="18"/>
          <w:color w:val="auto"/>
        </w:rPr>
        <w:t>The costs for the Company’s postretirement plans are actuarially determined. The discount rates utilized to determine periodic cost for the years ended December 31, 2017, 2016 and 2015, were 3.31%, 3.45% and 3.25%, respectively. AOCI included the following components of unrecognized net periodic benefit for the postretirement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2016</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(24,125)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(25,186)</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(24,303)</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(25,512)</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6,561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10,205</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(17,742)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expects to recognize the following amortization components of net periodic cost for the other postretirement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2018</w:t>
            </w:r>
          </w:p>
        </w:tc>
      </w:tr>
      <w:tr>
        <w:trPr>
          <w:trHeight w:val="223"/>
        </w:trPr>
        <w:tc>
          <w:tcPr>
            <w:tcW w:w="6380" w:type="dxa"/>
            <w:vAlign w:val="bottom"/>
          </w:tcPr>
          <w:p>
            <w:pPr>
              <w:ind w:left="40"/>
              <w:spacing w:after="0"/>
              <w:rPr>
                <w:sz w:val="20"/>
                <w:szCs w:val="20"/>
                <w:color w:val="auto"/>
              </w:rPr>
            </w:pPr>
            <w:r>
              <w:rPr>
                <w:rFonts w:ascii="Arial" w:cs="Arial" w:eastAsia="Arial" w:hAnsi="Arial"/>
                <w:sz w:val="16"/>
                <w:szCs w:val="16"/>
                <w:color w:val="auto"/>
              </w:rPr>
              <w:t>Actuarial gain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(3,686)</w:t>
            </w:r>
          </w:p>
        </w:tc>
      </w:tr>
      <w:tr>
        <w:trPr>
          <w:trHeight w:val="243"/>
        </w:trPr>
        <w:tc>
          <w:tcPr>
            <w:tcW w:w="6380" w:type="dxa"/>
            <w:vAlign w:val="bottom"/>
          </w:tcPr>
          <w:p>
            <w:pPr>
              <w:ind w:left="40"/>
              <w:spacing w:after="0"/>
              <w:rPr>
                <w:sz w:val="20"/>
                <w:szCs w:val="20"/>
                <w:color w:val="auto"/>
              </w:rPr>
            </w:pPr>
            <w:r>
              <w:rPr>
                <w:rFonts w:ascii="Arial" w:cs="Arial" w:eastAsia="Arial" w:hAnsi="Arial"/>
                <w:sz w:val="16"/>
                <w:szCs w:val="16"/>
                <w:color w:val="auto"/>
              </w:rPr>
              <w:t>Prior service credit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r>
    </w:tbl>
    <w:p>
      <w:pPr>
        <w:spacing w:after="0" w:line="14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2017, 2016 and 2015,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2017, 2016 and 2015.</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$7.5 million in 2017 and 2016, and $7.6 million in 2015.</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6" w:right="239" w:bottom="1440" w:gutter="0" w:footer="0" w:header="0"/>
          <w:type w:val="continuous"/>
        </w:sectPr>
      </w:pPr>
    </w:p>
    <w:bookmarkStart w:id="72" w:name="page73"/>
    <w:bookmarkEnd w:id="72"/>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9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gain (losses),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gain on sales of businesses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losses on sales or write-downs of cost method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property, plant and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formation of a joint venture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Classified Ventures</w:t>
      </w:r>
    </w:p>
    <w:p>
      <w:pPr>
        <w:spacing w:after="0" w:line="86" w:lineRule="exact"/>
        <w:rPr>
          <w:sz w:val="20"/>
          <w:szCs w:val="20"/>
          <w:color w:val="auto"/>
        </w:rPr>
      </w:pPr>
    </w:p>
    <w:p>
      <w:pPr>
        <w:ind w:left="40" w:right="2360"/>
        <w:spacing w:after="0" w:line="356" w:lineRule="auto"/>
        <w:rPr>
          <w:sz w:val="20"/>
          <w:szCs w:val="20"/>
          <w:color w:val="auto"/>
        </w:rPr>
      </w:pPr>
      <w:r>
        <w:rPr>
          <w:rFonts w:ascii="Arial" w:cs="Arial" w:eastAsia="Arial" w:hAnsi="Arial"/>
          <w:sz w:val="16"/>
          <w:szCs w:val="16"/>
          <w:color w:val="auto"/>
        </w:rPr>
        <w:t>Net losses on sales or write-down of marketable equity securities Other,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3,310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(39,890)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(15,564)</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(569)</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18,931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(23,335)</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(184)</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(28,571)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(1,124)</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34,072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21,379</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3,232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5,972</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4,827</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3"/>
        </w:trPr>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1,684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64"/>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4,241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724" w:right="239" w:bottom="1440" w:gutter="0" w:footer="0" w:header="0"/>
          <w:type w:val="continuous"/>
        </w:sectPr>
      </w:pPr>
    </w:p>
    <w:p>
      <w:pPr>
        <w:ind w:right="680"/>
        <w:spacing w:after="0" w:line="235" w:lineRule="auto"/>
        <w:rPr>
          <w:sz w:val="20"/>
          <w:szCs w:val="20"/>
          <w:color w:val="auto"/>
        </w:rPr>
      </w:pPr>
      <w:r>
        <w:rPr>
          <w:rFonts w:ascii="Arial" w:cs="Arial" w:eastAsia="Arial" w:hAnsi="Arial"/>
          <w:sz w:val="18"/>
          <w:szCs w:val="18"/>
          <w:color w:val="auto"/>
        </w:rPr>
        <w:t>In the third quarter of 2016, the Company recorded an impairment of $15.0 million to the preferred equity interest in a vocational school company. In the fourth quarter of 2016, an additional $12.0 million impairment was recorded.</w:t>
      </w:r>
    </w:p>
    <w:p>
      <w:pPr>
        <w:spacing w:after="0" w:line="135"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w:t>
      </w:r>
    </w:p>
    <w:p>
      <w:pPr>
        <w:spacing w:after="0" w:line="144"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In the fourth quarter of 2015, the Company sold a portion of the Robinson Terminal real estate remaining from the sale of the Publishing Subsidiaries, for a gain of $21.4 million.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2015, Kaplan sold the KHE Campuses business, and Franklyn Scholar, which was part of Kaplan International, for a total loss of $26.3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favorable $4.8 million out of period adjustment to the gain on the sale of Classified Ventures related to the fourth quarter of 2014. With respect to this error, the Company has concluded that it was not material to the Company’s financial position or results of operations for 2015 and the related interim period, based on its consideration of quantitative and qualitative factors.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24" w:right="239" w:bottom="1440" w:gutter="0" w:footer="0" w:header="0"/>
          <w:type w:val="continuous"/>
        </w:sectPr>
      </w:pPr>
    </w:p>
    <w:bookmarkStart w:id="73" w:name="page74"/>
    <w:bookmarkEnd w:id="73"/>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2017</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right="2620"/>
        <w:spacing w:after="0" w:line="366" w:lineRule="auto"/>
        <w:rPr>
          <w:sz w:val="20"/>
          <w:szCs w:val="20"/>
          <w:color w:val="auto"/>
        </w:rPr>
      </w:pPr>
      <w:r>
        <w:rPr>
          <w:rFonts w:ascii="Arial" w:cs="Arial" w:eastAsia="Arial" w:hAnsi="Arial"/>
          <w:sz w:val="16"/>
          <w:szCs w:val="16"/>
          <w:color w:val="auto"/>
        </w:rPr>
        <w:t>Amortization of net actuarial gain included in net income Amortization of net prior service cost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33,175</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33,175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33,312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33,312</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112,086</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(44,834)</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67,252</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179,674</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(48,511)</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131,163</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(6,527)</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2,612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(3,915)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286</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173,549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(46,070)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127,479</w:t>
            </w:r>
          </w:p>
        </w:tc>
      </w:tr>
      <w:tr>
        <w:trPr>
          <w:trHeight w:val="534"/>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319,059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(90,923)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228,136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152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580" w:val="left"/>
          <w:tab w:leader="none" w:pos="2760" w:val="left"/>
        </w:tabs>
        <w:rPr>
          <w:sz w:val="20"/>
          <w:szCs w:val="20"/>
          <w:color w:val="auto"/>
        </w:rPr>
      </w:pPr>
      <w:r>
        <w:rPr>
          <w:rFonts w:ascii="Arial" w:cs="Arial" w:eastAsia="Arial" w:hAnsi="Arial"/>
          <w:sz w:val="14"/>
          <w:szCs w:val="14"/>
          <w:color w:val="auto"/>
        </w:rPr>
        <w:t>Before-Tax</w:t>
      </w:r>
      <w:r>
        <w:rPr>
          <w:sz w:val="20"/>
          <w:szCs w:val="20"/>
          <w:color w:val="auto"/>
        </w:rPr>
        <w:tab/>
      </w: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After-Tax</w:t>
      </w:r>
    </w:p>
    <w:p>
      <w:pPr>
        <w:spacing w:after="0" w:line="55" w:lineRule="exact"/>
        <w:rPr>
          <w:sz w:val="20"/>
          <w:szCs w:val="20"/>
          <w:color w:val="auto"/>
        </w:rPr>
      </w:pPr>
    </w:p>
    <w:p>
      <w:pPr>
        <w:ind w:left="320"/>
        <w:spacing w:after="0"/>
        <w:tabs>
          <w:tab w:leader="none" w:pos="1700" w:val="left"/>
          <w:tab w:leader="none" w:pos="280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Tax</w:t>
      </w:r>
      <w:r>
        <w:rPr>
          <w:sz w:val="20"/>
          <w:szCs w:val="20"/>
          <w:color w:val="auto"/>
        </w:rPr>
        <w:tab/>
      </w:r>
      <w:r>
        <w:rPr>
          <w:rFonts w:ascii="Arial" w:cs="Arial" w:eastAsia="Arial" w:hAnsi="Arial"/>
          <w:sz w:val="14"/>
          <w:szCs w:val="14"/>
          <w:color w:val="auto"/>
        </w:rPr>
        <w:t>Amount</w:t>
      </w:r>
    </w:p>
    <w:p>
      <w:pPr>
        <w:spacing w:after="0" w:line="147" w:lineRule="exact"/>
        <w:rPr>
          <w:sz w:val="20"/>
          <w:szCs w:val="20"/>
          <w:color w:val="auto"/>
        </w:rPr>
      </w:pPr>
    </w:p>
    <w:p>
      <w:pPr>
        <w:sectPr>
          <w:pgSz w:w="11900" w:h="16838" w:orient="portrait"/>
          <w:cols w:equalWidth="0" w:num="2">
            <w:col w:w="7060" w:space="720"/>
            <w:col w:w="3640"/>
          </w:cols>
          <w:pgMar w:left="240" w:top="724" w:right="2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774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(22,149)</w:t>
            </w:r>
          </w:p>
        </w:tc>
      </w:tr>
      <w:tr>
        <w:trPr>
          <w:trHeight w:val="270"/>
        </w:trPr>
        <w:tc>
          <w:tcPr>
            <w:tcW w:w="7740" w:type="dxa"/>
            <w:vAlign w:val="bottom"/>
          </w:tcPr>
          <w:p>
            <w:pPr>
              <w:spacing w:after="0"/>
              <w:rPr>
                <w:sz w:val="20"/>
                <w:szCs w:val="20"/>
                <w:color w:val="auto"/>
              </w:rPr>
            </w:pPr>
            <w:r>
              <w:rPr>
                <w:rFonts w:ascii="Arial" w:cs="Arial" w:eastAsia="Arial" w:hAnsi="Arial"/>
                <w:sz w:val="16"/>
                <w:szCs w:val="16"/>
                <w:color w:val="auto"/>
              </w:rPr>
              <w:t>Unrealized gains on available-for-sale securities: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Unrealized gains for the year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55,507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(22,203)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33,304</w:t>
            </w:r>
          </w:p>
        </w:tc>
      </w:tr>
      <w:tr>
        <w:trPr>
          <w:trHeight w:val="238"/>
        </w:trPr>
        <w:tc>
          <w:tcPr>
            <w:tcW w:w="7740" w:type="dxa"/>
            <w:vAlign w:val="bottom"/>
          </w:tcPr>
          <w:p>
            <w:pPr>
              <w:ind w:left="140"/>
              <w:spacing w:after="0"/>
              <w:rPr>
                <w:sz w:val="20"/>
                <w:szCs w:val="20"/>
                <w:color w:val="auto"/>
              </w:rPr>
            </w:pPr>
            <w:r>
              <w:rPr>
                <w:rFonts w:ascii="Arial" w:cs="Arial" w:eastAsia="Arial" w:hAnsi="Arial"/>
                <w:sz w:val="16"/>
                <w:szCs w:val="16"/>
                <w:color w:val="auto"/>
              </w:rPr>
              <w:t>Reclassification adjustment for net realized loss on sale of available-for-sale securities included in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8"/>
        </w:trPr>
        <w:tc>
          <w:tcPr>
            <w:tcW w:w="7740" w:type="dxa"/>
            <w:vAlign w:val="bottom"/>
          </w:tcPr>
          <w:p>
            <w:pPr>
              <w:ind w:left="30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1,879</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1,127</w:t>
            </w: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57,386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34,431</w:t>
            </w: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(133,915)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53,566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(80,349)</w:t>
            </w: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Amortization of net actuarial loss included in net income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1,157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694</w:t>
            </w: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419</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83"/>
        </w:trPr>
        <w:tc>
          <w:tcPr>
            <w:tcW w:w="7740" w:type="dxa"/>
            <w:vAlign w:val="bottom"/>
          </w:tcPr>
          <w:p>
            <w:pPr>
              <w:ind w:left="140"/>
              <w:spacing w:after="0"/>
              <w:rPr>
                <w:sz w:val="20"/>
                <w:szCs w:val="20"/>
                <w:color w:val="auto"/>
              </w:rPr>
            </w:pPr>
            <w:r>
              <w:rPr>
                <w:rFonts w:ascii="Arial" w:cs="Arial" w:eastAsia="Arial" w:hAnsi="Arial"/>
                <w:sz w:val="16"/>
                <w:szCs w:val="16"/>
                <w:color w:val="auto"/>
              </w:rPr>
              <w:t>Curtailments and settlements included in net income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(17,993)</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7,197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w:t>
            </w: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(150,332)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60,133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(90,199)</w:t>
            </w: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Cash flow hedge: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3"/>
        </w:trPr>
        <w:tc>
          <w:tcPr>
            <w:tcW w:w="774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67"/>
        </w:trPr>
        <w:tc>
          <w:tcPr>
            <w:tcW w:w="7740" w:type="dxa"/>
            <w:vAlign w:val="bottom"/>
          </w:tcPr>
          <w:p>
            <w:pPr>
              <w:spacing w:after="0"/>
              <w:rPr>
                <w:sz w:val="20"/>
                <w:szCs w:val="20"/>
                <w:color w:val="auto"/>
              </w:rPr>
            </w:pPr>
            <w:r>
              <w:rPr>
                <w:rFonts w:ascii="Arial" w:cs="Arial" w:eastAsia="Arial" w:hAnsi="Arial"/>
                <w:sz w:val="16"/>
                <w:szCs w:val="16"/>
                <w:b w:val="1"/>
                <w:bCs w:val="1"/>
                <w:color w:val="auto"/>
              </w:rPr>
              <w:t>Other Comprehensive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(115,429)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(78,194)</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24"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Year Ended December 31, 2015</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98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40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realized gain on sale of available-for-sale securities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(18,898)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(18,898)</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5,501</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(13,397)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(13,397)</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10,620</w:t>
            </w:r>
          </w:p>
        </w:tc>
        <w:tc>
          <w:tcPr>
            <w:tcW w:w="3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(4,248)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6,372</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10,616</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(211,054)</w:t>
            </w:r>
          </w:p>
        </w:tc>
        <w:tc>
          <w:tcPr>
            <w:tcW w:w="38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84,421</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(126,633)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(9,906)</w:t>
            </w:r>
          </w:p>
        </w:tc>
        <w:tc>
          <w:tcPr>
            <w:tcW w:w="3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3,962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(219,800)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87,919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(131,881)</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(222,402)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740" w:space="40"/>
            <w:col w:w="3640"/>
          </w:cols>
          <w:pgMar w:left="240" w:top="982"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4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40" w:type="dxa"/>
            <w:vAlign w:val="bottom"/>
          </w:tcPr>
          <w:p>
            <w:pPr>
              <w:jc w:val="center"/>
              <w:ind w:right="81"/>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(4,849)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58,500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261,029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314,680</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5"/>
        </w:trPr>
        <w:tc>
          <w:tcPr>
            <w:tcW w:w="436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(22,149)</w:t>
            </w:r>
          </w:p>
        </w:tc>
        <w:tc>
          <w:tcPr>
            <w:tcW w:w="220" w:type="dxa"/>
            <w:vAlign w:val="bottom"/>
          </w:tcPr>
          <w:p>
            <w:pPr>
              <w:spacing w:after="0"/>
              <w:rPr>
                <w:sz w:val="16"/>
                <w:szCs w:val="16"/>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33,304</w:t>
            </w:r>
          </w:p>
        </w:tc>
        <w:tc>
          <w:tcPr>
            <w:tcW w:w="24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(80,349)</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(69,484)</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Net amount reclassified from accumulated other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8"/>
        </w:trPr>
        <w:tc>
          <w:tcPr>
            <w:tcW w:w="4360" w:type="dxa"/>
            <w:vAlign w:val="bottom"/>
          </w:tcPr>
          <w:p>
            <w:pPr>
              <w:ind w:left="3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1,127</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(9,850)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(8,710)</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(22,149)</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34,431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(90,199)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(78,194)</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180" w:type="dxa"/>
            <w:vAlign w:val="bottom"/>
          </w:tcPr>
          <w:p>
            <w:pPr>
              <w:spacing w:after="0"/>
              <w:rPr>
                <w:sz w:val="21"/>
                <w:szCs w:val="21"/>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(26,998)</w:t>
            </w:r>
          </w:p>
        </w:tc>
        <w:tc>
          <w:tcPr>
            <w:tcW w:w="22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92,931</w:t>
            </w:r>
          </w:p>
        </w:tc>
        <w:tc>
          <w:tcPr>
            <w:tcW w:w="240" w:type="dxa"/>
            <w:vAlign w:val="bottom"/>
          </w:tcPr>
          <w:p>
            <w:pPr>
              <w:spacing w:after="0"/>
              <w:rPr>
                <w:sz w:val="21"/>
                <w:szCs w:val="21"/>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170,830</w:t>
            </w: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236,486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b w:val="1"/>
                <w:bCs w:val="1"/>
                <w:color w:val="auto"/>
              </w:rPr>
              <w:t>33,175</w:t>
            </w:r>
          </w:p>
        </w:tc>
        <w:tc>
          <w:tcPr>
            <w:tcW w:w="22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67,252</w:t>
            </w:r>
          </w:p>
        </w:tc>
        <w:tc>
          <w:tcPr>
            <w:tcW w:w="240" w:type="dxa"/>
            <w:vAlign w:val="bottom"/>
          </w:tcPr>
          <w:p>
            <w:pPr>
              <w:spacing w:after="0"/>
              <w:rPr>
                <w:sz w:val="18"/>
                <w:szCs w:val="18"/>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131,108</w:t>
            </w: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b w:val="1"/>
                <w:bCs w:val="1"/>
                <w:color w:val="auto"/>
              </w:rPr>
              <w:t>231,506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137</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(3,629)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122</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(3,370)</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other comprehensive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33,312</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67,252</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127,479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228,136</w:t>
            </w:r>
          </w:p>
        </w:tc>
      </w:tr>
      <w:tr>
        <w:trPr>
          <w:trHeight w:val="18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Reclassification of stranded tax effects to retained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earnings as a result of tax reform</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34,706</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36,227</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70,933</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6,314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194,889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334,536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535,555</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982"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2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137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Realized loss (gain) for the year</w:t>
            </w:r>
          </w:p>
        </w:tc>
        <w:tc>
          <w:tcPr>
            <w:tcW w:w="22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1,879</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(Benefit from) provision for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1,127</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2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(6,527)</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1,157</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(9,906)</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2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477</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419</w:t>
            </w:r>
          </w:p>
        </w:tc>
        <w:tc>
          <w:tcPr>
            <w:tcW w:w="28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275</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6"/>
                <w:szCs w:val="16"/>
                <w:color w:val="auto"/>
              </w:rPr>
              <w:t>Curtailment (gains) losses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(17,993)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(6,050)</w:t>
            </w:r>
          </w:p>
        </w:tc>
        <w:tc>
          <w:tcPr>
            <w:tcW w:w="2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(16,417)</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(9,580)</w:t>
            </w:r>
          </w:p>
        </w:tc>
        <w:tc>
          <w:tcPr>
            <w:tcW w:w="10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2,421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(Benefit from) provision for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6,567</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(3,629)</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(9,850)</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b w:val="1"/>
                <w:bCs w:val="1"/>
                <w:color w:val="auto"/>
              </w:rPr>
              <w:t>152</w:t>
            </w:r>
          </w:p>
        </w:tc>
        <w:tc>
          <w:tcPr>
            <w:tcW w:w="2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(Benefit from) provision for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60" w:right="280" w:hanging="252"/>
        <w:spacing w:after="0" w:line="219" w:lineRule="auto"/>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115"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6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minimum rental payments under noncancelable operating leases approximate the following:</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240" w:type="dxa"/>
            <w:vAlign w:val="bottom"/>
          </w:tcPr>
          <w:p>
            <w:pPr>
              <w:spacing w:after="0"/>
              <w:rPr>
                <w:sz w:val="20"/>
                <w:szCs w:val="20"/>
                <w:color w:val="auto"/>
              </w:rPr>
            </w:pPr>
            <w:r>
              <w:rPr>
                <w:rFonts w:ascii="Arial" w:cs="Arial" w:eastAsia="Arial" w:hAnsi="Arial"/>
                <w:sz w:val="16"/>
                <w:szCs w:val="16"/>
                <w:color w:val="auto"/>
              </w:rPr>
              <w:t>2018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97,935</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88,298</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70,500</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56,693</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43,976</w:t>
            </w:r>
          </w:p>
        </w:tc>
      </w:tr>
      <w:tr>
        <w:trPr>
          <w:trHeight w:val="256"/>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121,875</w:t>
            </w:r>
          </w:p>
        </w:tc>
      </w:tr>
      <w:tr>
        <w:trPr>
          <w:trHeight w:val="237"/>
        </w:trPr>
        <w:tc>
          <w:tcPr>
            <w:tcW w:w="10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479,277</w:t>
            </w:r>
          </w:p>
        </w:tc>
      </w:tr>
      <w:tr>
        <w:trPr>
          <w:trHeight w:val="20"/>
        </w:trPr>
        <w:tc>
          <w:tcPr>
            <w:tcW w:w="10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$78.0 million due in the future under noncancelable subleases.</w:t>
      </w:r>
    </w:p>
    <w:p>
      <w:pPr>
        <w:spacing w:after="0" w:line="144"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Rent expense under operating leases, including a portion reported in discontinued operations, was approximately $81.1 million, $86.9 million and $ 102.6 million in 2017, 2016 and 2015, respectively. Sublease income was approximately $14.8 million, $14.3 million and $6.7 million in 2017, 2016 and 2015, respectively.</w:t>
      </w:r>
    </w:p>
    <w:p>
      <w:pPr>
        <w:spacing w:after="0" w:line="13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connection with the sale of the KHE Campuses business, Kaplan is secondarily liable on a number of leases that were transferred to the buyer; the leases run through 2024 with commitments totaling approximately $33.5 million at December 31, 2017.</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2017, such commitments amounted to approximately $21.7 million. If such programs are not produced, the Company’s commitment would expire without obligation.</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746" w:right="239" w:bottom="1440" w:gutter="0" w:footer="0" w:header="0"/>
          <w:type w:val="continuous"/>
        </w:sectPr>
      </w:pPr>
    </w:p>
    <w:bookmarkStart w:id="76" w:name="page77"/>
    <w:bookmarkEnd w:id="76"/>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$30 million.</w:t>
      </w:r>
    </w:p>
    <w:p>
      <w:pPr>
        <w:spacing w:after="0" w:line="139"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but has not yet been administered due to appeals relating to attorneys’ fees. In the fourth quarter of 2017, the Ninth Circuit remanded to the district court which once again set attorneys’ fees on January 11, 2018. Absent another appeal, administration and disbursement of the settlement should proceed, though Kaplan cannot predict when.</w:t>
      </w:r>
    </w:p>
    <w:p>
      <w:pPr>
        <w:spacing w:after="0" w:line="136"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 this time, Kaplan cannot predict the contents of the pending final program review determination or the ultimate impact the proceedings may have on Kaplan.</w:t>
      </w:r>
    </w:p>
    <w:p>
      <w:pPr>
        <w:spacing w:after="0" w:line="14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During 2014, certain Kaplan subsidiaries were subject to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remaining case is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w:t>
      </w:r>
      <w:r>
        <w:rPr>
          <w:rFonts w:ascii="Arial" w:cs="Arial" w:eastAsia="Arial" w:hAnsi="Arial"/>
          <w:sz w:val="14"/>
          <w:szCs w:val="14"/>
          <w:b w:val="1"/>
          <w:bCs w:val="1"/>
          <w:color w:val="auto"/>
        </w:rPr>
        <w:t>’</w:t>
      </w:r>
      <w:r>
        <w:rPr>
          <w:rFonts w:ascii="Arial" w:cs="Arial" w:eastAsia="Arial" w:hAnsi="Arial"/>
          <w:sz w:val="18"/>
          <w:szCs w:val="18"/>
          <w:color w:val="auto"/>
        </w:rPr>
        <w:t>s claims. The appellate court also dismissed three of the four Diaz claims, but reversed and remanded on Diaz</w:t>
      </w:r>
      <w:r>
        <w:rPr>
          <w:rFonts w:ascii="Arial" w:cs="Arial" w:eastAsia="Arial" w:hAnsi="Arial"/>
          <w:sz w:val="14"/>
          <w:szCs w:val="14"/>
          <w:b w:val="1"/>
          <w:bCs w:val="1"/>
          <w:color w:val="auto"/>
        </w:rPr>
        <w:t>’</w:t>
      </w:r>
      <w:r>
        <w:rPr>
          <w:rFonts w:ascii="Arial" w:cs="Arial" w:eastAsia="Arial" w:hAnsi="Arial"/>
          <w:sz w:val="18"/>
          <w:szCs w:val="18"/>
          <w:color w:val="auto"/>
        </w:rPr>
        <w:t>s claim that incentive compensation for admissions representatives was improperly based solely on enrollment counts. Kaplan filed an answer to Diaz</w:t>
      </w:r>
      <w:r>
        <w:rPr>
          <w:rFonts w:ascii="Arial" w:cs="Arial" w:eastAsia="Arial" w:hAnsi="Arial"/>
          <w:sz w:val="14"/>
          <w:szCs w:val="14"/>
          <w:b w:val="1"/>
          <w:bCs w:val="1"/>
          <w:color w:val="auto"/>
        </w:rPr>
        <w:t>’</w:t>
      </w:r>
      <w:r>
        <w:rPr>
          <w:rFonts w:ascii="Arial" w:cs="Arial" w:eastAsia="Arial" w:hAnsi="Arial"/>
          <w:sz w:val="18"/>
          <w:szCs w:val="18"/>
          <w:color w:val="auto"/>
        </w:rPr>
        <w:t>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Summary judgment was granted in full and entered on July 13, 2017. Diaz filed a notice of appeal in September 2017 and has until February 28, 2018 to file appellate briefs.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724" w:right="279" w:bottom="1440" w:gutter="0" w:footer="0" w:header="0"/>
        </w:sectPr>
      </w:pPr>
    </w:p>
    <w:bookmarkStart w:id="77" w:name="page78"/>
    <w:bookmarkEnd w:id="77"/>
    <w:p>
      <w:pPr>
        <w:ind w:right="100"/>
        <w:spacing w:after="0" w:line="225"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the matter is not technically closed and KHE may receive further requests for information from the Illinois Attorney General, there has been no such further correspondence over the past seven years to date. The Company cannot predict the outcome of this inquiry.</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former students who are residents of Delaware. KHE has cooperated with the Delaware Attorney General and provided the information requested in the subpoena. Although the matter is not technically closed and KHE may receive further requests for information from the Delaware Attorney General, there has been no such further correspondence over the past seven years to date. The Company cannot predict the outcome of this inquiry.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January 16, 2012, prior to Kaplan’s sale of the Kidum Group in Israel, the Kidum Group received notice of a putative class-action complaint against the Kidum Group’s Wall Street Institute business, alleging violations of Israeli consumer protection law in connection with certain enrollment and refund policies. Wall Street Institute and the plaintiffs are attempting to settle the dispute. Kaplan no longer has any obligations to the purchaser under the terms of the agreement of sale.</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On September 30, 2016, a purported class-action lawsuit was filed against KHE and Education Corporation of America d/b/a Brightwood College, in Alameda County Superior Court, in Oakland, CA, by Donna Hillman alleging violations of California wage and hour laws as they apply to “adjunct” or part-time faculty. The complaint seeks a declaratory judgment that Kaplan violated the California Labor Code and an award of damages for allegedly unpaid wages, penalties under the California Labor Code, interest and attorney’s fees. A response and general denial was filed on November 2, 2016 after which KHE moved to transfer the venue to Sacramento, CA. The parties reached an agreement to settle this matter and in December 2017, the settlement was approved by the court.</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October 2017, Kaplan received a citation from the California Bureau for Private Postsecondary Education (BPPE) that non-employees may not be used to recruit students for its English-language programs operating in California. Kaplan has accepted the citation and amended its business practices.</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March 28, 2016, a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FLSA and the Illinois minimum wage law. The complaint seeks damages, attorney’s fees and costs. At this time, the Company cannot predict the outcome of this matter.</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August 2017, the Pennsylvania Department of Health cited Celtic Healthcare of Westmoreland, LLC for being out of compliance with four conditions of the Medicare Conditions of Participation between August 7, 2017, and September 6, 2017. Celtic Healthcare of Westmoreland, LLC d/b/a Allegheny Health Network Healthcare@Home Home Health (“AHN H@H Home Health”) is a wholly owned subsidiary of a joint venture between West Penn Allegheny Health System, Inc. and Celtic Healthcare, Inc. In light of this 31-day period of non-compliance, the Department of Health issued a provisional license for AHN H@H Home Health. Following a re-survey investigation by the Pennsylvania Department of Health, on January 12, 2018, the Department of Health removed the provisional license assigned to AHN H@H Home Health and restored its unrestricted license. The Pennsylvania Department of Health will alert the Centers for Medicare and Medicaid Services (CMS) about this matter. CMS has the authority to impose civil monetary penalties of up to $10,000 per day or per instance for non-compliance. At this time, the Company cannot predict the outcome of this matter.</w:t>
      </w:r>
    </w:p>
    <w:p>
      <w:pPr>
        <w:spacing w:after="0" w:line="14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2017 and earlier years, which have been paid by Kaplan. Kaplan has challenged these assessments and the case is currently on appeal to a tax tribunal with a hearing expected later in 2018 or 2019. The Company believes it has met all requirements under U.K. VAT law and expects to recover the £10.9 million receivable related to the assessments that have been paid. If the Company does not prevail in this case, a pre-tax charge of £10.9 million will be recorded to operating expense in the Company’s statement of operations.</w:t>
      </w:r>
    </w:p>
    <w:p>
      <w:pPr>
        <w:spacing w:after="0" w:line="137"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Following the Grenfell Tower fire in the U.K. on June 14, 2017, government authorities issued advise to building owners in respect of certain types of cladding on its student residence buildings across the U.K. One student residence is expected to require remedial work. Additional investigations are ongoing. Remedial work on this building will be undertaken once these investigations are complete. At this time, it is not possible to predict the scope of this work.</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746" w:right="259" w:bottom="1440" w:gutter="0" w:footer="0" w:header="0"/>
        </w:sectPr>
      </w:pPr>
    </w:p>
    <w:bookmarkStart w:id="78" w:name="page79"/>
    <w:bookmarkEnd w:id="78"/>
    <w:p>
      <w:pPr>
        <w:spacing w:after="0" w:line="223" w:lineRule="auto"/>
        <w:rPr>
          <w:sz w:val="20"/>
          <w:szCs w:val="20"/>
          <w:color w:val="auto"/>
        </w:rPr>
      </w:pPr>
      <w:r>
        <w:rPr>
          <w:rFonts w:ascii="Arial" w:cs="Arial" w:eastAsia="Arial" w:hAnsi="Arial"/>
          <w:sz w:val="18"/>
          <w:szCs w:val="18"/>
          <w:b w:val="1"/>
          <w:bCs w:val="1"/>
          <w:color w:val="auto"/>
        </w:rPr>
        <w:t xml:space="preserve">Student Financial Aid. </w:t>
      </w:r>
      <w:r>
        <w:rPr>
          <w:rFonts w:ascii="Arial" w:cs="Arial" w:eastAsia="Arial" w:hAnsi="Arial"/>
          <w:sz w:val="18"/>
          <w:szCs w:val="18"/>
          <w:color w:val="auto"/>
        </w:rPr>
        <w:t>The Company’s higher education division derives the majority of its revenues from U.S. Federal financial aid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students under Title IV programs administered by the ED pursuant to the Higher Education Act (HEA),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Kaplan University is assigned its own identification number, known as an OPEID number, for the purpose of determining compliance with certain Title IV requirements. Failure to comply with the requirements of the Higher Education Act or related regulations could result in the restriction or loss of the ability to participate in Title IV programs and subject the Company to financial penalties and refunds. No assurance can be given that Kaplan University or its individual programs will maintain their Title IV eligibility, accreditation and state authorization in the future or that the ED might not successfully assert that Kaplan University has previously failed to comply with Title IV requirements.</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to the ED on a timely basis unearned Title IV funds disbursed to students who withdraw from a program of study prior to completion. Kaplan recently determined that a procedural change that was implemented with respect to student financial aid refunds may not have been in accordance with the regulation governing return of financial aid for students who withdraw from a program prior to completion. Consequently, $8.4 million in estimated unreturned funds from prior quarters and year was recorded in Kaplan’s fourth quarter 2017 results; this estimated refund liability is included in current liabilities on the Company’s consolidated balance sheet at December 31, 2017. No restatement of prior period financial statements and no change in previously reported financial results was required due to the immateriality of the adjustment for the periods presented. Kaplan has self-reported this matter to the ED.</w:t>
      </w:r>
    </w:p>
    <w:p>
      <w:pPr>
        <w:spacing w:after="0" w:line="136" w:lineRule="exact"/>
        <w:rPr>
          <w:sz w:val="20"/>
          <w:szCs w:val="20"/>
          <w:color w:val="auto"/>
        </w:rPr>
      </w:pPr>
    </w:p>
    <w:p>
      <w:pPr>
        <w:ind w:right="500"/>
        <w:spacing w:after="0" w:line="225" w:lineRule="auto"/>
        <w:rPr>
          <w:sz w:val="20"/>
          <w:szCs w:val="20"/>
          <w:color w:val="auto"/>
        </w:rPr>
      </w:pPr>
      <w:r>
        <w:rPr>
          <w:rFonts w:ascii="Arial" w:cs="Arial" w:eastAsia="Arial" w:hAnsi="Arial"/>
          <w:sz w:val="18"/>
          <w:szCs w:val="18"/>
          <w:color w:val="auto"/>
        </w:rPr>
        <w:t>For the years ended December 31, 2017, 2016 and 2015, approximately $374 million, $437 million and $ 628 million, respectively, of the Company’s education division revenue was derived from financial aid received by students under Title IV programs. Financial aid and assistance programs are subject to political and governmental budgetary considerations. There is no assurance that such funding will be maintained at current levels. Extensive and complex regulations in the U.S. govern all of the government financial assistance programs in which students participate.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February 23, 2015, the ED began a review of KU. The review will assess Kaplan’s administration of its Title IV and Higher Education Act programs and will initially focus on the 2013 to 2014 and 2014 to 2015 award years. On December 17, 2015, KU received a notice from the ED that it had been placed on provisional certification status until September 30, 2018, in connection with the open and ongoing ED program review. The ED has not notified KU of any negative findings. However, at this time, Kaplan cannot predict the outcome of this review, when it will be completed or any liability or other limitations that the ED may place on KU as a result of this review. During the period of provisional certification, KU must obtain prior ED approval to open a new location, add an educational program, acquire another school or make any other significant change.</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addition, there are two open program reviews at campuses that were part of the KHE Campuses business prior to its sale in 2015 to Education Corporation of America (ECA), and we await the ED’s final reports on the program reviews at former KHE Broomall, PA; and Pittsburgh, PA, locations. Kaplan retains responsibility for any financial obligation resulting from the ED program reviews at the KHE Campuses business that were open at the time of sale.</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Kaplan University derived less than 74% and less than 77% of its receipts from Title IV programs in 2017 and 2016, respectively.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24" w:right="239" w:bottom="1440" w:gutter="0" w:footer="0" w:header="0"/>
        </w:sectPr>
      </w:pPr>
    </w:p>
    <w:bookmarkStart w:id="79" w:name="page80"/>
    <w:bookmarkEnd w:id="79"/>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a result of the Kaplan University transaction, the Company reorganized its operations in the first quarter of 2018 into the following six reportable segments for the purpose of making operating decisions and assessing performance: Kaplan Higher Education, Kaplan Professional (U.S.), Kaplan Test Preparation, Kaplan International, Television Broadcasting and Healthcare.</w:t>
      </w:r>
    </w:p>
    <w:p>
      <w:pPr>
        <w:spacing w:after="0" w:line="13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Kaplan reorganized its higher education operations into the following two operating segments: Higher Education and Professional (U.S.). The higher education segment comprises the historical KU for-profit postsecondary education business and the future non-academic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business segments disclosed in the Consolidated Financial Statements are based on this new organizational structure and information reviewed by the Company's management to evaluate the business segment results. Segment operating results for 2017, 2016 and 2015 have been revised to reflect this organizational change.</w:t>
      </w:r>
    </w:p>
    <w:p>
      <w:pPr>
        <w:spacing w:after="0" w:line="11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six reportable segments: Kaplan International, KHE, KTP, Professional (U.S.), and television broadcasting and healthcare.</w:t>
      </w:r>
    </w:p>
    <w:p>
      <w:pPr>
        <w:spacing w:after="0" w:line="13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non-operating pension and postretirement benefit income, other non-operating income and expense items and income taxes are not included. Intersegment sales are not material.</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5.</w:t>
      </w:r>
    </w:p>
    <w:p>
      <w:pPr>
        <w:spacing w:after="0" w:line="113"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United States, as well as English-language programs. KHE includes Kaplan’s domestic postsecondary education businesses, made up of fixed-facility colleges and online postsecondary and career programs. KTP includes Kaplan’s standardized test preparation and new economy skills training programs. Professional (U.S.) includes the domestic professional training and other continuing education businesses.</w:t>
      </w:r>
    </w:p>
    <w:p>
      <w:pPr>
        <w:spacing w:after="0" w:line="138" w:lineRule="exact"/>
        <w:rPr>
          <w:sz w:val="20"/>
          <w:szCs w:val="20"/>
          <w:color w:val="auto"/>
        </w:rPr>
      </w:pPr>
    </w:p>
    <w:p>
      <w:pPr>
        <w:ind w:right="64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in January 2015. The education division’s operating results exclude the sale of this business as it is included in discontinued operations, net of tax, for 2015.</w:t>
      </w:r>
    </w:p>
    <w:p>
      <w:pPr>
        <w:spacing w:after="0" w:line="13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the past three years, with the objective of establishing lower cost levels in future periods. Across all Kaplan businesses, restructuring costs of $9.1 million, $11.9 million and $40.6 million were recorded in 2017, 2016 and 2015, respectively,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339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1,815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17,956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2,694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8,240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6,099</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5,902</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14,234</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2,627</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1,441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209</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9,065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11,852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40,639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Kaplan International incurred restructuring costs of $2.9 million, $4.7 million and $1.3 million in 2017, 2016 and 2015, respectively. These restructuring costs were largely in the U.K. and Australia and included severance charges, lease obligations, and accelerated depreciation.</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KHE incurred restructuring costs of $1.4 million, $7.1 million and $12.4 million in 2017, 2016 and 2015, respectively, primarily from severance, lease obligation losses and accelerated depreciation.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24" w:right="239" w:bottom="1440" w:gutter="0" w:footer="0" w:header="0"/>
        </w:sectPr>
      </w:pPr>
    </w:p>
    <w:bookmarkStart w:id="80" w:name="page81"/>
    <w:bookmarkEnd w:id="80"/>
    <w:p>
      <w:pPr>
        <w:ind w:right="200"/>
        <w:spacing w:after="0" w:line="227" w:lineRule="auto"/>
        <w:rPr>
          <w:sz w:val="20"/>
          <w:szCs w:val="20"/>
          <w:color w:val="auto"/>
        </w:rPr>
      </w:pPr>
      <w:r>
        <w:rPr>
          <w:rFonts w:ascii="Arial" w:cs="Arial" w:eastAsia="Arial" w:hAnsi="Arial"/>
          <w:sz w:val="18"/>
          <w:szCs w:val="18"/>
          <w:color w:val="auto"/>
        </w:rPr>
        <w:t>On February 12, 2015, Kaplan entered into a Purchase and Sale Agreement to sell substantially all of the assets of its KHE Campuses business, consisting of 38 nationally accredited ground campuses, and certain related assets, in exchange for a preferred equity interest in a vocational school company. The transaction closed on September 3, 2015. In addition, Kaplan recorded a $6.9 million other long-lived asset impairment charge in connection with its KHE Campuses business in the second quarter of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KTP incurred restructuring costs of $4.3 million in 2017 primarily from severance.</w:t>
      </w:r>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Kaplan Corporate incurred restructuring costs of $25.7 million in 2015 related to accelerated depreciation, severance and lease obligations losses.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$8.5 million and $11.8 million at the end of 2017 and 2016, respectively.</w:t>
      </w:r>
    </w:p>
    <w:p>
      <w:pPr>
        <w:spacing w:after="0" w:line="122" w:lineRule="exact"/>
        <w:rPr>
          <w:sz w:val="20"/>
          <w:szCs w:val="20"/>
          <w:color w:val="auto"/>
        </w:rPr>
      </w:pPr>
    </w:p>
    <w:p>
      <w:pPr>
        <w:jc w:val="both"/>
        <w:ind w:right="140"/>
        <w:spacing w:after="0" w:line="233"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seven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(GHG), made up of Celtic and Residential, provides home health and hospice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66" w:lineRule="exact"/>
        <w:rPr>
          <w:sz w:val="20"/>
          <w:szCs w:val="20"/>
          <w:color w:val="auto"/>
        </w:rPr>
      </w:pPr>
    </w:p>
    <w:p>
      <w:pPr>
        <w:ind w:left="660" w:hanging="328"/>
        <w:spacing w:after="0" w:line="22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Hoover, a Thomson, GA-based supplier of pressure impregnated kiln-dried lumber and plywood products for fire retardant and preservative applications (acquired in April 2017); Dekko, a Garrett, IN-based manufacturer of electrical workspace solutions, architectural lighting, and electrical components and assemblies (acquired in November 2015); Joyce/Dayton Corp., a Dayton, OH-based manufacturer of screw jacks and other linear motion systems; and Forney, a global supplier of products and systems that control and monitor combustion processes in electric utility and industrial applications; and</w:t>
      </w:r>
    </w:p>
    <w:p>
      <w:pPr>
        <w:spacing w:after="0" w:line="137" w:lineRule="exact"/>
        <w:rPr>
          <w:rFonts w:ascii="Arial" w:cs="Arial" w:eastAsia="Arial" w:hAnsi="Arial"/>
          <w:sz w:val="18"/>
          <w:szCs w:val="18"/>
          <w:color w:val="auto"/>
        </w:rPr>
      </w:pPr>
    </w:p>
    <w:p>
      <w:pPr>
        <w:ind w:left="660" w:right="60" w:hanging="328"/>
        <w:spacing w:after="0" w:line="23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SocialCode, a marketing and insights company that manages digital advertising for leading brands; The Slate Group and Foreign Policy Group, which publish online and print magazines and websites; and two investment stage businesses, Panoply and Cybervista.</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 November 2015, the Company announced that Trove, a digital innovation team that builds products and technologies in the news space, would largely be integrated into SocialCode.</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certain continuing obligations related to prior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dispositions.</w:t>
      </w:r>
    </w:p>
    <w:p>
      <w:pPr>
        <w:spacing w:after="0" w:line="9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2017, 2016 and 2015 totaled approximately $637 million, $624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$660 million, respectively, primarily from Kaplan’s operations outside the U.S. Additionally, revenues in 2017, 2016 and 2015 totaled approximately $320 million, $312 million, and $319 million, respectively, from Kaplan’s operations in the U.K. The Company’s long-lived assets in non-U.S. countries (excluding goodwill and other intangible assets), totaled approximately $89 million and $67 million at December 31, 2017 and 2016, respectively.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746"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1,516,776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1,598,461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1,927,521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409,916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409,718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359,192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154,202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146,962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135,550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511,003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326,888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163,967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2,591,846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2,481,890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2,586,114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77,687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95,321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(218,014)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139,258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202,863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167,215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(2,569)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2,799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(19,263)</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(24,901)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(19,900)</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(58,710)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(53,213)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(93,674)</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136,403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222,869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(158,140)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Equity in Losses of Affiliates, Net</w:t>
            </w:r>
          </w:p>
        </w:tc>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(3,249)</w:t>
            </w: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(7,937)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(27,305)</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(32,297)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(30,745)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72,699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80,665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77,315</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4,241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182,789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250,658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32,906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41,187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61,177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12,179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9,942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4,583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2,805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11,723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9,570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3,332</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1,118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62,509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64,620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77,906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262,353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6,349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7,905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6,701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31,385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13,806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9,237</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50,801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28,274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278,717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9,720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11,803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15,070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1,942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1,714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665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1,125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1,118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5,235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5,826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18,687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20,461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24,404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27,520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26,497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42,220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16,802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27,453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9,998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2,987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2,954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9,771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13,093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6,278</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57,080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70,712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462"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46" w:right="239" w:bottom="462"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2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1,592,097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1,479,267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455,884</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336,631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129,856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152,908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855,399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644,027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182,905</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455,209</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3,216,141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3,068,042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536,315</w:t>
            </w:r>
          </w:p>
        </w:tc>
        <w:tc>
          <w:tcPr>
            <w:tcW w:w="3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424,229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128,590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58,806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1,056,777</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881,593</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4,937,823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4,432,670</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697,999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696,362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770,273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431,425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501,784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757,135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273,298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286,556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301,607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115,839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115,263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92,490</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294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6,502</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(2,079)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1,516,776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1,598,461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1,927,521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51,623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48,398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53,661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16,719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39,196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29,896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11,507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9,599</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16,798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27,558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27,436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25,676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(29,863)</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(29,279)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(344,141)</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77,687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95,321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(218,014)</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14,892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17,523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17,811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9,117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13,816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15,324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5,286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6,287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9,045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3,041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3,006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2,613</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16,384</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32,906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41,187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61,177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7,516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5,523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256,830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5,269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6,544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9,975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2,755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3,072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3,101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913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1,076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519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11,803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15,070</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21,667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16,252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22,673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2,158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3,140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8,131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1,038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4,672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8,720</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2,475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2,224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2,071</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27,520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26,497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42,220</w:t>
            </w: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third quarter of 2015, a favorable $3.0 million out of period revenue adjustment was included at the test preparation segment that related to prior periods from 2011 through the second quarter of 2015. With respect to this error, the Company has concluded that it was not material to the Company’s financial position or results of operations for 2015 and prior years and the related interim periods, based on its consideration of quantitative and qualitative factors.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1,115,919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950,922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231,986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278,977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130,938</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133,709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91,630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94,150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21,624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21,509</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1,592,097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1,479,267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46" w:right="239" w:bottom="90" w:gutter="0" w:footer="0" w:header="0"/>
        </w:sectPr>
      </w:pPr>
    </w:p>
    <w:bookmarkStart w:id="84" w:name="page85"/>
    <w:bookmarkEnd w:id="84"/>
    <w:p>
      <w:pPr>
        <w:jc w:val="center"/>
        <w:ind w:right="-2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9019"/>
          </w:cols>
          <w:pgMar w:left="1440" w:top="247" w:right="1440" w:bottom="1440" w:gutter="0" w:footer="0" w:header="0"/>
        </w:sectPr>
      </w:pPr>
    </w:p>
    <w:bookmarkStart w:id="85" w:name="page86"/>
    <w:bookmarkEnd w:id="85"/>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(UNAUDITED)</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has revised certain prior period amounts to reflect the adoption of the new presentation of net periodic pension cost and net periodic postretirement benefit cost for defined benefit plans; and the reclassification of costs associated with fringe benefits between operating expenses and selling, general and administrative expenses (see Note 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2017,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372,975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386,698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377,033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380,953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69,221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77,437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74,198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84,517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140,521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211,952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205,994</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210,347</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582,717</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676,087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657,225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675,817</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325,687</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381,747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374,987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371,922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225,289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208,973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228,051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225,477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14,652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15,871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16,002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15,984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6,836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10,531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10,923</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12,897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572,464</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626,346</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630,275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626,358</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10,253</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49,741</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26,950</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49,459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1,331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1,363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1,173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861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(8,129)</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(9,035)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(8,619)</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(8,103)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18,801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18,620</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17,621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17,657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849</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4,069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1,963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23,786</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65,899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38,244</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54,860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23,900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21,086</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41,999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24,844</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214,560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21,086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41,996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24,784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214,178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5,535</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5,539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5,518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5,569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5,577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5,554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5,509</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39,368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59,135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64,029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367,648</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 Certain amounts were reclassified from other revenue to advertising revenue (see Note 2).</w:t>
      </w:r>
    </w:p>
    <w:p>
      <w:pPr>
        <w:spacing w:after="0" w:line="13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the fourth quarter of 2017, an unfavorable $2.8 million net out of period expense adjustment was included that related to prior periods from the third quarter of 2016 through the third quarter of 2017. With respect to this error, the Company has concluded that it was not material to the Company’s financial position or results of operations for 2017 and 2016 and related interim periods, based on its consideration of quantitative and qualitative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2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2016,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401,006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419,144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386,936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391,261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73,104</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75,494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91,597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90,707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127,630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134,295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143,105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147,611</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601,740</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628,933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621,638</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629,579</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316,228</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318,612</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314,513</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320,677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226,294</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229,442</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232,080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208,281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16,761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16,045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16,097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15,717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6,262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6,278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6,620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565,545</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570,377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569,310</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553,789</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36,195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58,556</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52,328</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75,790</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1,004</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(891)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(7,042)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591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721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740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(7,948)</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(7,971)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(8,614)</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15,677</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15,584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15,705</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33,699</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15,096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19,000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(28,513)</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60,615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84,999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40,926</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64,118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22,400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23,800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7,800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38,215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61,199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33,126</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36,918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37,780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60,766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33,126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36,918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5,623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5,544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5,544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5,527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5,652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5,574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5,574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5,556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41,015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49,996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40,331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(40,946)</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 Certain amounts were reclassified from other revenue to advertising revenue (see Note 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6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Quarterly impact from certain items in 2017 and 2016 (after-tax and diluted EPS amounts):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740" w:type="dxa"/>
            <w:vAlign w:val="bottom"/>
          </w:tcPr>
          <w:p>
            <w:pPr>
              <w:jc w:val="right"/>
              <w:ind w:right="161"/>
              <w:spacing w:after="0"/>
              <w:rPr>
                <w:sz w:val="20"/>
                <w:szCs w:val="20"/>
                <w:color w:val="auto"/>
              </w:rPr>
            </w:pPr>
            <w:r>
              <w:rPr>
                <w:rFonts w:ascii="Arial" w:cs="Arial" w:eastAsia="Arial" w:hAnsi="Arial"/>
                <w:sz w:val="14"/>
                <w:szCs w:val="14"/>
                <w:b w:val="1"/>
                <w:bCs w:val="1"/>
                <w:color w:val="auto"/>
              </w:rPr>
              <w:t>Fourth</w:t>
            </w:r>
          </w:p>
        </w:tc>
      </w:tr>
      <w:tr>
        <w:trPr>
          <w:trHeight w:val="196"/>
        </w:trPr>
        <w:tc>
          <w:tcPr>
            <w:tcW w:w="7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Quarter</w:t>
            </w:r>
          </w:p>
        </w:tc>
      </w:tr>
      <w:tr>
        <w:trPr>
          <w:trHeight w:val="258"/>
        </w:trPr>
        <w:tc>
          <w:tcPr>
            <w:tcW w:w="740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6"/>
                <w:szCs w:val="16"/>
                <w:color w:val="auto"/>
              </w:rPr>
              <w:t>Ÿ Charges of $6.3 million related to restructuring and non-operating Separation Incentive Program</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0" w:type="dxa"/>
            <w:vAlign w:val="bottom"/>
          </w:tcPr>
          <w:p>
            <w:pPr>
              <w:ind w:left="220"/>
              <w:spacing w:after="0"/>
              <w:rPr>
                <w:sz w:val="20"/>
                <w:szCs w:val="20"/>
                <w:color w:val="auto"/>
              </w:rPr>
            </w:pPr>
            <w:r>
              <w:rPr>
                <w:rFonts w:ascii="Arial" w:cs="Arial" w:eastAsia="Arial" w:hAnsi="Arial"/>
                <w:sz w:val="16"/>
                <w:szCs w:val="16"/>
                <w:color w:val="auto"/>
              </w:rPr>
              <w:t>charges at the education division ($0.3 million, $0.4 million, $1.1 million and $4.5 million in the first,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second, third and 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Goodwill and long-lived assets impairment charges of $5.8 million at other businesses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Gains, net, of $2.1 million for non-operating foreign currency gains (losses) ($1.1 million gain, $2.2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0" w:type="dxa"/>
            <w:vAlign w:val="bottom"/>
          </w:tcPr>
          <w:p>
            <w:pPr>
              <w:ind w:left="220"/>
              <w:spacing w:after="0"/>
              <w:rPr>
                <w:sz w:val="20"/>
                <w:szCs w:val="20"/>
                <w:color w:val="auto"/>
              </w:rPr>
            </w:pPr>
            <w:r>
              <w:rPr>
                <w:rFonts w:ascii="Arial" w:cs="Arial" w:eastAsia="Arial" w:hAnsi="Arial"/>
                <w:sz w:val="16"/>
                <w:szCs w:val="16"/>
                <w:color w:val="auto"/>
              </w:rPr>
              <w:t>million gain, $0.9 million gain and $2.1 million loss in the first, second, third and fourth quarters,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0.16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Net deferred tax benefits of $177.5 million related to the Tax Act</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31.68</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Income tax benefit of $5.9 million related to stock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13"/>
        </w:trPr>
        <w:tc>
          <w:tcPr>
            <w:tcW w:w="74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6"/>
                <w:szCs w:val="16"/>
                <w:color w:val="auto"/>
              </w:rPr>
              <w:t>Ÿ Charges of $7.7 million related to restructuring at the education division ($1.2 million, $0.9 million,</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$1.1 million and $4.5 million in the first, second, third and 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(0.19)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settlement gain of $10.8 million related to a bulk lump sum pension offering</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1.92</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gain, net, of $20.0 million from the sales of land and marketable equity securities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7400" w:type="dxa"/>
            <w:vAlign w:val="bottom"/>
          </w:tcPr>
          <w:p>
            <w:pPr>
              <w:ind w:left="220"/>
              <w:spacing w:after="0"/>
              <w:rPr>
                <w:sz w:val="20"/>
                <w:szCs w:val="20"/>
                <w:color w:val="auto"/>
              </w:rPr>
            </w:pPr>
            <w:r>
              <w:rPr>
                <w:rFonts w:ascii="Arial" w:cs="Arial" w:eastAsia="Arial" w:hAnsi="Arial"/>
                <w:sz w:val="16"/>
                <w:szCs w:val="16"/>
                <w:color w:val="auto"/>
              </w:rPr>
              <w:t>($1.1 million gain, $23.9 million gain and $5.0 million loss in the first, second and fourth quarters,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0.19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4.23</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(0.90)</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gain of $13.6 million arising from the sale of a business and the formation of a joint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venture ($11.9 million and $1.7 million in the first and second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0.29</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Non-operating expense of $24.1 million from the write-down of cost method investments and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investments in affiliates ($9.6 million and $14.5 million in the third and fourth quarters, respectively)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Losses, net, of $25.5 million for non-operating foreign currency losses ($3.4 million, $15.4 million,</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$2.4 million and $4.2 million in the first, second, third and 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(0.43)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Ÿ Net nonrecurring $8.3 million deferred tax benefit related to Kaplan’s international operations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6"/>
                <w:szCs w:val="16"/>
                <w:color w:val="auto"/>
              </w:rPr>
              <w:t>Ÿ Favorable $5.6 million out of period deferred tax adjustment related to the KHE goodwill impairment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5"/>
        </w:trPr>
        <w:tc>
          <w:tcPr>
            <w:tcW w:w="7400" w:type="dxa"/>
            <w:vAlign w:val="bottom"/>
          </w:tcPr>
          <w:p>
            <w:pPr>
              <w:ind w:left="220"/>
              <w:spacing w:after="0"/>
              <w:rPr>
                <w:sz w:val="20"/>
                <w:szCs w:val="20"/>
                <w:color w:val="auto"/>
              </w:rPr>
            </w:pPr>
            <w:r>
              <w:rPr>
                <w:rFonts w:ascii="Arial" w:cs="Arial" w:eastAsia="Arial" w:hAnsi="Arial"/>
                <w:sz w:val="16"/>
                <w:szCs w:val="16"/>
                <w:color w:val="auto"/>
              </w:rPr>
              <w:t>recorded in the third quarter of 2015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760"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2015–2017 and refer to Note 4 for discussion of discontinued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 except per share amounts)</w:t>
            </w:r>
          </w:p>
        </w:tc>
        <w:tc>
          <w:tcPr>
            <w:tcW w:w="246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2016</w:t>
            </w: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2015</w:t>
            </w: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2014</w:t>
            </w: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2013</w:t>
            </w:r>
          </w:p>
        </w:tc>
      </w:tr>
    </w:tbl>
    <w:p>
      <w:pPr>
        <w:spacing w:after="0" w:line="68" w:lineRule="exact"/>
        <w:rPr>
          <w:sz w:val="20"/>
          <w:szCs w:val="20"/>
          <w:color w:val="auto"/>
        </w:rPr>
      </w:pPr>
    </w:p>
    <w:p>
      <w:pPr>
        <w:sectPr>
          <w:pgSz w:w="11900" w:h="16838" w:orient="portrait"/>
          <w:cols w:equalWidth="0" w:num="1">
            <w:col w:w="11400"/>
          </w:cols>
          <w:pgMar w:left="240" w:top="738" w:right="259" w:bottom="989" w:gutter="0" w:footer="0" w:header="0"/>
        </w:sectPr>
      </w:pPr>
    </w:p>
    <w:tbl>
      <w:tblPr>
        <w:tblLayout w:type="fixed"/>
        <w:tblInd w:w="40" w:type="dxa"/>
        <w:tblCellMar>
          <w:top w:w="0" w:type="dxa"/>
          <w:left w:w="0" w:type="dxa"/>
          <w:bottom w:w="0" w:type="dxa"/>
          <w:right w:w="0" w:type="dxa"/>
        </w:tblCellMar>
      </w:tblPr>
      <w:tr>
        <w:trPr>
          <w:trHeight w:val="190"/>
        </w:trPr>
        <w:tc>
          <w:tcPr>
            <w:tcW w:w="5100" w:type="dxa"/>
            <w:vAlign w:val="bottom"/>
          </w:tcPr>
          <w:p>
            <w:pPr>
              <w:spacing w:after="0"/>
              <w:rPr>
                <w:sz w:val="20"/>
                <w:szCs w:val="20"/>
                <w:color w:val="auto"/>
              </w:rPr>
            </w:pPr>
            <w:r>
              <w:rPr>
                <w:rFonts w:ascii="Arial" w:cs="Arial" w:eastAsia="Arial" w:hAnsi="Arial"/>
                <w:sz w:val="14"/>
                <w:szCs w:val="14"/>
                <w:b w:val="1"/>
                <w:bCs w:val="1"/>
                <w:color w:val="auto"/>
              </w:rPr>
              <w:t>Results of Operations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240"/>
              <w:spacing w:after="0"/>
              <w:rPr>
                <w:sz w:val="20"/>
                <w:szCs w:val="20"/>
                <w:color w:val="auto"/>
              </w:rPr>
            </w:pPr>
            <w:r>
              <w:rPr>
                <w:rFonts w:ascii="Arial" w:cs="Arial" w:eastAsia="Arial" w:hAnsi="Arial"/>
                <w:sz w:val="14"/>
                <w:szCs w:val="14"/>
                <w:color w:val="auto"/>
              </w:rPr>
              <w:t>Operating revenues</w:t>
            </w:r>
          </w:p>
        </w:tc>
        <w:tc>
          <w:tcPr>
            <w:tcW w:w="3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2,591,846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2,481,890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2,586,114</w:t>
            </w:r>
          </w:p>
        </w:tc>
        <w:tc>
          <w:tcPr>
            <w:tcW w:w="0" w:type="dxa"/>
            <w:vAlign w:val="bottom"/>
          </w:tcPr>
          <w:p>
            <w:pPr>
              <w:spacing w:after="0"/>
              <w:rPr>
                <w:sz w:val="1"/>
                <w:szCs w:val="1"/>
                <w:color w:val="auto"/>
              </w:rPr>
            </w:pPr>
          </w:p>
        </w:tc>
      </w:tr>
      <w:tr>
        <w:trPr>
          <w:trHeight w:val="270"/>
        </w:trPr>
        <w:tc>
          <w:tcPr>
            <w:tcW w:w="5100" w:type="dxa"/>
            <w:vAlign w:val="bottom"/>
          </w:tcPr>
          <w:p>
            <w:pPr>
              <w:ind w:left="240"/>
              <w:spacing w:after="0"/>
              <w:rPr>
                <w:sz w:val="20"/>
                <w:szCs w:val="20"/>
                <w:color w:val="auto"/>
              </w:rPr>
            </w:pPr>
            <w:r>
              <w:rPr>
                <w:rFonts w:ascii="Arial" w:cs="Arial" w:eastAsia="Arial" w:hAnsi="Arial"/>
                <w:sz w:val="14"/>
                <w:szCs w:val="14"/>
                <w:color w:val="auto"/>
              </w:rPr>
              <w:t>Income (loss) from operations</w:t>
            </w:r>
          </w:p>
        </w:tc>
        <w:tc>
          <w:tcPr>
            <w:tcW w:w="3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136,403</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222,869</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(158,140)</w:t>
            </w:r>
          </w:p>
        </w:tc>
        <w:tc>
          <w:tcPr>
            <w:tcW w:w="0" w:type="dxa"/>
            <w:vAlign w:val="bottom"/>
          </w:tcPr>
          <w:p>
            <w:pPr>
              <w:spacing w:after="0"/>
              <w:rPr>
                <w:sz w:val="1"/>
                <w:szCs w:val="1"/>
                <w:color w:val="auto"/>
              </w:rPr>
            </w:pPr>
          </w:p>
        </w:tc>
      </w:tr>
      <w:tr>
        <w:trPr>
          <w:trHeight w:val="270"/>
        </w:trPr>
        <w:tc>
          <w:tcPr>
            <w:tcW w:w="5100" w:type="dxa"/>
            <w:vAlign w:val="bottom"/>
          </w:tcPr>
          <w:p>
            <w:pPr>
              <w:ind w:left="240"/>
              <w:spacing w:after="0"/>
              <w:rPr>
                <w:sz w:val="20"/>
                <w:szCs w:val="20"/>
                <w:color w:val="auto"/>
              </w:rPr>
            </w:pPr>
            <w:r>
              <w:rPr>
                <w:rFonts w:ascii="Arial" w:cs="Arial" w:eastAsia="Arial" w:hAnsi="Arial"/>
                <w:sz w:val="14"/>
                <w:szCs w:val="14"/>
                <w:color w:val="auto"/>
              </w:rPr>
              <w:t>Income (loss) from continuing operations</w:t>
            </w:r>
          </w:p>
        </w:tc>
        <w:tc>
          <w:tcPr>
            <w:tcW w:w="3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302,489</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169,458</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(141,390)</w:t>
            </w:r>
          </w:p>
        </w:tc>
        <w:tc>
          <w:tcPr>
            <w:tcW w:w="0" w:type="dxa"/>
            <w:vAlign w:val="bottom"/>
          </w:tcPr>
          <w:p>
            <w:pPr>
              <w:spacing w:after="0"/>
              <w:rPr>
                <w:sz w:val="1"/>
                <w:szCs w:val="1"/>
                <w:color w:val="auto"/>
              </w:rPr>
            </w:pPr>
          </w:p>
        </w:tc>
      </w:tr>
      <w:tr>
        <w:trPr>
          <w:trHeight w:val="206"/>
        </w:trPr>
        <w:tc>
          <w:tcPr>
            <w:tcW w:w="5100" w:type="dxa"/>
            <w:vAlign w:val="bottom"/>
          </w:tcPr>
          <w:p>
            <w:pPr>
              <w:ind w:left="240"/>
              <w:spacing w:after="0"/>
              <w:rPr>
                <w:sz w:val="20"/>
                <w:szCs w:val="20"/>
                <w:color w:val="auto"/>
              </w:rPr>
            </w:pPr>
            <w:r>
              <w:rPr>
                <w:rFonts w:ascii="Arial" w:cs="Arial" w:eastAsia="Arial" w:hAnsi="Arial"/>
                <w:sz w:val="14"/>
                <w:szCs w:val="14"/>
                <w:color w:val="auto"/>
              </w:rPr>
              <w:t>Net income (loss) attributable to Graham Holdings Company</w:t>
            </w:r>
          </w:p>
        </w:tc>
        <w:tc>
          <w:tcPr>
            <w:tcW w:w="360" w:type="dxa"/>
            <w:vAlign w:val="bottom"/>
          </w:tcPr>
          <w:p>
            <w:pPr>
              <w:spacing w:after="0"/>
              <w:rPr>
                <w:sz w:val="17"/>
                <w:szCs w:val="17"/>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302,044</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480"/>
              <w:spacing w:after="0"/>
              <w:rPr>
                <w:sz w:val="20"/>
                <w:szCs w:val="20"/>
                <w:color w:val="auto"/>
              </w:rPr>
            </w:pPr>
            <w:r>
              <w:rPr>
                <w:rFonts w:ascii="Arial" w:cs="Arial" w:eastAsia="Arial" w:hAnsi="Arial"/>
                <w:sz w:val="14"/>
                <w:szCs w:val="14"/>
                <w:color w:val="auto"/>
              </w:rPr>
              <w:t>common stockholders</w:t>
            </w: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168,590</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(101,286)</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100" w:type="dxa"/>
            <w:vAlign w:val="bottom"/>
          </w:tcPr>
          <w:p>
            <w:pPr>
              <w:ind w:left="240"/>
              <w:spacing w:after="0"/>
              <w:rPr>
                <w:sz w:val="20"/>
                <w:szCs w:val="20"/>
                <w:color w:val="auto"/>
              </w:rPr>
            </w:pPr>
            <w:r>
              <w:rPr>
                <w:rFonts w:ascii="Arial" w:cs="Arial" w:eastAsia="Arial" w:hAnsi="Arial"/>
                <w:sz w:val="14"/>
                <w:szCs w:val="14"/>
                <w:color w:val="auto"/>
              </w:rPr>
              <w:t>Basic earnings (loss) per common share attributable to Graham Holdings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320"/>
              <w:spacing w:after="0"/>
              <w:rPr>
                <w:sz w:val="20"/>
                <w:szCs w:val="20"/>
                <w:color w:val="auto"/>
              </w:rPr>
            </w:pPr>
            <w:r>
              <w:rPr>
                <w:rFonts w:ascii="Arial" w:cs="Arial" w:eastAsia="Arial" w:hAnsi="Arial"/>
                <w:sz w:val="14"/>
                <w:szCs w:val="14"/>
                <w:color w:val="auto"/>
              </w:rPr>
              <w:t>Company common stockholders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680"/>
              <w:spacing w:after="0"/>
              <w:rPr>
                <w:sz w:val="20"/>
                <w:szCs w:val="20"/>
                <w:color w:val="auto"/>
              </w:rPr>
            </w:pPr>
            <w:r>
              <w:rPr>
                <w:rFonts w:ascii="Arial" w:cs="Arial" w:eastAsia="Arial" w:hAnsi="Arial"/>
                <w:sz w:val="14"/>
                <w:szCs w:val="14"/>
                <w:color w:val="auto"/>
              </w:rPr>
              <w:t>Income (loss) from continuing operations</w:t>
            </w:r>
          </w:p>
        </w:tc>
        <w:tc>
          <w:tcPr>
            <w:tcW w:w="3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54.24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29.95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270"/>
        </w:trPr>
        <w:tc>
          <w:tcPr>
            <w:tcW w:w="5100" w:type="dxa"/>
            <w:vAlign w:val="bottom"/>
          </w:tcPr>
          <w:p>
            <w:pPr>
              <w:ind w:left="680"/>
              <w:spacing w:after="0"/>
              <w:rPr>
                <w:sz w:val="20"/>
                <w:szCs w:val="20"/>
                <w:color w:val="auto"/>
              </w:rPr>
            </w:pPr>
            <w:r>
              <w:rPr>
                <w:rFonts w:ascii="Arial" w:cs="Arial" w:eastAsia="Arial" w:hAnsi="Arial"/>
                <w:sz w:val="14"/>
                <w:szCs w:val="14"/>
                <w:color w:val="auto"/>
              </w:rPr>
              <w:t>Net income (loss)</w:t>
            </w:r>
          </w:p>
        </w:tc>
        <w:tc>
          <w:tcPr>
            <w:tcW w:w="3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54.24</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29.95</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06"/>
        </w:trPr>
        <w:tc>
          <w:tcPr>
            <w:tcW w:w="5100" w:type="dxa"/>
            <w:vAlign w:val="bottom"/>
          </w:tcPr>
          <w:p>
            <w:pPr>
              <w:ind w:left="240"/>
              <w:spacing w:after="0"/>
              <w:rPr>
                <w:sz w:val="20"/>
                <w:szCs w:val="20"/>
                <w:color w:val="auto"/>
              </w:rPr>
            </w:pPr>
            <w:r>
              <w:rPr>
                <w:rFonts w:ascii="Arial" w:cs="Arial" w:eastAsia="Arial" w:hAnsi="Arial"/>
                <w:sz w:val="14"/>
                <w:szCs w:val="14"/>
                <w:color w:val="auto"/>
              </w:rPr>
              <w:t>Diluted earnings (loss) per common share attributable to Graham Holdings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320"/>
              <w:spacing w:after="0"/>
              <w:rPr>
                <w:sz w:val="20"/>
                <w:szCs w:val="20"/>
                <w:color w:val="auto"/>
              </w:rPr>
            </w:pPr>
            <w:r>
              <w:rPr>
                <w:rFonts w:ascii="Arial" w:cs="Arial" w:eastAsia="Arial" w:hAnsi="Arial"/>
                <w:sz w:val="14"/>
                <w:szCs w:val="14"/>
                <w:color w:val="auto"/>
              </w:rPr>
              <w:t>Company common stockholders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tabs>
          <w:tab w:leader="none" w:pos="320" w:val="left"/>
          <w:tab w:leader="none" w:pos="1200" w:val="left"/>
          <w:tab w:leader="none" w:pos="1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2,737,032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2,600,602</w:t>
      </w:r>
    </w:p>
    <w:p>
      <w:pPr>
        <w:spacing w:after="0" w:line="10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4"/>
          <w:szCs w:val="14"/>
          <w:color w:val="auto"/>
        </w:rPr>
        <w:t>149,402</w:t>
      </w:r>
      <w:r>
        <w:rPr>
          <w:sz w:val="20"/>
          <w:szCs w:val="20"/>
          <w:color w:val="auto"/>
        </w:rPr>
        <w:tab/>
      </w:r>
      <w:r>
        <w:rPr>
          <w:rFonts w:ascii="Arial" w:cs="Arial" w:eastAsia="Arial" w:hAnsi="Arial"/>
          <w:sz w:val="14"/>
          <w:szCs w:val="14"/>
          <w:color w:val="auto"/>
        </w:rPr>
        <w:t>107,925</w:t>
      </w:r>
    </w:p>
    <w:p>
      <w:pPr>
        <w:spacing w:after="0" w:line="109" w:lineRule="exact"/>
        <w:rPr>
          <w:sz w:val="20"/>
          <w:szCs w:val="20"/>
          <w:color w:val="auto"/>
        </w:rPr>
      </w:pPr>
    </w:p>
    <w:p>
      <w:pPr>
        <w:jc w:val="both"/>
        <w:ind w:left="460"/>
        <w:spacing w:after="0"/>
        <w:tabs>
          <w:tab w:leader="none" w:pos="1740" w:val="left"/>
        </w:tabs>
        <w:rPr>
          <w:sz w:val="20"/>
          <w:szCs w:val="20"/>
          <w:color w:val="auto"/>
        </w:rPr>
      </w:pPr>
      <w:r>
        <w:rPr>
          <w:rFonts w:ascii="Arial" w:cs="Arial" w:eastAsia="Arial" w:hAnsi="Arial"/>
          <w:sz w:val="14"/>
          <w:szCs w:val="14"/>
          <w:color w:val="auto"/>
        </w:rPr>
        <w:t>765,403</w:t>
      </w:r>
      <w:r>
        <w:rPr>
          <w:sz w:val="20"/>
          <w:szCs w:val="20"/>
          <w:color w:val="auto"/>
        </w:rPr>
        <w:tab/>
      </w:r>
      <w:r>
        <w:rPr>
          <w:rFonts w:ascii="Arial" w:cs="Arial" w:eastAsia="Arial" w:hAnsi="Arial"/>
          <w:sz w:val="14"/>
          <w:szCs w:val="14"/>
          <w:color w:val="auto"/>
        </w:rPr>
        <w:t>64,731</w:t>
      </w:r>
    </w:p>
    <w:p>
      <w:pPr>
        <w:spacing w:after="0" w:line="217"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14"/>
          <w:szCs w:val="14"/>
          <w:color w:val="auto"/>
        </w:rPr>
        <w:t>1,292,996</w:t>
      </w:r>
      <w:r>
        <w:rPr>
          <w:sz w:val="20"/>
          <w:szCs w:val="20"/>
          <w:color w:val="auto"/>
        </w:rPr>
        <w:tab/>
      </w:r>
      <w:r>
        <w:rPr>
          <w:rFonts w:ascii="Arial" w:cs="Arial" w:eastAsia="Arial" w:hAnsi="Arial"/>
          <w:sz w:val="14"/>
          <w:szCs w:val="14"/>
          <w:color w:val="auto"/>
        </w:rPr>
        <w:t>236,010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520" w:val="left"/>
          <w:tab w:leader="none" w:pos="1200" w:val="left"/>
          <w:tab w:leader="none" w:pos="19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115.88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8.62</w:t>
      </w:r>
    </w:p>
    <w:p>
      <w:pPr>
        <w:spacing w:after="0" w:line="109" w:lineRule="exact"/>
        <w:rPr>
          <w:sz w:val="20"/>
          <w:szCs w:val="20"/>
          <w:color w:val="auto"/>
        </w:rPr>
      </w:pPr>
    </w:p>
    <w:p>
      <w:pPr>
        <w:ind w:left="540"/>
        <w:spacing w:after="0"/>
        <w:tabs>
          <w:tab w:leader="none" w:pos="1820" w:val="left"/>
        </w:tabs>
        <w:rPr>
          <w:sz w:val="20"/>
          <w:szCs w:val="20"/>
          <w:color w:val="auto"/>
        </w:rPr>
      </w:pPr>
      <w:r>
        <w:rPr>
          <w:rFonts w:ascii="Arial" w:cs="Arial" w:eastAsia="Arial" w:hAnsi="Arial"/>
          <w:sz w:val="14"/>
          <w:szCs w:val="14"/>
          <w:color w:val="auto"/>
        </w:rPr>
        <w:t>195.81</w:t>
      </w:r>
      <w:r>
        <w:rPr>
          <w:sz w:val="20"/>
          <w:szCs w:val="20"/>
          <w:color w:val="auto"/>
        </w:rPr>
        <w:tab/>
      </w:r>
      <w:r>
        <w:rPr>
          <w:rFonts w:ascii="Arial" w:cs="Arial" w:eastAsia="Arial" w:hAnsi="Arial"/>
          <w:sz w:val="14"/>
          <w:szCs w:val="14"/>
          <w:color w:val="auto"/>
        </w:rPr>
        <w:t>32.10</w:t>
      </w:r>
    </w:p>
    <w:p>
      <w:pPr>
        <w:spacing w:after="0" w:line="469" w:lineRule="exact"/>
        <w:rPr>
          <w:sz w:val="20"/>
          <w:szCs w:val="20"/>
          <w:color w:val="auto"/>
        </w:rPr>
      </w:pPr>
    </w:p>
    <w:p>
      <w:pPr>
        <w:sectPr>
          <w:pgSz w:w="11900" w:h="16838" w:orient="portrait"/>
          <w:cols w:equalWidth="0" w:num="2">
            <w:col w:w="8880" w:space="200"/>
            <w:col w:w="2320"/>
          </w:cols>
          <w:pgMar w:left="240" w:top="738" w:right="259" w:bottom="989"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5200" w:type="dxa"/>
            <w:vAlign w:val="bottom"/>
          </w:tcPr>
          <w:p>
            <w:pPr>
              <w:ind w:left="68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53.89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29.80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(25.23)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115.40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8.61</w:t>
            </w:r>
          </w:p>
        </w:tc>
      </w:tr>
      <w:tr>
        <w:trPr>
          <w:trHeight w:val="270"/>
        </w:trPr>
        <w:tc>
          <w:tcPr>
            <w:tcW w:w="5200" w:type="dxa"/>
            <w:vAlign w:val="bottom"/>
          </w:tcPr>
          <w:p>
            <w:pPr>
              <w:ind w:left="68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53.89</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29.80</w:t>
            </w:r>
          </w:p>
        </w:tc>
        <w:tc>
          <w:tcPr>
            <w:tcW w:w="36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(17.87)</w:t>
            </w:r>
          </w:p>
        </w:tc>
        <w:tc>
          <w:tcPr>
            <w:tcW w:w="3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195.03</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32.05</w:t>
            </w: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5200" w:type="dxa"/>
            <w:vAlign w:val="bottom"/>
          </w:tcPr>
          <w:p>
            <w:pPr>
              <w:ind w:left="46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5,516</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5,559</w:t>
            </w:r>
          </w:p>
        </w:tc>
        <w:tc>
          <w:tcPr>
            <w:tcW w:w="36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5,727</w:t>
            </w:r>
          </w:p>
        </w:tc>
        <w:tc>
          <w:tcPr>
            <w:tcW w:w="3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6,470</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7,238</w:t>
            </w:r>
          </w:p>
        </w:tc>
      </w:tr>
      <w:tr>
        <w:trPr>
          <w:trHeight w:val="270"/>
        </w:trPr>
        <w:tc>
          <w:tcPr>
            <w:tcW w:w="5200" w:type="dxa"/>
            <w:vAlign w:val="bottom"/>
          </w:tcPr>
          <w:p>
            <w:pPr>
              <w:ind w:left="46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5,552</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5,589</w:t>
            </w:r>
          </w:p>
        </w:tc>
        <w:tc>
          <w:tcPr>
            <w:tcW w:w="36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5,727</w:t>
            </w:r>
          </w:p>
        </w:tc>
        <w:tc>
          <w:tcPr>
            <w:tcW w:w="3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6,559</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7,333</w:t>
            </w: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Cash dividends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5.08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9.10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Graham Holdings Company common stockholders’ equity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529.59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439.88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429.15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541.54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446.73</w:t>
            </w:r>
          </w:p>
        </w:tc>
      </w:tr>
      <w:tr>
        <w:trPr>
          <w:trHeight w:val="270"/>
        </w:trPr>
        <w:tc>
          <w:tcPr>
            <w:tcW w:w="5200" w:type="dxa"/>
            <w:vAlign w:val="bottom"/>
          </w:tcPr>
          <w:p>
            <w:pPr>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Working capital</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857,192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1,052,385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1,135,573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639,911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768,278</w:t>
            </w: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4,937,823</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4,432,670</w:t>
            </w:r>
          </w:p>
        </w:tc>
        <w:tc>
          <w:tcPr>
            <w:tcW w:w="36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4,352,825</w:t>
            </w:r>
          </w:p>
        </w:tc>
        <w:tc>
          <w:tcPr>
            <w:tcW w:w="3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5,752,319</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5,811,046</w:t>
            </w: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486,561</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485,719</w:t>
            </w:r>
          </w:p>
        </w:tc>
        <w:tc>
          <w:tcPr>
            <w:tcW w:w="36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399,800</w:t>
            </w:r>
          </w:p>
        </w:tc>
        <w:tc>
          <w:tcPr>
            <w:tcW w:w="3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399,545</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447,608</w:t>
            </w:r>
          </w:p>
        </w:tc>
      </w:tr>
      <w:tr>
        <w:trPr>
          <w:trHeight w:val="270"/>
        </w:trPr>
        <w:tc>
          <w:tcPr>
            <w:tcW w:w="5200" w:type="dxa"/>
            <w:vAlign w:val="bottom"/>
          </w:tcPr>
          <w:p>
            <w:pPr>
              <w:ind w:left="240"/>
              <w:spacing w:after="0"/>
              <w:rPr>
                <w:sz w:val="20"/>
                <w:szCs w:val="20"/>
                <w:color w:val="auto"/>
              </w:rPr>
            </w:pPr>
            <w:r>
              <w:rPr>
                <w:rFonts w:ascii="Arial" w:cs="Arial" w:eastAsia="Arial" w:hAnsi="Arial"/>
                <w:sz w:val="14"/>
                <w:szCs w:val="14"/>
                <w:color w:val="auto"/>
              </w:rPr>
              <w:t>Graham Holdings Company common stockholders’ equity</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2,915,145</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2,452,941</w:t>
            </w:r>
          </w:p>
        </w:tc>
        <w:tc>
          <w:tcPr>
            <w:tcW w:w="36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2,490,698</w:t>
            </w:r>
          </w:p>
        </w:tc>
        <w:tc>
          <w:tcPr>
            <w:tcW w:w="3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3,140,299</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3,300,067</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w:t>
      </w:r>
    </w:p>
    <w:p>
      <w:pPr>
        <w:spacing w:after="0" w:line="19" w:lineRule="exact"/>
        <w:rPr>
          <w:sz w:val="20"/>
          <w:szCs w:val="20"/>
          <w:color w:val="auto"/>
        </w:rPr>
      </w:pPr>
    </w:p>
    <w:p>
      <w:pPr>
        <w:ind w:left="80" w:hanging="72"/>
        <w:spacing w:after="0"/>
        <w:tabs>
          <w:tab w:leader="none" w:pos="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Charges of $6.3 million ($1.12 per share) related to restructuring and non-operating Separation Incentive Program charges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$5.8 million ($1.03 per share) in other businesses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Gains, net, of $2.1 million ($0.37 per share) from non-operating foreign currency gains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Net deferred tax benefits of $177.5 million ($31.68 per share) related to the Tax Act</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Income tax benefit of $5.9 million ($1.06 per share) related to stock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Charges of $7.7 million ($1.36 per share) related to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Non-operating settlement gain of $10.8 million ($1.92 per share) related to a bulk lump sum pension offering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$20.0 million ($3.52 per share) net non-operating gain from the sales of land and marketable equity securities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$13.6 million ($2.37 per share) non-operating gain arising from the sale of a business and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$24.1 million ($4.27 per share) non-operating expense from the write-down of cost method investments and investments in affiliates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Losses, net, of $25.5 million ($4.51 per share) from non-operating foreign currency losses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Net nonrecurring $8.3 million ($1.47 per share) deferred tax benefit related to Kaplan’s international operations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Favorable $5.6 million ($1.00 per share) out of period deferred tax adjustment related to the KHE goodwill impairment from 2015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w:t>
      </w:r>
    </w:p>
    <w:p>
      <w:pPr>
        <w:spacing w:after="0" w:line="4" w:lineRule="exact"/>
        <w:rPr>
          <w:sz w:val="20"/>
          <w:szCs w:val="20"/>
          <w:color w:val="auto"/>
        </w:rPr>
      </w:pPr>
    </w:p>
    <w:p>
      <w:pPr>
        <w:ind w:left="80" w:hanging="72"/>
        <w:spacing w:after="0"/>
        <w:tabs>
          <w:tab w:leader="none" w:pos="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$225.2 million ($38.96 per share) at the education division and other business</w:t>
      </w:r>
    </w:p>
    <w:p>
      <w:pPr>
        <w:spacing w:after="0" w:line="1" w:lineRule="exact"/>
        <w:rPr>
          <w:rFonts w:ascii="Arial" w:cs="Arial" w:eastAsia="Arial" w:hAnsi="Arial"/>
          <w:sz w:val="14"/>
          <w:szCs w:val="14"/>
          <w:color w:val="auto"/>
        </w:rPr>
      </w:pPr>
    </w:p>
    <w:p>
      <w:pPr>
        <w:ind w:left="80" w:right="360" w:hanging="72"/>
        <w:spacing w:after="0" w:line="231" w:lineRule="auto"/>
        <w:tabs>
          <w:tab w:leader="none" w:pos="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Charges of $28.9 million ($4.97 per share) related to restructuring and non-operating Special Incentive Program charges at the education division, corporate office and other businesses</w:t>
      </w:r>
    </w:p>
    <w:p>
      <w:pPr>
        <w:ind w:left="80" w:hanging="72"/>
        <w:spacing w:after="0"/>
        <w:tabs>
          <w:tab w:leader="none" w:pos="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$15.3 million ($2.64 per share) in expense related to the modification of stock option awards and restricted stock awards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Net non-operating losses of $15.7 million ($2.82 per share) arising from the sales of five businesses and an investment, and on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$13.2 million ($2.27 per share) gain on the sale of land</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Losses, net, of $9.7 million ($1.67 per share) from non-operating unrealized foreign currency losses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w:t>
      </w:r>
    </w:p>
    <w:p>
      <w:pPr>
        <w:spacing w:after="0" w:line="19" w:lineRule="exact"/>
        <w:rPr>
          <w:sz w:val="20"/>
          <w:szCs w:val="20"/>
          <w:color w:val="auto"/>
        </w:rPr>
      </w:pPr>
    </w:p>
    <w:p>
      <w:pPr>
        <w:ind w:left="80" w:right="560" w:hanging="72"/>
        <w:spacing w:after="0" w:line="231" w:lineRule="auto"/>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Charges of $20.2 million ($3.05 per share) related to restructuring and non-operating early retirement program expense and related charges at the education division and corporate office</w:t>
      </w:r>
    </w:p>
    <w:p>
      <w:pPr>
        <w:ind w:left="80" w:hanging="72"/>
        <w:spacing w:after="0"/>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Intangible and other long-lived assets impairment charge of $11.2 million ($1.69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Gain from the sale of Classified Ventures of $249.8 million ($37.68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$58.2 million ($8.78 per share) gain from the Classified Ventures’ sale of apartments.com</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Gain from the Berkshire exchange transaction of $266.7 million ($40.23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$81.8 million ($12.34 per share) gain on the sale of the corporate headquarters building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Losses, net, of $7.1 million ($1.08 per share) from non-operating unrealized foreign currency losses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w:t>
      </w:r>
    </w:p>
    <w:p>
      <w:pPr>
        <w:spacing w:after="0" w:line="19" w:lineRule="exact"/>
        <w:rPr>
          <w:sz w:val="20"/>
          <w:szCs w:val="20"/>
          <w:color w:val="auto"/>
        </w:rPr>
      </w:pPr>
    </w:p>
    <w:p>
      <w:pPr>
        <w:ind w:left="80" w:hanging="72"/>
        <w:spacing w:after="0"/>
        <w:tabs>
          <w:tab w:leader="none" w:pos="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Charges of $25.3 million ($3.46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Intangible assets impairment charge of $3.2 million ($0.44 per share)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Write-down of a marketable equity security of $6.7 million ($0.91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Losses, net, of $8.6 million ($1.17 per share) from non-operating unrealized foreign currency losses</w:t>
      </w:r>
    </w:p>
    <w:p>
      <w:pPr>
        <w:sectPr>
          <w:pgSz w:w="11900" w:h="16838" w:orient="portrait"/>
          <w:cols w:equalWidth="0" w:num="1">
            <w:col w:w="11400"/>
          </w:cols>
          <w:pgMar w:left="240" w:top="738" w:right="259" w:bottom="989"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sectPr>
      <w:pgSz w:w="11900" w:h="16838" w:orient="portrait"/>
      <w:cols w:equalWidth="0" w:num="1">
        <w:col w:w="11400"/>
      </w:cols>
      <w:pgMar w:left="240" w:top="738" w:right="259" w:bottom="9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lowerLetter"/>
      <w:start w:val="4"/>
    </w:lvl>
  </w:abstractNum>
  <w:abstractNum w:abstractNumId="4">
    <w:nsid w:val="2901D82"/>
    <w:multiLevelType w:val="hybridMultilevel"/>
    <w:lvl w:ilvl="0">
      <w:lvlJc w:val="left"/>
      <w:lvlText w:val="%1"/>
      <w:numFmt w:val="decimal"/>
      <w:start w:val="101"/>
    </w:lvl>
  </w:abstractNum>
  <w:abstractNum w:abstractNumId="5">
    <w:nsid w:val="3A95F874"/>
    <w:multiLevelType w:val="hybridMultilevel"/>
    <w:lvl w:ilvl="0">
      <w:lvlJc w:val="left"/>
      <w:lvlText w:val="%1"/>
      <w:numFmt w:val="decimal"/>
      <w:start w:val="10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2"/>
    </w:lvl>
  </w:abstractNum>
  <w:abstractNum w:abstractNumId="18">
    <w:nsid w:val="5072367"/>
    <w:multiLevelType w:val="hybridMultilevel"/>
    <w:lvl w:ilvl="0">
      <w:lvlJc w:val="left"/>
      <w:lvlText w:val="%1."/>
      <w:numFmt w:val="decimal"/>
      <w:start w:val="3"/>
    </w:lvl>
  </w:abstractNum>
  <w:abstractNum w:abstractNumId="19">
    <w:nsid w:val="3804823E"/>
    <w:multiLevelType w:val="hybridMultilevel"/>
    <w:lvl w:ilvl="0">
      <w:lvlJc w:val="left"/>
      <w:lvlText w:val="%1."/>
      <w:numFmt w:val="decimal"/>
      <w:start w:val="4"/>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5"/>
    </w:lvl>
  </w:abstractNum>
  <w:abstractNum w:abstractNumId="25">
    <w:nsid w:val="51EAD36B"/>
    <w:multiLevelType w:val="hybridMultilevel"/>
    <w:lvl w:ilvl="0">
      <w:lvlJc w:val="left"/>
      <w:lvlText w:val="%1."/>
      <w:numFmt w:val="decimal"/>
      <w:start w:val="6"/>
    </w:lvl>
  </w:abstractNum>
  <w:abstractNum w:abstractNumId="26">
    <w:nsid w:val="2D517796"/>
    <w:multiLevelType w:val="hybridMultilevel"/>
    <w:lvl w:ilvl="0">
      <w:lvlJc w:val="left"/>
      <w:lvlText w:val="%1."/>
      <w:numFmt w:val="decimal"/>
      <w:start w:val="7"/>
    </w:lvl>
  </w:abstractNum>
  <w:abstractNum w:abstractNumId="27">
    <w:nsid w:val="580BD78F"/>
    <w:multiLevelType w:val="hybridMultilevel"/>
    <w:lvl w:ilvl="0">
      <w:lvlJc w:val="left"/>
      <w:lvlText w:val="%1."/>
      <w:numFmt w:val="decimal"/>
      <w:start w:val="8"/>
    </w:lvl>
  </w:abstractNum>
  <w:abstractNum w:abstractNumId="28">
    <w:nsid w:val="153EA438"/>
    <w:multiLevelType w:val="hybridMultilevel"/>
    <w:lvl w:ilvl="0">
      <w:lvlJc w:val="left"/>
      <w:lvlText w:val="%1."/>
      <w:numFmt w:val="decimal"/>
      <w:start w:val="9"/>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0"/>
    </w:lvl>
  </w:abstractNum>
  <w:abstractNum w:abstractNumId="31">
    <w:nsid w:val="6A2342EC"/>
    <w:multiLevelType w:val="hybridMultilevel"/>
    <w:lvl w:ilvl="0">
      <w:lvlJc w:val="left"/>
      <w:lvlText w:val="%1."/>
      <w:numFmt w:val="decimal"/>
      <w:start w:val="1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2"/>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3"/>
    </w:lvl>
  </w:abstractNum>
  <w:abstractNum w:abstractNumId="36">
    <w:nsid w:val="57E4CCAF"/>
    <w:multiLevelType w:val="hybridMultilevel"/>
    <w:lvl w:ilvl="0">
      <w:lvlJc w:val="left"/>
      <w:lvlText w:val="%1."/>
      <w:numFmt w:val="decimal"/>
      <w:start w:val="14"/>
    </w:lvl>
  </w:abstractNum>
  <w:abstractNum w:abstractNumId="37">
    <w:nsid w:val="7A6D8D3C"/>
    <w:multiLevelType w:val="hybridMultilevel"/>
    <w:lvl w:ilvl="0">
      <w:lvlJc w:val="left"/>
      <w:lvlText w:val="%1."/>
      <w:numFmt w:val="decimal"/>
      <w:start w:val="15"/>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6"/>
    </w:lvl>
  </w:abstractNum>
  <w:abstractNum w:abstractNumId="41">
    <w:nsid w:val="38437FDB"/>
    <w:multiLevelType w:val="hybridMultilevel"/>
    <w:lvl w:ilvl="0">
      <w:lvlJc w:val="left"/>
      <w:lvlText w:val="%1."/>
      <w:numFmt w:val="decimal"/>
      <w:start w:val="17"/>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8"/>
    </w:lvl>
  </w:abstractNum>
  <w:abstractNum w:abstractNumId="44">
    <w:nsid w:val="684A481A"/>
    <w:multiLevelType w:val="hybridMultilevel"/>
    <w:lvl w:ilvl="0">
      <w:lvlJc w:val="left"/>
      <w:lvlText w:val="%1."/>
      <w:numFmt w:val="decimal"/>
      <w:start w:val="19"/>
    </w:lvl>
  </w:abstractNum>
  <w:abstractNum w:abstractNumId="45">
    <w:nsid w:val="579478FE"/>
    <w:multiLevelType w:val="hybridMultilevel"/>
    <w:lvl w:ilvl="0">
      <w:lvlJc w:val="left"/>
      <w:lvlText w:val="%1."/>
      <w:numFmt w:val="decimal"/>
      <w:start w:val="20"/>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2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2019-12-28T21:51:23Z</dcterms:created>
  <dcterms:modified xsi:type="dcterms:W3CDTF">2019-12-28T21:51:23Z</dcterms:modified>
</cp:coreProperties>
</file>