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5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412750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FORM 10-K</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FOR THE FISCAL YEAR ENDED JANUARY 2, 2005</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Commission file number 1-6714</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48" w:lineRule="exact"/>
        <w:rPr>
          <w:sz w:val="20"/>
          <w:szCs w:val="20"/>
          <w:color w:val="auto"/>
        </w:rPr>
      </w:pPr>
    </w:p>
    <w:tbl>
      <w:tblPr>
        <w:tblLayout w:type="fixed"/>
        <w:tblInd w:w="1920" w:type="dxa"/>
        <w:tblCellMar>
          <w:top w:w="0" w:type="dxa"/>
          <w:left w:w="0" w:type="dxa"/>
          <w:bottom w:w="0" w:type="dxa"/>
          <w:right w:w="0" w:type="dxa"/>
        </w:tblCellMar>
      </w:tblP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b w:val="1"/>
                <w:bCs w:val="1"/>
                <w:color w:val="auto"/>
                <w:w w:val="88"/>
              </w:rPr>
              <w:t>Delaware</w:t>
            </w:r>
          </w:p>
        </w:tc>
        <w:tc>
          <w:tcPr>
            <w:tcW w:w="3360" w:type="dxa"/>
            <w:vAlign w:val="bottom"/>
          </w:tcPr>
          <w:p>
            <w:pPr>
              <w:jc w:val="right"/>
              <w:ind w:right="772"/>
              <w:spacing w:after="0"/>
              <w:rPr>
                <w:sz w:val="20"/>
                <w:szCs w:val="20"/>
                <w:color w:val="auto"/>
              </w:rPr>
            </w:pPr>
            <w:r>
              <w:rPr>
                <w:rFonts w:ascii="Arial" w:cs="Arial" w:eastAsia="Arial" w:hAnsi="Arial"/>
                <w:sz w:val="18"/>
                <w:szCs w:val="18"/>
                <w:b w:val="1"/>
                <w:bCs w:val="1"/>
                <w:color w:val="auto"/>
              </w:rPr>
              <w:t>53-0182885</w:t>
            </w:r>
          </w:p>
        </w:tc>
      </w:tr>
      <w:tr>
        <w:trPr>
          <w:trHeight w:val="216"/>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(State or other jurisdiction of incorporation or</w:t>
            </w:r>
          </w:p>
        </w:tc>
        <w:tc>
          <w:tcPr>
            <w:tcW w:w="3360" w:type="dxa"/>
            <w:vAlign w:val="bottom"/>
          </w:tcPr>
          <w:p>
            <w:pPr>
              <w:jc w:val="center"/>
              <w:ind w:left="71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organization)</w:t>
            </w:r>
          </w:p>
        </w:tc>
        <w:tc>
          <w:tcPr>
            <w:tcW w:w="3360" w:type="dxa"/>
            <w:vAlign w:val="bottom"/>
          </w:tcPr>
          <w:p>
            <w:pPr>
              <w:spacing w:after="0"/>
              <w:rPr>
                <w:sz w:val="19"/>
                <w:szCs w:val="19"/>
                <w:color w:val="auto"/>
              </w:rPr>
            </w:pPr>
          </w:p>
        </w:tc>
      </w:tr>
      <w:tr>
        <w:trPr>
          <w:trHeight w:val="426"/>
        </w:trPr>
        <w:tc>
          <w:tcPr>
            <w:tcW w:w="404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1150 15th St., N.W., Washington, D.C.</w:t>
            </w:r>
          </w:p>
        </w:tc>
        <w:tc>
          <w:tcPr>
            <w:tcW w:w="3360" w:type="dxa"/>
            <w:vAlign w:val="bottom"/>
          </w:tcPr>
          <w:p>
            <w:pPr>
              <w:jc w:val="right"/>
              <w:ind w:right="972"/>
              <w:spacing w:after="0"/>
              <w:rPr>
                <w:sz w:val="20"/>
                <w:szCs w:val="20"/>
                <w:color w:val="auto"/>
              </w:rPr>
            </w:pPr>
            <w:r>
              <w:rPr>
                <w:rFonts w:ascii="Arial" w:cs="Arial" w:eastAsia="Arial" w:hAnsi="Arial"/>
                <w:sz w:val="18"/>
                <w:szCs w:val="18"/>
                <w:b w:val="1"/>
                <w:bCs w:val="1"/>
                <w:color w:val="auto"/>
              </w:rPr>
              <w:t>20071</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(Address of principal executive offices)</w:t>
            </w:r>
          </w:p>
        </w:tc>
        <w:tc>
          <w:tcPr>
            <w:tcW w:w="3360" w:type="dxa"/>
            <w:vAlign w:val="bottom"/>
          </w:tcPr>
          <w:p>
            <w:pPr>
              <w:jc w:val="center"/>
              <w:ind w:left="73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(202) 334-6000</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0"/>
          <w:szCs w:val="20"/>
          <w:color w:val="auto"/>
        </w:rPr>
      </w:pPr>
    </w:p>
    <w:p>
      <w:pPr>
        <w:spacing w:after="0" w:line="274"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Name of each exchange</w:t>
            </w:r>
          </w:p>
        </w:tc>
      </w:tr>
      <w:tr>
        <w:trPr>
          <w:trHeight w:val="222"/>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color w:val="auto"/>
                <w:w w:val="87"/>
              </w:rPr>
              <w:t>Title of each class</w:t>
            </w:r>
          </w:p>
        </w:tc>
        <w:tc>
          <w:tcPr>
            <w:tcW w:w="142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 which registered</w:t>
            </w:r>
          </w:p>
        </w:tc>
      </w:tr>
      <w:tr>
        <w:trPr>
          <w:trHeight w:val="110"/>
        </w:trPr>
        <w:tc>
          <w:tcPr>
            <w:tcW w:w="54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38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8"/>
              </w:rPr>
              <w:t>Class B Common Stock, Par Value</w:t>
            </w:r>
          </w:p>
        </w:tc>
        <w:tc>
          <w:tcPr>
            <w:tcW w:w="3260" w:type="dxa"/>
            <w:vAlign w:val="bottom"/>
            <w:gridSpan w:val="3"/>
          </w:tcPr>
          <w:p>
            <w:pPr>
              <w:jc w:val="center"/>
              <w:ind w:left="1192"/>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87"/>
              </w:rPr>
              <w:t>$1.00 Per Share</w:t>
            </w: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-370840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-370840</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ind w:right="1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Aggregate market value of the Company’s voting stock held by non-affiliates on June 27, 2004, based on the closing price for the Company’s Class B Common Stock on the New York Stock Exchange on such date: approximately $4,927,000,000.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at February 18, 2005:</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A Common Stock – 1,722,250 shares</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B Common Stock – 7,866,357 shares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partially incorporated by reference:</w:t>
      </w:r>
    </w:p>
    <w:p>
      <w:pPr>
        <w:spacing w:after="0" w:line="231" w:lineRule="exact"/>
        <w:rPr>
          <w:sz w:val="20"/>
          <w:szCs w:val="20"/>
          <w:color w:val="auto"/>
        </w:rPr>
      </w:pPr>
    </w:p>
    <w:p>
      <w:pPr>
        <w:jc w:val="both"/>
        <w:ind w:left="2720" w:right="2560" w:hanging="12"/>
        <w:spacing w:after="0" w:line="332" w:lineRule="auto"/>
        <w:rPr>
          <w:sz w:val="20"/>
          <w:szCs w:val="20"/>
          <w:color w:val="auto"/>
        </w:rPr>
      </w:pPr>
      <w:r>
        <w:rPr>
          <w:rFonts w:ascii="Arial" w:cs="Arial" w:eastAsia="Arial" w:hAnsi="Arial"/>
          <w:sz w:val="16"/>
          <w:szCs w:val="16"/>
          <w:color w:val="auto"/>
        </w:rPr>
        <w:t>Definitive Proxy Statement for the Company’s 2005 Annual Meeting of Stockholders (incorporated in Part III to the extent provided in Items 10, 11, 12, 13 and 14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02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060" w:type="dxa"/>
            <w:vAlign w:val="bottom"/>
          </w:tcPr>
          <w:p>
            <w:pPr>
              <w:jc w:val="center"/>
              <w:ind w:right="739"/>
              <w:spacing w:after="0"/>
              <w:rPr>
                <w:sz w:val="20"/>
                <w:szCs w:val="20"/>
                <w:color w:val="auto"/>
              </w:rPr>
            </w:pPr>
            <w:r>
              <w:rPr>
                <w:rFonts w:ascii="Arial" w:cs="Arial" w:eastAsia="Arial" w:hAnsi="Arial"/>
                <w:sz w:val="14"/>
                <w:szCs w:val="14"/>
                <w:b w:val="1"/>
                <w:bCs w:val="1"/>
                <w:color w:val="auto"/>
              </w:rPr>
              <w:t>THE WASHINGTON POST COMPANY 2004 FORM 10-K</w:t>
            </w:r>
          </w:p>
        </w:tc>
        <w:tc>
          <w:tcPr>
            <w:tcW w:w="760" w:type="dxa"/>
            <w:vAlign w:val="bottom"/>
          </w:tcPr>
          <w:p>
            <w:pPr>
              <w:spacing w:after="0"/>
              <w:rPr>
                <w:sz w:val="16"/>
                <w:szCs w:val="16"/>
                <w:color w:val="auto"/>
              </w:rPr>
            </w:pPr>
          </w:p>
        </w:tc>
      </w:tr>
      <w:tr>
        <w:trPr>
          <w:trHeight w:val="370"/>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60" w:type="dxa"/>
            <w:vAlign w:val="bottom"/>
          </w:tcPr>
          <w:p>
            <w:pPr>
              <w:ind w:left="4160"/>
              <w:spacing w:after="0"/>
              <w:rPr>
                <w:sz w:val="20"/>
                <w:szCs w:val="20"/>
                <w:color w:val="auto"/>
              </w:rPr>
            </w:pPr>
            <w:r>
              <w:rPr>
                <w:rFonts w:ascii="Arial" w:cs="Arial" w:eastAsia="Arial" w:hAnsi="Arial"/>
                <w:sz w:val="14"/>
                <w:szCs w:val="14"/>
                <w:color w:val="auto"/>
              </w:rPr>
              <w:t>PART I</w:t>
            </w: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Page</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Item 1.</w:t>
            </w:r>
          </w:p>
        </w:tc>
        <w:tc>
          <w:tcPr>
            <w:tcW w:w="9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Business</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ind w:left="400"/>
              <w:spacing w:after="0"/>
              <w:rPr>
                <w:sz w:val="20"/>
                <w:szCs w:val="20"/>
                <w:color w:val="auto"/>
              </w:rPr>
            </w:pPr>
            <w:r>
              <w:rPr>
                <w:rFonts w:ascii="Arial" w:cs="Arial" w:eastAsia="Arial" w:hAnsi="Arial"/>
                <w:sz w:val="16"/>
                <w:szCs w:val="16"/>
                <w:color w:val="auto"/>
              </w:rPr>
              <w:t>Newspaper Publishing</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Television Broadcasting</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ind w:left="400"/>
              <w:spacing w:after="0"/>
              <w:rPr>
                <w:sz w:val="20"/>
                <w:szCs w:val="20"/>
                <w:color w:val="auto"/>
              </w:rPr>
            </w:pPr>
            <w:r>
              <w:rPr>
                <w:rFonts w:ascii="Arial" w:cs="Arial" w:eastAsia="Arial" w:hAnsi="Arial"/>
                <w:sz w:val="16"/>
                <w:szCs w:val="16"/>
                <w:color w:val="auto"/>
              </w:rPr>
              <w:t>Cable Television Operations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7</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Education</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ind w:left="400"/>
              <w:spacing w:after="0"/>
              <w:rPr>
                <w:sz w:val="20"/>
                <w:szCs w:val="20"/>
                <w:color w:val="auto"/>
              </w:rPr>
            </w:pPr>
            <w:r>
              <w:rPr>
                <w:rFonts w:ascii="Arial" w:cs="Arial" w:eastAsia="Arial" w:hAnsi="Arial"/>
                <w:sz w:val="16"/>
                <w:szCs w:val="16"/>
                <w:color w:val="auto"/>
              </w:rPr>
              <w:t>Magazine Publishing</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13</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Activities</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ind w:left="400"/>
              <w:spacing w:after="0"/>
              <w:rPr>
                <w:sz w:val="20"/>
                <w:szCs w:val="20"/>
                <w:color w:val="auto"/>
              </w:rPr>
            </w:pPr>
            <w:r>
              <w:rPr>
                <w:rFonts w:ascii="Arial" w:cs="Arial" w:eastAsia="Arial" w:hAnsi="Arial"/>
                <w:sz w:val="16"/>
                <w:szCs w:val="16"/>
                <w:color w:val="auto"/>
              </w:rPr>
              <w:t>Production and Raw Materials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15</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Competition</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ind w:left="400"/>
              <w:spacing w:after="0"/>
              <w:rPr>
                <w:sz w:val="20"/>
                <w:szCs w:val="20"/>
                <w:color w:val="auto"/>
              </w:rPr>
            </w:pPr>
            <w:r>
              <w:rPr>
                <w:rFonts w:ascii="Arial" w:cs="Arial" w:eastAsia="Arial" w:hAnsi="Arial"/>
                <w:sz w:val="16"/>
                <w:szCs w:val="16"/>
                <w:color w:val="auto"/>
              </w:rPr>
              <w:t>Executive Officers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18</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Employees</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ind w:left="400"/>
              <w:spacing w:after="0"/>
              <w:rPr>
                <w:sz w:val="20"/>
                <w:szCs w:val="20"/>
                <w:color w:val="auto"/>
              </w:rPr>
            </w:pPr>
            <w:r>
              <w:rPr>
                <w:rFonts w:ascii="Arial" w:cs="Arial" w:eastAsia="Arial" w:hAnsi="Arial"/>
                <w:sz w:val="16"/>
                <w:szCs w:val="16"/>
                <w:color w:val="auto"/>
              </w:rPr>
              <w:t>Forward-Looking Statements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20</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Available Information</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2.</w:t>
            </w:r>
          </w:p>
        </w:tc>
        <w:tc>
          <w:tcPr>
            <w:tcW w:w="9060" w:type="dxa"/>
            <w:vAlign w:val="bottom"/>
          </w:tcPr>
          <w:p>
            <w:pPr>
              <w:ind w:left="40"/>
              <w:spacing w:after="0"/>
              <w:rPr>
                <w:sz w:val="20"/>
                <w:szCs w:val="20"/>
                <w:color w:val="auto"/>
              </w:rPr>
            </w:pPr>
            <w:r>
              <w:rPr>
                <w:rFonts w:ascii="Arial" w:cs="Arial" w:eastAsia="Arial" w:hAnsi="Arial"/>
                <w:sz w:val="16"/>
                <w:szCs w:val="16"/>
                <w:color w:val="auto"/>
              </w:rPr>
              <w:t>Properties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20</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Item 3.</w:t>
            </w:r>
          </w:p>
        </w:tc>
        <w:tc>
          <w:tcPr>
            <w:tcW w:w="9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Legal Proceedings</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r>
      <w:tr>
        <w:trPr>
          <w:trHeight w:val="206"/>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4.</w:t>
            </w:r>
          </w:p>
        </w:tc>
        <w:tc>
          <w:tcPr>
            <w:tcW w:w="9060" w:type="dxa"/>
            <w:vAlign w:val="bottom"/>
          </w:tcPr>
          <w:p>
            <w:pPr>
              <w:ind w:left="40"/>
              <w:spacing w:after="0"/>
              <w:rPr>
                <w:sz w:val="20"/>
                <w:szCs w:val="20"/>
                <w:color w:val="auto"/>
              </w:rPr>
            </w:pPr>
            <w:r>
              <w:rPr>
                <w:rFonts w:ascii="Arial" w:cs="Arial" w:eastAsia="Arial" w:hAnsi="Arial"/>
                <w:sz w:val="16"/>
                <w:szCs w:val="16"/>
                <w:color w:val="auto"/>
              </w:rPr>
              <w:t>Submission of Matters to a Vote of Security Holders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22</w:t>
            </w:r>
          </w:p>
        </w:tc>
      </w:tr>
      <w:tr>
        <w:trPr>
          <w:trHeight w:val="199"/>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jc w:val="center"/>
              <w:ind w:right="759"/>
              <w:spacing w:after="0"/>
              <w:rPr>
                <w:sz w:val="20"/>
                <w:szCs w:val="20"/>
                <w:color w:val="auto"/>
              </w:rPr>
            </w:pPr>
            <w:r>
              <w:rPr>
                <w:rFonts w:ascii="Arial" w:cs="Arial" w:eastAsia="Arial" w:hAnsi="Arial"/>
                <w:sz w:val="16"/>
                <w:szCs w:val="16"/>
                <w:color w:val="auto"/>
                <w:w w:val="96"/>
              </w:rPr>
              <w:t>PART II</w:t>
            </w:r>
          </w:p>
        </w:tc>
        <w:tc>
          <w:tcPr>
            <w:tcW w:w="7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5.</w:t>
            </w:r>
          </w:p>
        </w:tc>
        <w:tc>
          <w:tcPr>
            <w:tcW w:w="9060" w:type="dxa"/>
            <w:vAlign w:val="bottom"/>
          </w:tcPr>
          <w:p>
            <w:pPr>
              <w:ind w:left="40"/>
              <w:spacing w:after="0"/>
              <w:rPr>
                <w:sz w:val="20"/>
                <w:szCs w:val="20"/>
                <w:color w:val="auto"/>
              </w:rPr>
            </w:pPr>
            <w:r>
              <w:rPr>
                <w:rFonts w:ascii="Arial" w:cs="Arial" w:eastAsia="Arial" w:hAnsi="Arial"/>
                <w:sz w:val="16"/>
                <w:szCs w:val="16"/>
                <w:color w:val="auto"/>
              </w:rPr>
              <w:t>Market for the Registrant’s Common Equity, Related Stockholder Matters and Issuer Purchases of Equity Securities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22</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Item 6.</w:t>
            </w:r>
          </w:p>
        </w:tc>
        <w:tc>
          <w:tcPr>
            <w:tcW w:w="9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Selected Financial Data</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7.</w:t>
            </w:r>
          </w:p>
        </w:tc>
        <w:tc>
          <w:tcPr>
            <w:tcW w:w="9060" w:type="dxa"/>
            <w:vAlign w:val="bottom"/>
          </w:tcPr>
          <w:p>
            <w:pPr>
              <w:ind w:left="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22</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Item 7A.</w:t>
            </w:r>
          </w:p>
        </w:tc>
        <w:tc>
          <w:tcPr>
            <w:tcW w:w="9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Quantitative and Qualitative Disclosures About Market Risk</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8.</w:t>
            </w:r>
          </w:p>
        </w:tc>
        <w:tc>
          <w:tcPr>
            <w:tcW w:w="9060" w:type="dxa"/>
            <w:vAlign w:val="bottom"/>
          </w:tcPr>
          <w:p>
            <w:pPr>
              <w:ind w:left="40"/>
              <w:spacing w:after="0"/>
              <w:rPr>
                <w:sz w:val="20"/>
                <w:szCs w:val="20"/>
                <w:color w:val="auto"/>
              </w:rPr>
            </w:pPr>
            <w:r>
              <w:rPr>
                <w:rFonts w:ascii="Arial" w:cs="Arial" w:eastAsia="Arial" w:hAnsi="Arial"/>
                <w:sz w:val="16"/>
                <w:szCs w:val="16"/>
                <w:color w:val="auto"/>
              </w:rPr>
              <w:t>Financial Statements and Supplementary Data</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23</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Item 9.</w:t>
            </w:r>
          </w:p>
        </w:tc>
        <w:tc>
          <w:tcPr>
            <w:tcW w:w="9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9A.</w:t>
            </w:r>
          </w:p>
        </w:tc>
        <w:tc>
          <w:tcPr>
            <w:tcW w:w="9060" w:type="dxa"/>
            <w:vAlign w:val="bottom"/>
          </w:tcPr>
          <w:p>
            <w:pPr>
              <w:ind w:left="40"/>
              <w:spacing w:after="0"/>
              <w:rPr>
                <w:sz w:val="20"/>
                <w:szCs w:val="20"/>
                <w:color w:val="auto"/>
              </w:rPr>
            </w:pPr>
            <w:r>
              <w:rPr>
                <w:rFonts w:ascii="Arial" w:cs="Arial" w:eastAsia="Arial" w:hAnsi="Arial"/>
                <w:sz w:val="16"/>
                <w:szCs w:val="16"/>
                <w:color w:val="auto"/>
              </w:rPr>
              <w:t>Controls and Procedures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23</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Item 9B.</w:t>
            </w:r>
          </w:p>
        </w:tc>
        <w:tc>
          <w:tcPr>
            <w:tcW w:w="9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Information</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jc w:val="center"/>
              <w:ind w:right="759"/>
              <w:spacing w:after="0"/>
              <w:rPr>
                <w:sz w:val="20"/>
                <w:szCs w:val="20"/>
                <w:color w:val="auto"/>
              </w:rPr>
            </w:pPr>
            <w:r>
              <w:rPr>
                <w:rFonts w:ascii="Arial" w:cs="Arial" w:eastAsia="Arial" w:hAnsi="Arial"/>
                <w:sz w:val="16"/>
                <w:szCs w:val="16"/>
                <w:color w:val="auto"/>
                <w:w w:val="95"/>
              </w:rPr>
              <w:t>PART III</w:t>
            </w:r>
          </w:p>
        </w:tc>
        <w:tc>
          <w:tcPr>
            <w:tcW w:w="7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10.</w:t>
            </w:r>
          </w:p>
        </w:tc>
        <w:tc>
          <w:tcPr>
            <w:tcW w:w="9060" w:type="dxa"/>
            <w:vAlign w:val="bottom"/>
          </w:tcPr>
          <w:p>
            <w:pPr>
              <w:ind w:left="40"/>
              <w:spacing w:after="0"/>
              <w:rPr>
                <w:sz w:val="20"/>
                <w:szCs w:val="20"/>
                <w:color w:val="auto"/>
              </w:rPr>
            </w:pPr>
            <w:r>
              <w:rPr>
                <w:rFonts w:ascii="Arial" w:cs="Arial" w:eastAsia="Arial" w:hAnsi="Arial"/>
                <w:sz w:val="16"/>
                <w:szCs w:val="16"/>
                <w:color w:val="auto"/>
              </w:rPr>
              <w:t>Directors and Executive Officers of the Registrant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24</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Item 11.</w:t>
            </w:r>
          </w:p>
        </w:tc>
        <w:tc>
          <w:tcPr>
            <w:tcW w:w="9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Compensation</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12.</w:t>
            </w:r>
          </w:p>
        </w:tc>
        <w:tc>
          <w:tcPr>
            <w:tcW w:w="9060" w:type="dxa"/>
            <w:vAlign w:val="bottom"/>
          </w:tcPr>
          <w:p>
            <w:pPr>
              <w:ind w:left="4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25</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Item 13.</w:t>
            </w:r>
          </w:p>
        </w:tc>
        <w:tc>
          <w:tcPr>
            <w:tcW w:w="9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Certain Relationships and Related Transactions</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r>
      <w:tr>
        <w:trPr>
          <w:trHeight w:val="206"/>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14.</w:t>
            </w:r>
          </w:p>
        </w:tc>
        <w:tc>
          <w:tcPr>
            <w:tcW w:w="9060" w:type="dxa"/>
            <w:vAlign w:val="bottom"/>
          </w:tcPr>
          <w:p>
            <w:pPr>
              <w:ind w:left="40"/>
              <w:spacing w:after="0"/>
              <w:rPr>
                <w:sz w:val="20"/>
                <w:szCs w:val="20"/>
                <w:color w:val="auto"/>
              </w:rPr>
            </w:pPr>
            <w:r>
              <w:rPr>
                <w:rFonts w:ascii="Arial" w:cs="Arial" w:eastAsia="Arial" w:hAnsi="Arial"/>
                <w:sz w:val="16"/>
                <w:szCs w:val="16"/>
                <w:color w:val="auto"/>
              </w:rPr>
              <w:t>Principal Accountant Fees and Services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25</w:t>
            </w:r>
          </w:p>
        </w:tc>
      </w:tr>
      <w:tr>
        <w:trPr>
          <w:trHeight w:val="199"/>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60" w:type="dxa"/>
            <w:vAlign w:val="bottom"/>
            <w:shd w:val="clear" w:color="auto" w:fill="CCEEFF"/>
          </w:tcPr>
          <w:p>
            <w:pPr>
              <w:jc w:val="center"/>
              <w:ind w:right="739"/>
              <w:spacing w:after="0"/>
              <w:rPr>
                <w:sz w:val="20"/>
                <w:szCs w:val="20"/>
                <w:color w:val="auto"/>
              </w:rPr>
            </w:pPr>
            <w:r>
              <w:rPr>
                <w:rFonts w:ascii="Arial" w:cs="Arial" w:eastAsia="Arial" w:hAnsi="Arial"/>
                <w:sz w:val="16"/>
                <w:szCs w:val="16"/>
                <w:color w:val="auto"/>
                <w:w w:val="96"/>
              </w:rPr>
              <w:t>PART IV</w:t>
            </w:r>
          </w:p>
        </w:tc>
        <w:tc>
          <w:tcPr>
            <w:tcW w:w="7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Item 15.</w:t>
            </w:r>
          </w:p>
        </w:tc>
        <w:tc>
          <w:tcPr>
            <w:tcW w:w="9060" w:type="dxa"/>
            <w:vAlign w:val="bottom"/>
          </w:tcPr>
          <w:p>
            <w:pPr>
              <w:ind w:left="40"/>
              <w:spacing w:after="0"/>
              <w:rPr>
                <w:sz w:val="20"/>
                <w:szCs w:val="20"/>
                <w:color w:val="auto"/>
              </w:rPr>
            </w:pPr>
            <w:r>
              <w:rPr>
                <w:rFonts w:ascii="Arial" w:cs="Arial" w:eastAsia="Arial" w:hAnsi="Arial"/>
                <w:sz w:val="16"/>
                <w:szCs w:val="16"/>
                <w:color w:val="auto"/>
              </w:rPr>
              <w:t>Exhibits and Financial Statement Schedules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25</w:t>
            </w: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SIGNATURES</w:t>
            </w:r>
          </w:p>
        </w:tc>
        <w:tc>
          <w:tcPr>
            <w:tcW w:w="90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r>
      <w:tr>
        <w:trPr>
          <w:trHeight w:val="203"/>
        </w:trPr>
        <w:tc>
          <w:tcPr>
            <w:tcW w:w="20" w:type="dxa"/>
            <w:vAlign w:val="bottom"/>
          </w:tcPr>
          <w:p>
            <w:pPr>
              <w:spacing w:after="0"/>
              <w:rPr>
                <w:sz w:val="17"/>
                <w:szCs w:val="17"/>
                <w:color w:val="auto"/>
              </w:rPr>
            </w:pPr>
          </w:p>
        </w:tc>
        <w:tc>
          <w:tcPr>
            <w:tcW w:w="10640" w:type="dxa"/>
            <w:vAlign w:val="bottom"/>
            <w:gridSpan w:val="2"/>
          </w:tcPr>
          <w:p>
            <w:pPr>
              <w:spacing w:after="0"/>
              <w:rPr>
                <w:sz w:val="20"/>
                <w:szCs w:val="20"/>
                <w:color w:val="auto"/>
              </w:rPr>
            </w:pPr>
            <w:r>
              <w:rPr>
                <w:rFonts w:ascii="Arial" w:cs="Arial" w:eastAsia="Arial" w:hAnsi="Arial"/>
                <w:sz w:val="16"/>
                <w:szCs w:val="16"/>
                <w:color w:val="auto"/>
              </w:rPr>
              <w:t>INDEX TO FINANCIAL INFORMATION</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27</w:t>
            </w:r>
          </w:p>
        </w:tc>
      </w:tr>
      <w:tr>
        <w:trPr>
          <w:trHeight w:val="203"/>
        </w:trPr>
        <w:tc>
          <w:tcPr>
            <w:tcW w:w="20" w:type="dxa"/>
            <w:vAlign w:val="bottom"/>
          </w:tcPr>
          <w:p>
            <w:pPr>
              <w:spacing w:after="0"/>
              <w:rPr>
                <w:sz w:val="17"/>
                <w:szCs w:val="17"/>
                <w:color w:val="auto"/>
              </w:rPr>
            </w:pPr>
          </w:p>
        </w:tc>
        <w:tc>
          <w:tcPr>
            <w:tcW w:w="106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r>
      <w:tr>
        <w:trPr>
          <w:trHeight w:val="203"/>
        </w:trPr>
        <w:tc>
          <w:tcPr>
            <w:tcW w:w="20" w:type="dxa"/>
            <w:vAlign w:val="bottom"/>
          </w:tcPr>
          <w:p>
            <w:pPr>
              <w:spacing w:after="0"/>
              <w:rPr>
                <w:sz w:val="17"/>
                <w:szCs w:val="17"/>
                <w:color w:val="auto"/>
              </w:rPr>
            </w:pPr>
          </w:p>
        </w:tc>
        <w:tc>
          <w:tcPr>
            <w:tcW w:w="10640" w:type="dxa"/>
            <w:vAlign w:val="bottom"/>
            <w:gridSpan w:val="2"/>
          </w:tcPr>
          <w:p>
            <w:pPr>
              <w:ind w:left="60"/>
              <w:spacing w:after="0"/>
              <w:rPr>
                <w:sz w:val="20"/>
                <w:szCs w:val="20"/>
                <w:color w:val="auto"/>
              </w:rPr>
            </w:pPr>
            <w:r>
              <w:rPr>
                <w:rFonts w:ascii="Arial" w:cs="Arial" w:eastAsia="Arial" w:hAnsi="Arial"/>
                <w:sz w:val="16"/>
                <w:szCs w:val="16"/>
                <w:color w:val="auto"/>
              </w:rPr>
              <w:t>Financial Statements and Schedules:</w:t>
            </w: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6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Report of Independent Registered Public Accounting Firm</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w:t>
            </w:r>
          </w:p>
        </w:tc>
      </w:tr>
      <w:tr>
        <w:trPr>
          <w:trHeight w:val="193"/>
        </w:trPr>
        <w:tc>
          <w:tcPr>
            <w:tcW w:w="20" w:type="dxa"/>
            <w:vAlign w:val="bottom"/>
          </w:tcPr>
          <w:p>
            <w:pPr>
              <w:spacing w:after="0"/>
              <w:rPr>
                <w:sz w:val="16"/>
                <w:szCs w:val="16"/>
                <w:color w:val="auto"/>
              </w:rPr>
            </w:pPr>
          </w:p>
        </w:tc>
        <w:tc>
          <w:tcPr>
            <w:tcW w:w="10640" w:type="dxa"/>
            <w:vAlign w:val="bottom"/>
            <w:gridSpan w:val="2"/>
          </w:tcPr>
          <w:p>
            <w:pPr>
              <w:ind w:left="160"/>
              <w:spacing w:after="0"/>
              <w:rPr>
                <w:sz w:val="20"/>
                <w:szCs w:val="20"/>
                <w:color w:val="auto"/>
              </w:rPr>
            </w:pPr>
            <w:r>
              <w:rPr>
                <w:rFonts w:ascii="Arial" w:cs="Arial" w:eastAsia="Arial" w:hAnsi="Arial"/>
                <w:sz w:val="16"/>
                <w:szCs w:val="16"/>
                <w:color w:val="auto"/>
              </w:rPr>
              <w:t>Consolidated Statements of Income and Consolidated Statements of Comprehensive Income for the Three Fiscal Years</w:t>
            </w:r>
          </w:p>
        </w:tc>
        <w:tc>
          <w:tcPr>
            <w:tcW w:w="76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640" w:type="dxa"/>
            <w:vAlign w:val="bottom"/>
            <w:gridSpan w:val="2"/>
          </w:tcPr>
          <w:p>
            <w:pPr>
              <w:ind w:left="240"/>
              <w:spacing w:after="0"/>
              <w:rPr>
                <w:sz w:val="20"/>
                <w:szCs w:val="20"/>
                <w:color w:val="auto"/>
              </w:rPr>
            </w:pPr>
            <w:r>
              <w:rPr>
                <w:rFonts w:ascii="Arial" w:cs="Arial" w:eastAsia="Arial" w:hAnsi="Arial"/>
                <w:sz w:val="16"/>
                <w:szCs w:val="16"/>
                <w:color w:val="auto"/>
              </w:rPr>
              <w:t>Ended January 2, 2005</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39</w:t>
            </w:r>
          </w:p>
        </w:tc>
      </w:tr>
      <w:tr>
        <w:trPr>
          <w:trHeight w:val="206"/>
        </w:trPr>
        <w:tc>
          <w:tcPr>
            <w:tcW w:w="20" w:type="dxa"/>
            <w:vAlign w:val="bottom"/>
          </w:tcPr>
          <w:p>
            <w:pPr>
              <w:spacing w:after="0"/>
              <w:rPr>
                <w:sz w:val="17"/>
                <w:szCs w:val="17"/>
                <w:color w:val="auto"/>
              </w:rPr>
            </w:pPr>
          </w:p>
        </w:tc>
        <w:tc>
          <w:tcPr>
            <w:tcW w:w="106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Consolidated Balance Sheets at January 2, 2005 and December 28, 2003</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w:t>
            </w:r>
          </w:p>
        </w:tc>
      </w:tr>
      <w:tr>
        <w:trPr>
          <w:trHeight w:val="203"/>
        </w:trPr>
        <w:tc>
          <w:tcPr>
            <w:tcW w:w="20" w:type="dxa"/>
            <w:vAlign w:val="bottom"/>
          </w:tcPr>
          <w:p>
            <w:pPr>
              <w:spacing w:after="0"/>
              <w:rPr>
                <w:sz w:val="17"/>
                <w:szCs w:val="17"/>
                <w:color w:val="auto"/>
              </w:rPr>
            </w:pPr>
          </w:p>
        </w:tc>
        <w:tc>
          <w:tcPr>
            <w:tcW w:w="10640" w:type="dxa"/>
            <w:vAlign w:val="bottom"/>
            <w:gridSpan w:val="2"/>
          </w:tcPr>
          <w:p>
            <w:pPr>
              <w:ind w:left="160"/>
              <w:spacing w:after="0"/>
              <w:rPr>
                <w:sz w:val="20"/>
                <w:szCs w:val="20"/>
                <w:color w:val="auto"/>
              </w:rPr>
            </w:pPr>
            <w:r>
              <w:rPr>
                <w:rFonts w:ascii="Arial" w:cs="Arial" w:eastAsia="Arial" w:hAnsi="Arial"/>
                <w:sz w:val="16"/>
                <w:szCs w:val="16"/>
                <w:color w:val="auto"/>
              </w:rPr>
              <w:t>Consolidated Statements of Cash Flows for the Three Fiscal Years Ended January 2, 2005</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42</w:t>
            </w:r>
          </w:p>
        </w:tc>
      </w:tr>
      <w:tr>
        <w:trPr>
          <w:trHeight w:val="203"/>
        </w:trPr>
        <w:tc>
          <w:tcPr>
            <w:tcW w:w="20" w:type="dxa"/>
            <w:vAlign w:val="bottom"/>
          </w:tcPr>
          <w:p>
            <w:pPr>
              <w:spacing w:after="0"/>
              <w:rPr>
                <w:sz w:val="17"/>
                <w:szCs w:val="17"/>
                <w:color w:val="auto"/>
              </w:rPr>
            </w:pPr>
          </w:p>
        </w:tc>
        <w:tc>
          <w:tcPr>
            <w:tcW w:w="106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Consolidated Statements of Changes in Common Shareholders’ Equity for the Three Fiscal Years Ended January 2, 2005</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r>
      <w:tr>
        <w:trPr>
          <w:trHeight w:val="203"/>
        </w:trPr>
        <w:tc>
          <w:tcPr>
            <w:tcW w:w="20" w:type="dxa"/>
            <w:vAlign w:val="bottom"/>
          </w:tcPr>
          <w:p>
            <w:pPr>
              <w:spacing w:after="0"/>
              <w:rPr>
                <w:sz w:val="17"/>
                <w:szCs w:val="17"/>
                <w:color w:val="auto"/>
              </w:rPr>
            </w:pPr>
          </w:p>
        </w:tc>
        <w:tc>
          <w:tcPr>
            <w:tcW w:w="10640" w:type="dxa"/>
            <w:vAlign w:val="bottom"/>
            <w:gridSpan w:val="2"/>
          </w:tcPr>
          <w:p>
            <w:pPr>
              <w:ind w:left="160"/>
              <w:spacing w:after="0"/>
              <w:rPr>
                <w:sz w:val="20"/>
                <w:szCs w:val="20"/>
                <w:color w:val="auto"/>
              </w:rPr>
            </w:pPr>
            <w:r>
              <w:rPr>
                <w:rFonts w:ascii="Arial" w:cs="Arial" w:eastAsia="Arial" w:hAnsi="Arial"/>
                <w:sz w:val="16"/>
                <w:szCs w:val="16"/>
                <w:color w:val="auto"/>
              </w:rPr>
              <w:t>Notes to Consolidated Financial Statements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44</w:t>
            </w:r>
          </w:p>
        </w:tc>
      </w:tr>
      <w:tr>
        <w:trPr>
          <w:trHeight w:val="203"/>
        </w:trPr>
        <w:tc>
          <w:tcPr>
            <w:tcW w:w="20" w:type="dxa"/>
            <w:vAlign w:val="bottom"/>
          </w:tcPr>
          <w:p>
            <w:pPr>
              <w:spacing w:after="0"/>
              <w:rPr>
                <w:sz w:val="17"/>
                <w:szCs w:val="17"/>
                <w:color w:val="auto"/>
              </w:rPr>
            </w:pPr>
          </w:p>
        </w:tc>
        <w:tc>
          <w:tcPr>
            <w:tcW w:w="106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Financial Statement Schedule for the Three Fiscal Years Ended January 2, 2005:</w:t>
            </w:r>
          </w:p>
        </w:tc>
        <w:tc>
          <w:tcPr>
            <w:tcW w:w="7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640" w:type="dxa"/>
            <w:vAlign w:val="bottom"/>
            <w:gridSpan w:val="2"/>
          </w:tcPr>
          <w:p>
            <w:pPr>
              <w:ind w:left="240"/>
              <w:spacing w:after="0"/>
              <w:rPr>
                <w:sz w:val="20"/>
                <w:szCs w:val="20"/>
                <w:color w:val="auto"/>
              </w:rPr>
            </w:pPr>
            <w:r>
              <w:rPr>
                <w:rFonts w:ascii="Arial" w:cs="Arial" w:eastAsia="Arial" w:hAnsi="Arial"/>
                <w:sz w:val="16"/>
                <w:szCs w:val="16"/>
                <w:color w:val="auto"/>
              </w:rPr>
              <w:t>II — Valuation and Qualifying Accounts</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59</w:t>
            </w:r>
          </w:p>
        </w:tc>
      </w:tr>
      <w:tr>
        <w:trPr>
          <w:trHeight w:val="203"/>
        </w:trPr>
        <w:tc>
          <w:tcPr>
            <w:tcW w:w="20" w:type="dxa"/>
            <w:vAlign w:val="bottom"/>
          </w:tcPr>
          <w:p>
            <w:pPr>
              <w:spacing w:after="0"/>
              <w:rPr>
                <w:sz w:val="17"/>
                <w:szCs w:val="17"/>
                <w:color w:val="auto"/>
              </w:rPr>
            </w:pPr>
          </w:p>
        </w:tc>
        <w:tc>
          <w:tcPr>
            <w:tcW w:w="106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Ten-Year Summary of Selected Historical Financial Data (Unaudited)</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w:t>
            </w:r>
          </w:p>
        </w:tc>
      </w:tr>
      <w:tr>
        <w:trPr>
          <w:trHeight w:val="206"/>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INDEX TO EXHIBITS</w:t>
            </w:r>
          </w:p>
        </w:tc>
        <w:tc>
          <w:tcPr>
            <w:tcW w:w="906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63</w:t>
            </w:r>
          </w:p>
        </w:tc>
      </w:tr>
      <w:tr>
        <w:trPr>
          <w:trHeight w:val="223"/>
        </w:trPr>
        <w:tc>
          <w:tcPr>
            <w:tcW w:w="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90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The principal business activities of The Washington Post Company (the “Company”) consist of newspaper publishing (principally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television broadcasting (through the ownership and operation of six television broadcast stations), the ownership and operation of cable television systems, the provision of educational services (through its Kaplan subsidiary), and magazine publishing (principally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magazine).</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last three fiscal years is contained in Note N to the Company’s Consolidated Financial Statements appearing elsewhere in this Annual Report on Form 10-K. (Revenues for each segment are shown in such Note N net of intersegment sales, which did not exceed 0.1% of consolidated operating revenues.)</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Company’s operations in geographic areas outside the United States (consisting primarily of Kaplan’s foreign operations and the publication of the international editions of </w:t>
      </w:r>
      <w:r>
        <w:rPr>
          <w:rFonts w:ascii="Arial" w:cs="Arial" w:eastAsia="Arial" w:hAnsi="Arial"/>
          <w:sz w:val="17"/>
          <w:szCs w:val="17"/>
          <w:i w:val="1"/>
          <w:iCs w:val="1"/>
          <w:color w:val="auto"/>
        </w:rPr>
        <w:t>Newsweek</w:t>
      </w:r>
      <w:r>
        <w:rPr>
          <w:rFonts w:ascii="Arial" w:cs="Arial" w:eastAsia="Arial" w:hAnsi="Arial"/>
          <w:sz w:val="17"/>
          <w:szCs w:val="17"/>
          <w:color w:val="auto"/>
        </w:rPr>
        <w:t>) during the Company’s 2004, 2003 and 2002 fiscal years accounted for approximately 6%, 5% and 3%, respectively, of its consolidated revenues, and the identifiable assets attributable to such operations represented approximately 6% of the Company’s consolidated assets at January 2, 2005 and December 28, 2003, and less than 2% of the Company’s consolidated assets at December 29, 2002.</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Newspaper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WP Company LLC (“WP Company”), a subsidiary of the Company, publishes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which is a morning and Sunday newspaper primarily distributed by home delivery in the Washington, D.C. metropolitan area, including large portions of Virginia and Maryland.</w:t>
      </w:r>
    </w:p>
    <w:p>
      <w:pPr>
        <w:spacing w:after="0" w:line="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following table shows the average paid daily (including Saturday) and Sunday circulation of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 for the 12-month periods ended September 30 in each of the last five years, as reported by the Audit Bureau of Circulations (“ABC”) for the years 2000–2003 and as estimated by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 for the 12-month period ended September 30, 2004 (for which period ABC had not completed its audit as of the date of this report) from the semiannual publisher’s statements submitted to ABC for the six-month periods ended March 31, 2004 and September 30, 2004:</w:t>
      </w:r>
    </w:p>
    <w:p>
      <w:pPr>
        <w:spacing w:after="0" w:line="73" w:lineRule="exact"/>
        <w:rPr>
          <w:sz w:val="20"/>
          <w:szCs w:val="20"/>
          <w:color w:val="auto"/>
        </w:rPr>
      </w:pPr>
    </w:p>
    <w:tbl>
      <w:tblPr>
        <w:tblLayout w:type="fixed"/>
        <w:tblInd w:w="34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Average Paid Circulation</w:t>
            </w:r>
          </w:p>
        </w:tc>
      </w:tr>
      <w:tr>
        <w:trPr>
          <w:trHeight w:val="163"/>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color w:val="auto"/>
              </w:rPr>
              <w:t>Daily</w:t>
            </w:r>
          </w:p>
        </w:tc>
        <w:tc>
          <w:tcPr>
            <w:tcW w:w="15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8"/>
              </w:rPr>
              <w:t>Sunday</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2000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777,521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1,075,918</w:t>
            </w:r>
          </w:p>
        </w:tc>
      </w:tr>
      <w:tr>
        <w:trPr>
          <w:trHeight w:val="216"/>
        </w:trPr>
        <w:tc>
          <w:tcPr>
            <w:tcW w:w="20" w:type="dxa"/>
            <w:vAlign w:val="bottom"/>
          </w:tcPr>
          <w:p>
            <w:pPr>
              <w:spacing w:after="0"/>
              <w:rPr>
                <w:sz w:val="18"/>
                <w:szCs w:val="18"/>
                <w:color w:val="auto"/>
              </w:rPr>
            </w:pPr>
          </w:p>
        </w:tc>
        <w:tc>
          <w:tcPr>
            <w:tcW w:w="1620" w:type="dxa"/>
            <w:vAlign w:val="bottom"/>
          </w:tcPr>
          <w:p>
            <w:pPr>
              <w:jc w:val="right"/>
              <w:ind w:right="1190"/>
              <w:spacing w:after="0"/>
              <w:rPr>
                <w:sz w:val="20"/>
                <w:szCs w:val="20"/>
                <w:color w:val="auto"/>
              </w:rPr>
            </w:pPr>
            <w:r>
              <w:rPr>
                <w:rFonts w:ascii="Arial" w:cs="Arial" w:eastAsia="Arial" w:hAnsi="Arial"/>
                <w:sz w:val="18"/>
                <w:szCs w:val="18"/>
                <w:color w:val="auto"/>
                <w:w w:val="79"/>
              </w:rPr>
              <w:t>2001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771,614</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1,066,723</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2002</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767,843</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1,058,458</w:t>
            </w:r>
          </w:p>
        </w:tc>
      </w:tr>
      <w:tr>
        <w:trPr>
          <w:trHeight w:val="216"/>
        </w:trPr>
        <w:tc>
          <w:tcPr>
            <w:tcW w:w="20" w:type="dxa"/>
            <w:vAlign w:val="bottom"/>
          </w:tcPr>
          <w:p>
            <w:pPr>
              <w:spacing w:after="0"/>
              <w:rPr>
                <w:sz w:val="18"/>
                <w:szCs w:val="18"/>
                <w:color w:val="auto"/>
              </w:rPr>
            </w:pPr>
          </w:p>
        </w:tc>
        <w:tc>
          <w:tcPr>
            <w:tcW w:w="1620" w:type="dxa"/>
            <w:vAlign w:val="bottom"/>
          </w:tcPr>
          <w:p>
            <w:pPr>
              <w:jc w:val="right"/>
              <w:ind w:right="1190"/>
              <w:spacing w:after="0"/>
              <w:rPr>
                <w:sz w:val="20"/>
                <w:szCs w:val="20"/>
                <w:color w:val="auto"/>
              </w:rPr>
            </w:pPr>
            <w:r>
              <w:rPr>
                <w:rFonts w:ascii="Arial" w:cs="Arial" w:eastAsia="Arial" w:hAnsi="Arial"/>
                <w:sz w:val="18"/>
                <w:szCs w:val="18"/>
                <w:color w:val="auto"/>
                <w:w w:val="79"/>
              </w:rPr>
              <w:t>2003</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749,323</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1,035,204</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2004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729,981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1,016,533</w:t>
            </w:r>
          </w:p>
        </w:tc>
      </w:tr>
    </w:tbl>
    <w:p>
      <w:pPr>
        <w:spacing w:after="0" w:line="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newsstand price for the daily newspaper was increased from $0.25 (which had been the price since 1981) to $0.35 effective December 31, 2001. The newsstand price for the Sunday newspaper has been $1.50 since 1992. In July 2004 the rate charged for home-delivered copies of the daily and Sunday newspaper for each four-week period was increased to $14.40 from $13.44, which had been the rate since July 2003. The corresponding rate charged for Sunday-only home delivery has been $6.00 since 1991.</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advertising rates were increased by an average of approximately 5.3% on January 1, 2004, and by approximately another 4.5% on January 1, 2005. Rates for most categories of classified and retail advertising were increased by an average of approximately 3.2% on February 1, 2004, and by approximately an additional 3.4% on February 1, 2005.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w:t>
      </w:r>
      <w:r>
        <w:rPr>
          <w:rFonts w:ascii="Arial" w:cs="Arial" w:eastAsia="Arial" w:hAnsi="Arial"/>
          <w:sz w:val="18"/>
          <w:szCs w:val="18"/>
          <w:i w:val="1"/>
          <w:iCs w:val="1"/>
          <w:color w:val="auto"/>
        </w:rPr>
        <w:t>The Post</w:t>
      </w:r>
      <w:r>
        <w:rPr>
          <w:rFonts w:ascii="Arial" w:cs="Arial" w:eastAsia="Arial" w:hAnsi="Arial"/>
          <w:sz w:val="18"/>
          <w:szCs w:val="18"/>
          <w:color w:val="auto"/>
        </w:rPr>
        <w:t>’s advertising inches (excluding preprints) and number of preprints for the past five years: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2000</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2001</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2002</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2003</w:t>
            </w: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2004</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Inches (in thousands)</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3,363</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2,714</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2,657</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2,675</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2,726</w:t>
            </w:r>
          </w:p>
        </w:tc>
      </w:tr>
      <w:tr>
        <w:trPr>
          <w:trHeight w:val="216"/>
        </w:trPr>
        <w:tc>
          <w:tcPr>
            <w:tcW w:w="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Full-Run Inches</w:t>
            </w:r>
          </w:p>
        </w:tc>
        <w:tc>
          <w:tcPr>
            <w:tcW w:w="920" w:type="dxa"/>
            <w:vAlign w:val="bottom"/>
          </w:tcPr>
          <w:p>
            <w:pPr>
              <w:jc w:val="right"/>
              <w:ind w:right="174"/>
              <w:spacing w:after="0"/>
              <w:rPr>
                <w:sz w:val="20"/>
                <w:szCs w:val="20"/>
                <w:color w:val="auto"/>
              </w:rPr>
            </w:pPr>
            <w:r>
              <w:rPr>
                <w:rFonts w:ascii="Arial" w:cs="Arial" w:eastAsia="Arial" w:hAnsi="Arial"/>
                <w:sz w:val="18"/>
                <w:szCs w:val="18"/>
                <w:color w:val="auto"/>
              </w:rPr>
              <w:t>2,634</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2,296</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2,180</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2,121</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2,120</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Part-Run Inches</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729</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418</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477</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554</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606</w:t>
            </w: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Preprints (in millions)</w:t>
            </w:r>
          </w:p>
        </w:tc>
        <w:tc>
          <w:tcPr>
            <w:tcW w:w="920" w:type="dxa"/>
            <w:vAlign w:val="bottom"/>
          </w:tcPr>
          <w:p>
            <w:pPr>
              <w:jc w:val="right"/>
              <w:ind w:right="174"/>
              <w:spacing w:after="0"/>
              <w:rPr>
                <w:sz w:val="20"/>
                <w:szCs w:val="20"/>
                <w:color w:val="auto"/>
              </w:rPr>
            </w:pPr>
            <w:r>
              <w:rPr>
                <w:rFonts w:ascii="Arial" w:cs="Arial" w:eastAsia="Arial" w:hAnsi="Arial"/>
                <w:sz w:val="18"/>
                <w:szCs w:val="18"/>
                <w:color w:val="auto"/>
              </w:rPr>
              <w:t>1,602</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1,556</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1,656</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1,835</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1,887</w:t>
            </w:r>
          </w:p>
        </w:tc>
      </w:tr>
    </w:tbl>
    <w:p>
      <w:pPr>
        <w:spacing w:after="0" w:line="200" w:lineRule="exact"/>
        <w:rPr>
          <w:sz w:val="20"/>
          <w:szCs w:val="20"/>
          <w:color w:val="auto"/>
        </w:rPr>
      </w:pPr>
    </w:p>
    <w:p>
      <w:pPr>
        <w:spacing w:after="0" w:line="31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ind w:right="200"/>
        <w:spacing w:after="0" w:line="264" w:lineRule="auto"/>
        <w:rPr>
          <w:sz w:val="20"/>
          <w:szCs w:val="20"/>
          <w:color w:val="auto"/>
        </w:rPr>
      </w:pPr>
      <w:r>
        <w:rPr>
          <w:rFonts w:ascii="Arial" w:cs="Arial" w:eastAsia="Arial" w:hAnsi="Arial"/>
          <w:sz w:val="18"/>
          <w:szCs w:val="18"/>
          <w:color w:val="auto"/>
        </w:rPr>
        <w:t xml:space="preserve">WP Company also publishes </w:t>
      </w:r>
      <w:r>
        <w:rPr>
          <w:rFonts w:ascii="Arial" w:cs="Arial" w:eastAsia="Arial" w:hAnsi="Arial"/>
          <w:sz w:val="18"/>
          <w:szCs w:val="18"/>
          <w:i w:val="1"/>
          <w:iCs w:val="1"/>
          <w:color w:val="auto"/>
        </w:rPr>
        <w:t>The Washington Post National Weekly Edition,</w:t>
      </w:r>
      <w:r>
        <w:rPr>
          <w:rFonts w:ascii="Arial" w:cs="Arial" w:eastAsia="Arial" w:hAnsi="Arial"/>
          <w:sz w:val="18"/>
          <w:szCs w:val="18"/>
          <w:color w:val="auto"/>
        </w:rPr>
        <w:t xml:space="preserve"> a tabloid that contains selected articles and features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edited for a national audience. The </w:t>
      </w:r>
      <w:r>
        <w:rPr>
          <w:rFonts w:ascii="Arial" w:cs="Arial" w:eastAsia="Arial" w:hAnsi="Arial"/>
          <w:sz w:val="18"/>
          <w:szCs w:val="18"/>
          <w:i w:val="1"/>
          <w:iCs w:val="1"/>
          <w:color w:val="auto"/>
        </w:rPr>
        <w:t>National Weekly Edition</w:t>
      </w:r>
      <w:r>
        <w:rPr>
          <w:rFonts w:ascii="Arial" w:cs="Arial" w:eastAsia="Arial" w:hAnsi="Arial"/>
          <w:sz w:val="18"/>
          <w:szCs w:val="18"/>
          <w:color w:val="auto"/>
        </w:rPr>
        <w:t xml:space="preserve"> has a basic subscription price of $78 per year and is delivered by second-class mail to approximately 42,000 subscribers.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has about 645 full-time editors, reporters and photographers on its staff; draws upon the news reporting facilities of the major wire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maintains correspondents in 21 news centers abroad and in New York City; Los Angeles; San Francisco; Chicago; Miami; Austin, Texas; and Seattle, Washington.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maintains reporters in 12 local news bureaus.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2003, Express Publications Company, LLC (“Express Publications”), another subsidiary of the Company, began publishing a weekday tabloid newspaper named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which is distributed free of charge using hawkers and news boxes near Metro stations and in other locations in Washington, D.C. and nearby suburbs with heavy daytime sidewalk traffic. A typical edition of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is 28 to 36 pages long and contains short news, entertainment and sports stories as well as both classified and display advertising. Current daily circulation is approximately 157,000 copies.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relies primarily on wire service and syndicated content and is edited by a full-time newsroom staff of 13. Advertising sales, production, and certain other services for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are provided by WP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Washingtonpost.Newsweek Interactive</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xml:space="preserve">Washingtonpost.Newsweek Interactive Company, LLC (“WPNI”) develops news and information products for electronic distribution. Since 1996 this subsidiary of the Company has produced washingtonpost.com, an Internet site that features the full editorial text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Post</w:t>
      </w:r>
      <w:r>
        <w:rPr>
          <w:rFonts w:ascii="Arial" w:cs="Arial" w:eastAsia="Arial" w:hAnsi="Arial"/>
          <w:sz w:val="16"/>
          <w:szCs w:val="16"/>
          <w:color w:val="auto"/>
        </w:rPr>
        <w:t>’s classified advertising, as well as original content created by WPNI’s staff and content obtained from other sources. As measured by WPNI, this site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generating more than 190 million page views per month. The washingtonpost.com site also features comprehensive information about activities, groups and businesses in the Washington, D.C. area, including an arts and entertainment section and a news section focusing on technology businesses and related policy issues. This site has developed a substantial audience of users who are outside of the Washington, D.C. area, and WPNI believes that at least three-quarters of the unique users who access the site each month are in that category. Since 2002 WPNI has required most users accessing the washingtonpost.com site to register and provide their year of birth, gender and zip code. The resulting information helps WPNI provide online advertisers with opportunities to target specific geographic areas and demographic groups. Early in 2004 this registration process was modified to include the collection of additional information from users, including job title and the type of industry in which the user works. WPNI also offers registered users the option of receiving various e-mail newsletters that cover specific topics, including political news and analysis, personal technology, and entertainment.</w:t>
      </w:r>
    </w:p>
    <w:p>
      <w:pPr>
        <w:spacing w:after="0" w:line="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WPNI also produces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Internet site, which was launched in 1998 and contains editorial content from the print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as well as daily news updates and analysis, photo galleries, web guides and other features.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On January 14, 2005, WPNI purchased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that was founded by Microsoft Corporation in 1996.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analyzing news, politics and contemporary culture, and adds new material on a daily basis. Content is supplied by the magazine’s own editorial staff as well as by independent contributors.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WPNI holds a minority equity interest in Classified Ventures LLC, a company formed to compete in the business of providing nationwide classified advertising databases on the Internet. The Classified Ventures databases cover the product categories of automobiles, apartment rentals and real estate. Listings for these databases come from various sources, including direct sales and classified listings from the newspapers of participating companies. Links to the Classified Ventures databases are included in the washingtonpost.com site.</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Under an agreement signed in 2000 and amended in 2003, WPNI and several other business units of the Company have been sharing certain news material and promotional resources with NBC News and MSNBC. Among other things, under this agreement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 has become a feature on MSNBC.com and MSNBC.com is being provided access to certain content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Similarly, washingtonpost.com is being provided access to certain MSNBC.com multimedia content.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Newspaper Division of Post-Newsweek Media</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The Community Newspaper Division of Post-Newsweek Media, Inc. publishes two weekly paid-circulation, three twice-weekly paid-circulation and 34 controlled-circulation weekly community newspapers. This division’s newspapers are divided into two groups: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which circulate in Montgomery, Prince George’s and Frederick Counties and in parts of Carroll County, Maryland; and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 xml:space="preserve"> which circulate in southern Prince George’s County and in Charles, St. Mary’s and Calvert Counties, Maryland. During 2004 these newspapers had a</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ind w:right="60"/>
        <w:spacing w:after="0" w:line="264" w:lineRule="auto"/>
        <w:rPr>
          <w:sz w:val="20"/>
          <w:szCs w:val="20"/>
          <w:color w:val="auto"/>
        </w:rPr>
      </w:pPr>
      <w:r>
        <w:rPr>
          <w:rFonts w:ascii="Arial" w:cs="Arial" w:eastAsia="Arial" w:hAnsi="Arial"/>
          <w:sz w:val="18"/>
          <w:szCs w:val="18"/>
          <w:color w:val="auto"/>
        </w:rPr>
        <w:t>combined average circulation of approximately 680,000 copies. This division also produces military newspapers (most of which are weekly) under agreements where editorial material is supplied by local military bases; in 2004 the 12 military newspapers produced by this division had a combined average circulation of more than 195,000 copies.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Southern Maryland Newspapers </w:t>
      </w:r>
      <w:r>
        <w:rPr>
          <w:rFonts w:ascii="Arial" w:cs="Arial" w:eastAsia="Arial" w:hAnsi="Arial"/>
          <w:sz w:val="18"/>
          <w:szCs w:val="18"/>
          <w:color w:val="auto"/>
        </w:rPr>
        <w:t>together employ approximately 165 editors, reporters and photographers.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division also operates two commercial printing businesses in suburban Maryland.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Herald</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owns The Daily Herald Company, publisher of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in Everett, Washington, about 30 miles north of Seattle.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is published mornings seven days a week and is primarily distributed by home delivery in Snohomish County. The Daily Herald Company also provides commercial printing services and publishes four controlled-circulation weekly community newspapers (collectively known as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that are distributed in south Snohomish and north King Counties.</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The Herald’</w:t>
      </w:r>
      <w:r>
        <w:rPr>
          <w:rFonts w:ascii="Arial" w:cs="Arial" w:eastAsia="Arial" w:hAnsi="Arial"/>
          <w:sz w:val="18"/>
          <w:szCs w:val="18"/>
          <w:color w:val="auto"/>
        </w:rPr>
        <w:t>s average paid circulation as reported to ABC for the 12 months ended September 30, 2004, was 50,659 daily (including Saturday) and 55,899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Sunday. The aggregate average weekly circulation of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during the 12-month period ended December 31, 2004, was approximately 77,500 copies.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Enterprise Newspapers </w:t>
      </w:r>
      <w:r>
        <w:rPr>
          <w:rFonts w:ascii="Arial" w:cs="Arial" w:eastAsia="Arial" w:hAnsi="Arial"/>
          <w:sz w:val="18"/>
          <w:szCs w:val="18"/>
          <w:color w:val="auto"/>
        </w:rPr>
        <w:t>together employ approximately 80 editors, reporters and photographers.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The Company’s Greater Washington Publishing, Inc. subsidiary publishes several free-circulation advertising periodicals that have little or no editorial content and are distributed in the greater Washington, D.C. metropolitan area using sidewalk distribution boxes. Greater Washington Publishing’s two largest periodicals are </w:t>
      </w:r>
      <w:r>
        <w:rPr>
          <w:rFonts w:ascii="Arial" w:cs="Arial" w:eastAsia="Arial" w:hAnsi="Arial"/>
          <w:sz w:val="17"/>
          <w:szCs w:val="17"/>
          <w:i w:val="1"/>
          <w:iCs w:val="1"/>
          <w:color w:val="auto"/>
        </w:rPr>
        <w:t>The Washington Post Apartment Showcase,</w:t>
      </w:r>
      <w:r>
        <w:rPr>
          <w:rFonts w:ascii="Arial" w:cs="Arial" w:eastAsia="Arial" w:hAnsi="Arial"/>
          <w:sz w:val="17"/>
          <w:szCs w:val="17"/>
          <w:color w:val="auto"/>
        </w:rPr>
        <w:t xml:space="preserve"> which is published monthly and has an average circulation of about 55,000 copies, and </w:t>
      </w:r>
      <w:r>
        <w:rPr>
          <w:rFonts w:ascii="Arial" w:cs="Arial" w:eastAsia="Arial" w:hAnsi="Arial"/>
          <w:sz w:val="17"/>
          <w:szCs w:val="17"/>
          <w:i w:val="1"/>
          <w:iCs w:val="1"/>
          <w:color w:val="auto"/>
        </w:rPr>
        <w:t>New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Homes Guide, </w:t>
      </w:r>
      <w:r>
        <w:rPr>
          <w:rFonts w:ascii="Arial" w:cs="Arial" w:eastAsia="Arial" w:hAnsi="Arial"/>
          <w:sz w:val="17"/>
          <w:szCs w:val="17"/>
          <w:color w:val="auto"/>
        </w:rPr>
        <w:t>which is published six times a year and also has an average circulation of about 55,000 copies.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Tiempo Latino</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May 2004 the Company acquired El Tiempo Latino LLC, the publisher of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a weekly Spanish-language newspaper that is distributed free of charge in northern Virginia, suburban Maryland and Washington, D.C. using sidewalk news boxes and retail locations that provide space for distribution. </w:t>
      </w:r>
      <w:r>
        <w:rPr>
          <w:rFonts w:ascii="Arial" w:cs="Arial" w:eastAsia="Arial" w:hAnsi="Arial"/>
          <w:sz w:val="16"/>
          <w:szCs w:val="16"/>
          <w:i w:val="1"/>
          <w:iCs w:val="1"/>
          <w:color w:val="auto"/>
        </w:rPr>
        <w:t xml:space="preserve">El Tiempo Latino </w:t>
      </w:r>
      <w:r>
        <w:rPr>
          <w:rFonts w:ascii="Arial" w:cs="Arial" w:eastAsia="Arial" w:hAnsi="Arial"/>
          <w:sz w:val="16"/>
          <w:szCs w:val="16"/>
          <w:color w:val="auto"/>
        </w:rPr>
        <w:t>provides a mix of local, national and international news along with sports and community-events coverage, and has a current circulation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45,000 copies. Employees of the newspaper handle advertising sales as well as pre-press production, and content is provided by a combination of wire service copy, contributions from freelance writers and photographers, and stories produced by the newspaper’s own editorial staff.</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Through subsidiaries, the Company owns six VHF television stations located in Detroit, Michigan; Houston, Texas; Miami, Florida; Orlando, Florida; San Antonio, Texas; and Jacksonville, Florida; which are, respectively, the 10th, 11th, 17th, 20th, 37th and 52nd largest broadcasting markets in the United States.</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Five of the Company’s television stations are affiliated with one or another of the major national networks. The Company’s Jacksonville station, WJXT, has operated as an independent station since July 2002.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2004 net operating revenues from national and local television advertising and network compensation were as follows:</w:t>
      </w:r>
    </w:p>
    <w:p>
      <w:pPr>
        <w:spacing w:after="0" w:line="199"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National</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$130,659,000</w:t>
            </w:r>
          </w:p>
        </w:tc>
        <w:tc>
          <w:tcPr>
            <w:tcW w:w="54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Local</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209,256,000</w:t>
            </w:r>
          </w:p>
        </w:tc>
        <w:tc>
          <w:tcPr>
            <w:tcW w:w="5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Network</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17,735,000</w:t>
            </w:r>
          </w:p>
        </w:tc>
        <w:tc>
          <w:tcPr>
            <w:tcW w:w="540" w:type="dxa"/>
            <w:vAlign w:val="bottom"/>
            <w:shd w:val="clear" w:color="auto" w:fill="CCEEFF"/>
          </w:tcPr>
          <w:p>
            <w:pPr>
              <w:spacing w:after="0"/>
              <w:rPr>
                <w:sz w:val="18"/>
                <w:szCs w:val="18"/>
                <w:color w:val="auto"/>
              </w:rPr>
            </w:pPr>
          </w:p>
        </w:tc>
      </w:tr>
      <w:tr>
        <w:trPr>
          <w:trHeight w:val="223"/>
        </w:trPr>
        <w:tc>
          <w:tcPr>
            <w:tcW w:w="1820" w:type="dxa"/>
            <w:vAlign w:val="bottom"/>
          </w:tcPr>
          <w:p>
            <w:pPr>
              <w:ind w:left="10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357,650,000</w:t>
            </w:r>
          </w:p>
        </w:tc>
        <w:tc>
          <w:tcPr>
            <w:tcW w:w="540" w:type="dxa"/>
            <w:vAlign w:val="bottom"/>
          </w:tcPr>
          <w:p>
            <w:pPr>
              <w:spacing w:after="0"/>
              <w:rPr>
                <w:sz w:val="19"/>
                <w:szCs w:val="19"/>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following table sets forth certain information with respect to each of the Company’s television stations: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3"/>
              </w:rPr>
              <w:t>Station Location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0" w:type="dxa"/>
            <w:vAlign w:val="bottom"/>
          </w:tcPr>
          <w:p>
            <w:pPr>
              <w:jc w:val="center"/>
              <w:ind w:right="81"/>
              <w:spacing w:after="0"/>
              <w:rPr>
                <w:sz w:val="20"/>
                <w:szCs w:val="20"/>
                <w:color w:val="auto"/>
              </w:rPr>
            </w:pPr>
            <w:r>
              <w:rPr>
                <w:rFonts w:ascii="Arial" w:cs="Arial" w:eastAsia="Arial" w:hAnsi="Arial"/>
                <w:sz w:val="14"/>
                <w:szCs w:val="14"/>
                <w:color w:val="auto"/>
                <w:w w:val="96"/>
              </w:rPr>
              <w:t>Expiration</w:t>
            </w:r>
          </w:p>
        </w:tc>
        <w:tc>
          <w:tcPr>
            <w:tcW w:w="2640" w:type="dxa"/>
            <w:vAlign w:val="bottom"/>
            <w:gridSpan w:val="2"/>
          </w:tcPr>
          <w:p>
            <w:pPr>
              <w:jc w:val="right"/>
              <w:ind w:right="720"/>
              <w:spacing w:after="0"/>
              <w:rPr>
                <w:sz w:val="20"/>
                <w:szCs w:val="20"/>
                <w:color w:val="auto"/>
              </w:rPr>
            </w:pPr>
            <w:r>
              <w:rPr>
                <w:rFonts w:ascii="Arial" w:cs="Arial" w:eastAsia="Arial" w:hAnsi="Arial"/>
                <w:sz w:val="14"/>
                <w:szCs w:val="14"/>
                <w:color w:val="auto"/>
              </w:rPr>
              <w:t>Total Commercial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color w:val="auto"/>
                <w:w w:val="94"/>
              </w:rPr>
              <w:t>Year Commercial</w:t>
            </w:r>
          </w:p>
        </w:tc>
        <w:tc>
          <w:tcPr>
            <w:tcW w:w="240" w:type="dxa"/>
            <w:vAlign w:val="bottom"/>
          </w:tcPr>
          <w:p>
            <w:pPr>
              <w:spacing w:after="0"/>
              <w:rPr>
                <w:sz w:val="13"/>
                <w:szCs w:val="13"/>
                <w:color w:val="auto"/>
              </w:rPr>
            </w:pPr>
          </w:p>
        </w:tc>
        <w:tc>
          <w:tcPr>
            <w:tcW w:w="128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97"/>
              </w:rPr>
              <w:t>National</w:t>
            </w:r>
          </w:p>
        </w:tc>
        <w:tc>
          <w:tcPr>
            <w:tcW w:w="1460" w:type="dxa"/>
            <w:vAlign w:val="bottom"/>
          </w:tcPr>
          <w:p>
            <w:pPr>
              <w:spacing w:after="0"/>
              <w:rPr>
                <w:sz w:val="13"/>
                <w:szCs w:val="13"/>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Expiration</w:t>
            </w:r>
          </w:p>
        </w:tc>
        <w:tc>
          <w:tcPr>
            <w:tcW w:w="180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Date of</w:t>
            </w:r>
          </w:p>
        </w:tc>
        <w:tc>
          <w:tcPr>
            <w:tcW w:w="2640" w:type="dxa"/>
            <w:vAlign w:val="bottom"/>
            <w:tcBorders>
              <w:bottom w:val="single" w:sz="8" w:color="auto"/>
            </w:tcBorders>
            <w:gridSpan w:val="2"/>
          </w:tcPr>
          <w:p>
            <w:pPr>
              <w:jc w:val="right"/>
              <w:ind w:right="660"/>
              <w:spacing w:after="0" w:line="149" w:lineRule="exact"/>
              <w:rPr>
                <w:sz w:val="20"/>
                <w:szCs w:val="20"/>
                <w:color w:val="auto"/>
              </w:rPr>
            </w:pPr>
            <w:r>
              <w:rPr>
                <w:rFonts w:ascii="Arial" w:cs="Arial" w:eastAsia="Arial" w:hAnsi="Arial"/>
                <w:sz w:val="14"/>
                <w:szCs w:val="14"/>
                <w:color w:val="auto"/>
              </w:rPr>
              <w:t>Stations in DMA(b)</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jc w:val="center"/>
              <w:spacing w:after="0" w:line="130" w:lineRule="exact"/>
              <w:rPr>
                <w:sz w:val="20"/>
                <w:szCs w:val="20"/>
                <w:color w:val="auto"/>
              </w:rPr>
            </w:pPr>
            <w:r>
              <w:rPr>
                <w:rFonts w:ascii="Arial" w:cs="Arial" w:eastAsia="Arial" w:hAnsi="Arial"/>
                <w:sz w:val="14"/>
                <w:szCs w:val="14"/>
                <w:color w:val="auto"/>
                <w:w w:val="94"/>
              </w:rPr>
              <w:t>Operation</w:t>
            </w:r>
          </w:p>
        </w:tc>
        <w:tc>
          <w:tcPr>
            <w:tcW w:w="240" w:type="dxa"/>
            <w:vAlign w:val="bottom"/>
          </w:tcPr>
          <w:p>
            <w:pPr>
              <w:spacing w:after="0"/>
              <w:rPr>
                <w:sz w:val="11"/>
                <w:szCs w:val="11"/>
                <w:color w:val="auto"/>
              </w:rPr>
            </w:pPr>
          </w:p>
        </w:tc>
        <w:tc>
          <w:tcPr>
            <w:tcW w:w="1280" w:type="dxa"/>
            <w:vAlign w:val="bottom"/>
          </w:tcPr>
          <w:p>
            <w:pPr>
              <w:jc w:val="center"/>
              <w:ind w:right="62"/>
              <w:spacing w:after="0" w:line="130" w:lineRule="exact"/>
              <w:rPr>
                <w:sz w:val="20"/>
                <w:szCs w:val="20"/>
                <w:color w:val="auto"/>
              </w:rPr>
            </w:pPr>
            <w:r>
              <w:rPr>
                <w:rFonts w:ascii="Arial" w:cs="Arial" w:eastAsia="Arial" w:hAnsi="Arial"/>
                <w:sz w:val="14"/>
                <w:szCs w:val="14"/>
                <w:color w:val="auto"/>
                <w:w w:val="98"/>
              </w:rPr>
              <w:t>Market</w:t>
            </w:r>
          </w:p>
        </w:tc>
        <w:tc>
          <w:tcPr>
            <w:tcW w:w="1460" w:type="dxa"/>
            <w:vAlign w:val="bottom"/>
          </w:tcPr>
          <w:p>
            <w:pPr>
              <w:jc w:val="right"/>
              <w:ind w:right="421"/>
              <w:spacing w:after="0" w:line="130" w:lineRule="exact"/>
              <w:rPr>
                <w:sz w:val="20"/>
                <w:szCs w:val="20"/>
                <w:color w:val="auto"/>
              </w:rPr>
            </w:pPr>
            <w:r>
              <w:rPr>
                <w:rFonts w:ascii="Arial" w:cs="Arial" w:eastAsia="Arial" w:hAnsi="Arial"/>
                <w:sz w:val="14"/>
                <w:szCs w:val="14"/>
                <w:color w:val="auto"/>
              </w:rPr>
              <w:t>Network</w:t>
            </w:r>
          </w:p>
        </w:tc>
        <w:tc>
          <w:tcPr>
            <w:tcW w:w="1700" w:type="dxa"/>
            <w:vAlign w:val="bottom"/>
          </w:tcPr>
          <w:p>
            <w:pPr>
              <w:jc w:val="center"/>
              <w:spacing w:after="0" w:line="130" w:lineRule="exact"/>
              <w:rPr>
                <w:sz w:val="20"/>
                <w:szCs w:val="20"/>
                <w:color w:val="auto"/>
              </w:rPr>
            </w:pPr>
            <w:r>
              <w:rPr>
                <w:rFonts w:ascii="Arial" w:cs="Arial" w:eastAsia="Arial" w:hAnsi="Arial"/>
                <w:sz w:val="14"/>
                <w:szCs w:val="14"/>
                <w:color w:val="auto"/>
                <w:w w:val="92"/>
              </w:rPr>
              <w:t>Date of FCC</w:t>
            </w:r>
          </w:p>
        </w:tc>
        <w:tc>
          <w:tcPr>
            <w:tcW w:w="1800" w:type="dxa"/>
            <w:vAlign w:val="bottom"/>
          </w:tcPr>
          <w:p>
            <w:pPr>
              <w:jc w:val="center"/>
              <w:ind w:right="101"/>
              <w:spacing w:after="0" w:line="130" w:lineRule="exact"/>
              <w:rPr>
                <w:sz w:val="20"/>
                <w:szCs w:val="20"/>
                <w:color w:val="auto"/>
              </w:rPr>
            </w:pPr>
            <w:r>
              <w:rPr>
                <w:rFonts w:ascii="Arial" w:cs="Arial" w:eastAsia="Arial" w:hAnsi="Arial"/>
                <w:sz w:val="14"/>
                <w:szCs w:val="14"/>
                <w:color w:val="auto"/>
                <w:w w:val="97"/>
              </w:rPr>
              <w:t>Network</w:t>
            </w:r>
          </w:p>
        </w:tc>
        <w:tc>
          <w:tcPr>
            <w:tcW w:w="1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Commenced</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w w:val="96"/>
              </w:rPr>
              <w:t>Ranking(a)</w:t>
            </w:r>
          </w:p>
        </w:tc>
        <w:tc>
          <w:tcPr>
            <w:tcW w:w="14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Affiliation</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License</w:t>
            </w:r>
          </w:p>
        </w:tc>
        <w:tc>
          <w:tcPr>
            <w:tcW w:w="18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Agreement</w:t>
            </w:r>
          </w:p>
        </w:tc>
        <w:tc>
          <w:tcPr>
            <w:tcW w:w="13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Allocated</w:t>
            </w: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WDIV</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jc w:val="right"/>
              <w:ind w:right="482"/>
              <w:spacing w:after="0"/>
              <w:rPr>
                <w:sz w:val="20"/>
                <w:szCs w:val="20"/>
                <w:color w:val="auto"/>
              </w:rPr>
            </w:pPr>
            <w:r>
              <w:rPr>
                <w:rFonts w:ascii="Arial" w:cs="Arial" w:eastAsia="Arial" w:hAnsi="Arial"/>
                <w:sz w:val="16"/>
                <w:szCs w:val="16"/>
                <w:color w:val="auto"/>
              </w:rPr>
              <w:t>10th</w:t>
            </w:r>
          </w:p>
        </w:tc>
        <w:tc>
          <w:tcPr>
            <w:tcW w:w="1460" w:type="dxa"/>
            <w:vAlign w:val="bottom"/>
            <w:shd w:val="clear" w:color="auto" w:fill="EEEEEE"/>
          </w:tcPr>
          <w:p>
            <w:pPr>
              <w:jc w:val="right"/>
              <w:ind w:right="461"/>
              <w:spacing w:after="0"/>
              <w:rPr>
                <w:sz w:val="20"/>
                <w:szCs w:val="20"/>
                <w:color w:val="auto"/>
              </w:rPr>
            </w:pPr>
            <w:r>
              <w:rPr>
                <w:rFonts w:ascii="Arial" w:cs="Arial" w:eastAsia="Arial" w:hAnsi="Arial"/>
                <w:sz w:val="16"/>
                <w:szCs w:val="16"/>
                <w:color w:val="auto"/>
              </w:rPr>
              <w:t>NBC</w:t>
            </w:r>
          </w:p>
        </w:tc>
        <w:tc>
          <w:tcPr>
            <w:tcW w:w="1700" w:type="dxa"/>
            <w:vAlign w:val="bottom"/>
            <w:shd w:val="clear" w:color="auto" w:fill="EEEEEE"/>
          </w:tcPr>
          <w:p>
            <w:pPr>
              <w:ind w:left="660"/>
              <w:spacing w:after="0"/>
              <w:rPr>
                <w:sz w:val="20"/>
                <w:szCs w:val="20"/>
                <w:color w:val="auto"/>
              </w:rPr>
            </w:pPr>
            <w:r>
              <w:rPr>
                <w:rFonts w:ascii="Arial" w:cs="Arial" w:eastAsia="Arial" w:hAnsi="Arial"/>
                <w:sz w:val="16"/>
                <w:szCs w:val="16"/>
                <w:color w:val="auto"/>
              </w:rPr>
              <w:t>Oct. 1,</w:t>
            </w:r>
          </w:p>
        </w:tc>
        <w:tc>
          <w:tcPr>
            <w:tcW w:w="1800" w:type="dxa"/>
            <w:vAlign w:val="bottom"/>
            <w:shd w:val="clear" w:color="auto" w:fill="EEEEEE"/>
          </w:tcPr>
          <w:p>
            <w:pPr>
              <w:jc w:val="right"/>
              <w:ind w:right="581"/>
              <w:spacing w:after="0"/>
              <w:rPr>
                <w:sz w:val="20"/>
                <w:szCs w:val="20"/>
                <w:color w:val="auto"/>
              </w:rPr>
            </w:pPr>
            <w:r>
              <w:rPr>
                <w:rFonts w:ascii="Arial" w:cs="Arial" w:eastAsia="Arial" w:hAnsi="Arial"/>
                <w:sz w:val="16"/>
                <w:szCs w:val="16"/>
                <w:color w:val="auto"/>
              </w:rPr>
              <w:t>Dec. 31,</w:t>
            </w:r>
          </w:p>
        </w:tc>
        <w:tc>
          <w:tcPr>
            <w:tcW w:w="130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VHF-4</w:t>
            </w:r>
          </w:p>
        </w:tc>
        <w:tc>
          <w:tcPr>
            <w:tcW w:w="1340" w:type="dxa"/>
            <w:vAlign w:val="bottom"/>
            <w:shd w:val="clear" w:color="auto" w:fill="EEEEEE"/>
          </w:tcPr>
          <w:p>
            <w:pPr>
              <w:jc w:val="right"/>
              <w:ind w:right="240"/>
              <w:spacing w:after="0"/>
              <w:rPr>
                <w:sz w:val="20"/>
                <w:szCs w:val="20"/>
                <w:color w:val="auto"/>
              </w:rPr>
            </w:pPr>
            <w:r>
              <w:rPr>
                <w:rFonts w:ascii="Arial" w:cs="Arial" w:eastAsia="Arial" w:hAnsi="Arial"/>
                <w:sz w:val="16"/>
                <w:szCs w:val="16"/>
                <w:color w:val="auto"/>
              </w:rPr>
              <w:t>VHF-4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Detroit, Mich.</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jc w:val="right"/>
              <w:ind w:right="501"/>
              <w:spacing w:after="0"/>
              <w:rPr>
                <w:sz w:val="20"/>
                <w:szCs w:val="20"/>
                <w:color w:val="auto"/>
              </w:rPr>
            </w:pPr>
            <w:r>
              <w:rPr>
                <w:rFonts w:ascii="Arial" w:cs="Arial" w:eastAsia="Arial" w:hAnsi="Arial"/>
                <w:sz w:val="16"/>
                <w:szCs w:val="16"/>
                <w:color w:val="auto"/>
              </w:rPr>
              <w:t>2005</w:t>
            </w:r>
          </w:p>
        </w:tc>
        <w:tc>
          <w:tcPr>
            <w:tcW w:w="1800" w:type="dxa"/>
            <w:vAlign w:val="bottom"/>
            <w:shd w:val="clear" w:color="auto" w:fill="EEEEEE"/>
          </w:tcPr>
          <w:p>
            <w:pPr>
              <w:jc w:val="right"/>
              <w:ind w:right="581"/>
              <w:spacing w:after="0"/>
              <w:rPr>
                <w:sz w:val="20"/>
                <w:szCs w:val="20"/>
                <w:color w:val="auto"/>
              </w:rPr>
            </w:pPr>
            <w:r>
              <w:rPr>
                <w:rFonts w:ascii="Arial" w:cs="Arial" w:eastAsia="Arial" w:hAnsi="Arial"/>
                <w:sz w:val="16"/>
                <w:szCs w:val="16"/>
                <w:color w:val="auto"/>
              </w:rPr>
              <w:t>2011</w:t>
            </w:r>
          </w:p>
        </w:tc>
        <w:tc>
          <w:tcPr>
            <w:tcW w:w="130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UHF-6</w:t>
            </w:r>
          </w:p>
        </w:tc>
        <w:tc>
          <w:tcPr>
            <w:tcW w:w="1340" w:type="dxa"/>
            <w:vAlign w:val="bottom"/>
            <w:shd w:val="clear" w:color="auto" w:fill="EEEEEE"/>
          </w:tcPr>
          <w:p>
            <w:pPr>
              <w:jc w:val="right"/>
              <w:ind w:right="240"/>
              <w:spacing w:after="0"/>
              <w:rPr>
                <w:sz w:val="20"/>
                <w:szCs w:val="20"/>
                <w:color w:val="auto"/>
              </w:rPr>
            </w:pPr>
            <w:r>
              <w:rPr>
                <w:rFonts w:ascii="Arial" w:cs="Arial" w:eastAsia="Arial" w:hAnsi="Arial"/>
                <w:sz w:val="16"/>
                <w:szCs w:val="16"/>
                <w:color w:val="auto"/>
              </w:rPr>
              <w:t>UHF-5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1947</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KPRC</w:t>
            </w:r>
          </w:p>
        </w:tc>
        <w:tc>
          <w:tcPr>
            <w:tcW w:w="240" w:type="dxa"/>
            <w:vAlign w:val="bottom"/>
          </w:tcPr>
          <w:p>
            <w:pPr>
              <w:spacing w:after="0"/>
              <w:rPr>
                <w:sz w:val="16"/>
                <w:szCs w:val="16"/>
                <w:color w:val="auto"/>
              </w:rPr>
            </w:pPr>
          </w:p>
        </w:tc>
        <w:tc>
          <w:tcPr>
            <w:tcW w:w="1280" w:type="dxa"/>
            <w:vAlign w:val="bottom"/>
          </w:tcPr>
          <w:p>
            <w:pPr>
              <w:jc w:val="right"/>
              <w:ind w:right="482"/>
              <w:spacing w:after="0"/>
              <w:rPr>
                <w:sz w:val="20"/>
                <w:szCs w:val="20"/>
                <w:color w:val="auto"/>
              </w:rPr>
            </w:pPr>
            <w:r>
              <w:rPr>
                <w:rFonts w:ascii="Arial" w:cs="Arial" w:eastAsia="Arial" w:hAnsi="Arial"/>
                <w:sz w:val="16"/>
                <w:szCs w:val="16"/>
                <w:color w:val="auto"/>
              </w:rPr>
              <w:t>11th</w:t>
            </w:r>
          </w:p>
        </w:tc>
        <w:tc>
          <w:tcPr>
            <w:tcW w:w="1460" w:type="dxa"/>
            <w:vAlign w:val="bottom"/>
          </w:tcPr>
          <w:p>
            <w:pPr>
              <w:jc w:val="right"/>
              <w:ind w:right="461"/>
              <w:spacing w:after="0"/>
              <w:rPr>
                <w:sz w:val="20"/>
                <w:szCs w:val="20"/>
                <w:color w:val="auto"/>
              </w:rPr>
            </w:pPr>
            <w:r>
              <w:rPr>
                <w:rFonts w:ascii="Arial" w:cs="Arial" w:eastAsia="Arial" w:hAnsi="Arial"/>
                <w:sz w:val="16"/>
                <w:szCs w:val="16"/>
                <w:color w:val="auto"/>
              </w:rPr>
              <w:t>NBC</w:t>
            </w:r>
          </w:p>
        </w:tc>
        <w:tc>
          <w:tcPr>
            <w:tcW w:w="1700" w:type="dxa"/>
            <w:vAlign w:val="bottom"/>
          </w:tcPr>
          <w:p>
            <w:pPr>
              <w:ind w:left="640"/>
              <w:spacing w:after="0"/>
              <w:rPr>
                <w:sz w:val="20"/>
                <w:szCs w:val="20"/>
                <w:color w:val="auto"/>
              </w:rPr>
            </w:pPr>
            <w:r>
              <w:rPr>
                <w:rFonts w:ascii="Arial" w:cs="Arial" w:eastAsia="Arial" w:hAnsi="Arial"/>
                <w:sz w:val="16"/>
                <w:szCs w:val="16"/>
                <w:color w:val="auto"/>
              </w:rPr>
              <w:t>Aug. 1,</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Dec. 31,</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VHF-3</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VHF-3</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6"/>
                <w:szCs w:val="16"/>
                <w:color w:val="auto"/>
              </w:rPr>
              <w:t>Houston, Tx.</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jc w:val="right"/>
              <w:ind w:right="501"/>
              <w:spacing w:after="0"/>
              <w:rPr>
                <w:sz w:val="20"/>
                <w:szCs w:val="20"/>
                <w:color w:val="auto"/>
              </w:rPr>
            </w:pPr>
            <w:r>
              <w:rPr>
                <w:rFonts w:ascii="Arial" w:cs="Arial" w:eastAsia="Arial" w:hAnsi="Arial"/>
                <w:sz w:val="16"/>
                <w:szCs w:val="16"/>
                <w:color w:val="auto"/>
              </w:rPr>
              <w:t>2006</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2011</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UHF-11</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UHF-11</w:t>
            </w: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6"/>
                <w:szCs w:val="16"/>
                <w:color w:val="auto"/>
              </w:rPr>
              <w:t>1949</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WPLG</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jc w:val="right"/>
              <w:ind w:right="482"/>
              <w:spacing w:after="0"/>
              <w:rPr>
                <w:sz w:val="20"/>
                <w:szCs w:val="20"/>
                <w:color w:val="auto"/>
              </w:rPr>
            </w:pPr>
            <w:r>
              <w:rPr>
                <w:rFonts w:ascii="Arial" w:cs="Arial" w:eastAsia="Arial" w:hAnsi="Arial"/>
                <w:sz w:val="16"/>
                <w:szCs w:val="16"/>
                <w:color w:val="auto"/>
              </w:rPr>
              <w:t>17th</w:t>
            </w:r>
          </w:p>
        </w:tc>
        <w:tc>
          <w:tcPr>
            <w:tcW w:w="1460" w:type="dxa"/>
            <w:vAlign w:val="bottom"/>
            <w:shd w:val="clear" w:color="auto" w:fill="EEEEEE"/>
          </w:tcPr>
          <w:p>
            <w:pPr>
              <w:jc w:val="right"/>
              <w:ind w:right="461"/>
              <w:spacing w:after="0"/>
              <w:rPr>
                <w:sz w:val="20"/>
                <w:szCs w:val="20"/>
                <w:color w:val="auto"/>
              </w:rPr>
            </w:pPr>
            <w:r>
              <w:rPr>
                <w:rFonts w:ascii="Arial" w:cs="Arial" w:eastAsia="Arial" w:hAnsi="Arial"/>
                <w:sz w:val="16"/>
                <w:szCs w:val="16"/>
                <w:color w:val="auto"/>
              </w:rPr>
              <w:t>ABC</w:t>
            </w:r>
          </w:p>
        </w:tc>
        <w:tc>
          <w:tcPr>
            <w:tcW w:w="1700" w:type="dxa"/>
            <w:vAlign w:val="bottom"/>
            <w:shd w:val="clear" w:color="auto" w:fill="EEEEEE"/>
          </w:tcPr>
          <w:p>
            <w:pPr>
              <w:ind w:left="660"/>
              <w:spacing w:after="0"/>
              <w:rPr>
                <w:sz w:val="20"/>
                <w:szCs w:val="20"/>
                <w:color w:val="auto"/>
              </w:rPr>
            </w:pPr>
            <w:r>
              <w:rPr>
                <w:rFonts w:ascii="Arial" w:cs="Arial" w:eastAsia="Arial" w:hAnsi="Arial"/>
                <w:sz w:val="16"/>
                <w:szCs w:val="16"/>
                <w:color w:val="auto"/>
              </w:rPr>
              <w:t>Feb. 1,</w:t>
            </w:r>
          </w:p>
        </w:tc>
        <w:tc>
          <w:tcPr>
            <w:tcW w:w="1800" w:type="dxa"/>
            <w:vAlign w:val="bottom"/>
            <w:shd w:val="clear" w:color="auto" w:fill="EEEEEE"/>
          </w:tcPr>
          <w:p>
            <w:pPr>
              <w:jc w:val="right"/>
              <w:ind w:right="581"/>
              <w:spacing w:after="0"/>
              <w:rPr>
                <w:sz w:val="20"/>
                <w:szCs w:val="20"/>
                <w:color w:val="auto"/>
              </w:rPr>
            </w:pPr>
            <w:r>
              <w:rPr>
                <w:rFonts w:ascii="Arial" w:cs="Arial" w:eastAsia="Arial" w:hAnsi="Arial"/>
                <w:sz w:val="16"/>
                <w:szCs w:val="16"/>
                <w:color w:val="auto"/>
              </w:rPr>
              <w:t>Dec. 31,</w:t>
            </w:r>
          </w:p>
        </w:tc>
        <w:tc>
          <w:tcPr>
            <w:tcW w:w="130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VHF-5</w:t>
            </w:r>
          </w:p>
        </w:tc>
        <w:tc>
          <w:tcPr>
            <w:tcW w:w="1340" w:type="dxa"/>
            <w:vAlign w:val="bottom"/>
            <w:shd w:val="clear" w:color="auto" w:fill="EEEEEE"/>
          </w:tcPr>
          <w:p>
            <w:pPr>
              <w:jc w:val="right"/>
              <w:ind w:right="240"/>
              <w:spacing w:after="0"/>
              <w:rPr>
                <w:sz w:val="20"/>
                <w:szCs w:val="20"/>
                <w:color w:val="auto"/>
              </w:rPr>
            </w:pPr>
            <w:r>
              <w:rPr>
                <w:rFonts w:ascii="Arial" w:cs="Arial" w:eastAsia="Arial" w:hAnsi="Arial"/>
                <w:sz w:val="16"/>
                <w:szCs w:val="16"/>
                <w:color w:val="auto"/>
              </w:rPr>
              <w:t>VHF-5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Miami, Fla.</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jc w:val="right"/>
              <w:ind w:right="501"/>
              <w:spacing w:after="0"/>
              <w:rPr>
                <w:sz w:val="20"/>
                <w:szCs w:val="20"/>
                <w:color w:val="auto"/>
              </w:rPr>
            </w:pPr>
            <w:r>
              <w:rPr>
                <w:rFonts w:ascii="Arial" w:cs="Arial" w:eastAsia="Arial" w:hAnsi="Arial"/>
                <w:sz w:val="16"/>
                <w:szCs w:val="16"/>
                <w:color w:val="auto"/>
              </w:rPr>
              <w:t>2005(c)</w:t>
            </w:r>
          </w:p>
        </w:tc>
        <w:tc>
          <w:tcPr>
            <w:tcW w:w="1800" w:type="dxa"/>
            <w:vAlign w:val="bottom"/>
            <w:shd w:val="clear" w:color="auto" w:fill="EEEEEE"/>
          </w:tcPr>
          <w:p>
            <w:pPr>
              <w:jc w:val="right"/>
              <w:ind w:right="581"/>
              <w:spacing w:after="0"/>
              <w:rPr>
                <w:sz w:val="20"/>
                <w:szCs w:val="20"/>
                <w:color w:val="auto"/>
              </w:rPr>
            </w:pPr>
            <w:r>
              <w:rPr>
                <w:rFonts w:ascii="Arial" w:cs="Arial" w:eastAsia="Arial" w:hAnsi="Arial"/>
                <w:sz w:val="16"/>
                <w:szCs w:val="16"/>
                <w:color w:val="auto"/>
              </w:rPr>
              <w:t>2009</w:t>
            </w:r>
          </w:p>
        </w:tc>
        <w:tc>
          <w:tcPr>
            <w:tcW w:w="130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UHF-8</w:t>
            </w:r>
          </w:p>
        </w:tc>
        <w:tc>
          <w:tcPr>
            <w:tcW w:w="1340" w:type="dxa"/>
            <w:vAlign w:val="bottom"/>
            <w:shd w:val="clear" w:color="auto" w:fill="EEEEEE"/>
          </w:tcPr>
          <w:p>
            <w:pPr>
              <w:jc w:val="right"/>
              <w:ind w:right="240"/>
              <w:spacing w:after="0"/>
              <w:rPr>
                <w:sz w:val="20"/>
                <w:szCs w:val="20"/>
                <w:color w:val="auto"/>
              </w:rPr>
            </w:pPr>
            <w:r>
              <w:rPr>
                <w:rFonts w:ascii="Arial" w:cs="Arial" w:eastAsia="Arial" w:hAnsi="Arial"/>
                <w:sz w:val="16"/>
                <w:szCs w:val="16"/>
                <w:color w:val="auto"/>
              </w:rPr>
              <w:t>UHF-8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1961</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WKMG</w:t>
            </w:r>
          </w:p>
        </w:tc>
        <w:tc>
          <w:tcPr>
            <w:tcW w:w="240" w:type="dxa"/>
            <w:vAlign w:val="bottom"/>
          </w:tcPr>
          <w:p>
            <w:pPr>
              <w:spacing w:after="0"/>
              <w:rPr>
                <w:sz w:val="16"/>
                <w:szCs w:val="16"/>
                <w:color w:val="auto"/>
              </w:rPr>
            </w:pPr>
          </w:p>
        </w:tc>
        <w:tc>
          <w:tcPr>
            <w:tcW w:w="1280" w:type="dxa"/>
            <w:vAlign w:val="bottom"/>
          </w:tcPr>
          <w:p>
            <w:pPr>
              <w:jc w:val="right"/>
              <w:ind w:right="482"/>
              <w:spacing w:after="0"/>
              <w:rPr>
                <w:sz w:val="20"/>
                <w:szCs w:val="20"/>
                <w:color w:val="auto"/>
              </w:rPr>
            </w:pPr>
            <w:r>
              <w:rPr>
                <w:rFonts w:ascii="Arial" w:cs="Arial" w:eastAsia="Arial" w:hAnsi="Arial"/>
                <w:sz w:val="16"/>
                <w:szCs w:val="16"/>
                <w:color w:val="auto"/>
              </w:rPr>
              <w:t>20th</w:t>
            </w:r>
          </w:p>
        </w:tc>
        <w:tc>
          <w:tcPr>
            <w:tcW w:w="1460" w:type="dxa"/>
            <w:vAlign w:val="bottom"/>
          </w:tcPr>
          <w:p>
            <w:pPr>
              <w:jc w:val="right"/>
              <w:ind w:right="461"/>
              <w:spacing w:after="0"/>
              <w:rPr>
                <w:sz w:val="20"/>
                <w:szCs w:val="20"/>
                <w:color w:val="auto"/>
              </w:rPr>
            </w:pPr>
            <w:r>
              <w:rPr>
                <w:rFonts w:ascii="Arial" w:cs="Arial" w:eastAsia="Arial" w:hAnsi="Arial"/>
                <w:sz w:val="16"/>
                <w:szCs w:val="16"/>
                <w:color w:val="auto"/>
              </w:rPr>
              <w:t>CBS</w:t>
            </w:r>
          </w:p>
        </w:tc>
        <w:tc>
          <w:tcPr>
            <w:tcW w:w="1700" w:type="dxa"/>
            <w:vAlign w:val="bottom"/>
          </w:tcPr>
          <w:p>
            <w:pPr>
              <w:ind w:left="660"/>
              <w:spacing w:after="0"/>
              <w:rPr>
                <w:sz w:val="20"/>
                <w:szCs w:val="20"/>
                <w:color w:val="auto"/>
              </w:rPr>
            </w:pPr>
            <w:r>
              <w:rPr>
                <w:rFonts w:ascii="Arial" w:cs="Arial" w:eastAsia="Arial" w:hAnsi="Arial"/>
                <w:sz w:val="16"/>
                <w:szCs w:val="16"/>
                <w:color w:val="auto"/>
              </w:rPr>
              <w:t>Feb. 1,</w:t>
            </w:r>
          </w:p>
        </w:tc>
        <w:tc>
          <w:tcPr>
            <w:tcW w:w="1800" w:type="dxa"/>
            <w:vAlign w:val="bottom"/>
          </w:tcPr>
          <w:p>
            <w:pPr>
              <w:jc w:val="right"/>
              <w:ind w:right="621"/>
              <w:spacing w:after="0"/>
              <w:rPr>
                <w:sz w:val="20"/>
                <w:szCs w:val="20"/>
                <w:color w:val="auto"/>
              </w:rPr>
            </w:pPr>
            <w:r>
              <w:rPr>
                <w:rFonts w:ascii="Arial" w:cs="Arial" w:eastAsia="Arial" w:hAnsi="Arial"/>
                <w:sz w:val="16"/>
                <w:szCs w:val="16"/>
                <w:color w:val="auto"/>
              </w:rPr>
              <w:t>Apr. 6,</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VHF-3</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VHF-3</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6"/>
                <w:szCs w:val="16"/>
                <w:color w:val="auto"/>
              </w:rPr>
              <w:t>Orlando, Fla.</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jc w:val="right"/>
              <w:ind w:right="501"/>
              <w:spacing w:after="0"/>
              <w:rPr>
                <w:sz w:val="20"/>
                <w:szCs w:val="20"/>
                <w:color w:val="auto"/>
              </w:rPr>
            </w:pPr>
            <w:r>
              <w:rPr>
                <w:rFonts w:ascii="Arial" w:cs="Arial" w:eastAsia="Arial" w:hAnsi="Arial"/>
                <w:sz w:val="16"/>
                <w:szCs w:val="16"/>
                <w:color w:val="auto"/>
              </w:rPr>
              <w:t>2013</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2015</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UHF-11</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UHF-10</w:t>
            </w: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6"/>
                <w:szCs w:val="16"/>
                <w:color w:val="auto"/>
              </w:rPr>
              <w:t>1954</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KSAT</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jc w:val="right"/>
              <w:ind w:right="482"/>
              <w:spacing w:after="0"/>
              <w:rPr>
                <w:sz w:val="20"/>
                <w:szCs w:val="20"/>
                <w:color w:val="auto"/>
              </w:rPr>
            </w:pPr>
            <w:r>
              <w:rPr>
                <w:rFonts w:ascii="Arial" w:cs="Arial" w:eastAsia="Arial" w:hAnsi="Arial"/>
                <w:sz w:val="16"/>
                <w:szCs w:val="16"/>
                <w:color w:val="auto"/>
              </w:rPr>
              <w:t>37th</w:t>
            </w:r>
          </w:p>
        </w:tc>
        <w:tc>
          <w:tcPr>
            <w:tcW w:w="1460" w:type="dxa"/>
            <w:vAlign w:val="bottom"/>
            <w:shd w:val="clear" w:color="auto" w:fill="EEEEEE"/>
          </w:tcPr>
          <w:p>
            <w:pPr>
              <w:jc w:val="right"/>
              <w:ind w:right="461"/>
              <w:spacing w:after="0"/>
              <w:rPr>
                <w:sz w:val="20"/>
                <w:szCs w:val="20"/>
                <w:color w:val="auto"/>
              </w:rPr>
            </w:pPr>
            <w:r>
              <w:rPr>
                <w:rFonts w:ascii="Arial" w:cs="Arial" w:eastAsia="Arial" w:hAnsi="Arial"/>
                <w:sz w:val="16"/>
                <w:szCs w:val="16"/>
                <w:color w:val="auto"/>
              </w:rPr>
              <w:t>ABC</w:t>
            </w:r>
          </w:p>
        </w:tc>
        <w:tc>
          <w:tcPr>
            <w:tcW w:w="1700" w:type="dxa"/>
            <w:vAlign w:val="bottom"/>
            <w:shd w:val="clear" w:color="auto" w:fill="EEEEEE"/>
          </w:tcPr>
          <w:p>
            <w:pPr>
              <w:ind w:left="640"/>
              <w:spacing w:after="0"/>
              <w:rPr>
                <w:sz w:val="20"/>
                <w:szCs w:val="20"/>
                <w:color w:val="auto"/>
              </w:rPr>
            </w:pPr>
            <w:r>
              <w:rPr>
                <w:rFonts w:ascii="Arial" w:cs="Arial" w:eastAsia="Arial" w:hAnsi="Arial"/>
                <w:sz w:val="16"/>
                <w:szCs w:val="16"/>
                <w:color w:val="auto"/>
              </w:rPr>
              <w:t>Aug. 1,</w:t>
            </w:r>
          </w:p>
        </w:tc>
        <w:tc>
          <w:tcPr>
            <w:tcW w:w="1800" w:type="dxa"/>
            <w:vAlign w:val="bottom"/>
            <w:shd w:val="clear" w:color="auto" w:fill="EEEEEE"/>
          </w:tcPr>
          <w:p>
            <w:pPr>
              <w:jc w:val="right"/>
              <w:ind w:right="581"/>
              <w:spacing w:after="0"/>
              <w:rPr>
                <w:sz w:val="20"/>
                <w:szCs w:val="20"/>
                <w:color w:val="auto"/>
              </w:rPr>
            </w:pPr>
            <w:r>
              <w:rPr>
                <w:rFonts w:ascii="Arial" w:cs="Arial" w:eastAsia="Arial" w:hAnsi="Arial"/>
                <w:sz w:val="16"/>
                <w:szCs w:val="16"/>
                <w:color w:val="auto"/>
              </w:rPr>
              <w:t>Dec. 31,</w:t>
            </w:r>
          </w:p>
        </w:tc>
        <w:tc>
          <w:tcPr>
            <w:tcW w:w="130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VHF-4</w:t>
            </w:r>
          </w:p>
        </w:tc>
        <w:tc>
          <w:tcPr>
            <w:tcW w:w="1340" w:type="dxa"/>
            <w:vAlign w:val="bottom"/>
            <w:shd w:val="clear" w:color="auto" w:fill="EEEEEE"/>
          </w:tcPr>
          <w:p>
            <w:pPr>
              <w:jc w:val="right"/>
              <w:ind w:right="240"/>
              <w:spacing w:after="0"/>
              <w:rPr>
                <w:sz w:val="20"/>
                <w:szCs w:val="20"/>
                <w:color w:val="auto"/>
              </w:rPr>
            </w:pPr>
            <w:r>
              <w:rPr>
                <w:rFonts w:ascii="Arial" w:cs="Arial" w:eastAsia="Arial" w:hAnsi="Arial"/>
                <w:sz w:val="16"/>
                <w:szCs w:val="16"/>
                <w:color w:val="auto"/>
              </w:rPr>
              <w:t>VHF-4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San Antonio, Tx.</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jc w:val="right"/>
              <w:ind w:right="501"/>
              <w:spacing w:after="0"/>
              <w:rPr>
                <w:sz w:val="20"/>
                <w:szCs w:val="20"/>
                <w:color w:val="auto"/>
              </w:rPr>
            </w:pPr>
            <w:r>
              <w:rPr>
                <w:rFonts w:ascii="Arial" w:cs="Arial" w:eastAsia="Arial" w:hAnsi="Arial"/>
                <w:sz w:val="16"/>
                <w:szCs w:val="16"/>
                <w:color w:val="auto"/>
              </w:rPr>
              <w:t>2006</w:t>
            </w:r>
          </w:p>
        </w:tc>
        <w:tc>
          <w:tcPr>
            <w:tcW w:w="1800" w:type="dxa"/>
            <w:vAlign w:val="bottom"/>
            <w:shd w:val="clear" w:color="auto" w:fill="EEEEEE"/>
          </w:tcPr>
          <w:p>
            <w:pPr>
              <w:jc w:val="right"/>
              <w:ind w:right="581"/>
              <w:spacing w:after="0"/>
              <w:rPr>
                <w:sz w:val="20"/>
                <w:szCs w:val="20"/>
                <w:color w:val="auto"/>
              </w:rPr>
            </w:pPr>
            <w:r>
              <w:rPr>
                <w:rFonts w:ascii="Arial" w:cs="Arial" w:eastAsia="Arial" w:hAnsi="Arial"/>
                <w:sz w:val="16"/>
                <w:szCs w:val="16"/>
                <w:color w:val="auto"/>
              </w:rPr>
              <w:t>2009</w:t>
            </w:r>
          </w:p>
        </w:tc>
        <w:tc>
          <w:tcPr>
            <w:tcW w:w="130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UHF-6</w:t>
            </w:r>
          </w:p>
        </w:tc>
        <w:tc>
          <w:tcPr>
            <w:tcW w:w="1340" w:type="dxa"/>
            <w:vAlign w:val="bottom"/>
            <w:shd w:val="clear" w:color="auto" w:fill="EEEEEE"/>
          </w:tcPr>
          <w:p>
            <w:pPr>
              <w:jc w:val="right"/>
              <w:ind w:right="240"/>
              <w:spacing w:after="0"/>
              <w:rPr>
                <w:sz w:val="20"/>
                <w:szCs w:val="20"/>
                <w:color w:val="auto"/>
              </w:rPr>
            </w:pPr>
            <w:r>
              <w:rPr>
                <w:rFonts w:ascii="Arial" w:cs="Arial" w:eastAsia="Arial" w:hAnsi="Arial"/>
                <w:sz w:val="16"/>
                <w:szCs w:val="16"/>
                <w:color w:val="auto"/>
              </w:rPr>
              <w:t>UHF-6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1957</w:t>
            </w: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WJXT</w:t>
            </w:r>
          </w:p>
        </w:tc>
        <w:tc>
          <w:tcPr>
            <w:tcW w:w="240" w:type="dxa"/>
            <w:vAlign w:val="bottom"/>
          </w:tcPr>
          <w:p>
            <w:pPr>
              <w:spacing w:after="0"/>
              <w:rPr>
                <w:sz w:val="16"/>
                <w:szCs w:val="16"/>
                <w:color w:val="auto"/>
              </w:rPr>
            </w:pPr>
          </w:p>
        </w:tc>
        <w:tc>
          <w:tcPr>
            <w:tcW w:w="1280" w:type="dxa"/>
            <w:vAlign w:val="bottom"/>
          </w:tcPr>
          <w:p>
            <w:pPr>
              <w:jc w:val="right"/>
              <w:ind w:right="482"/>
              <w:spacing w:after="0"/>
              <w:rPr>
                <w:sz w:val="20"/>
                <w:szCs w:val="20"/>
                <w:color w:val="auto"/>
              </w:rPr>
            </w:pPr>
            <w:r>
              <w:rPr>
                <w:rFonts w:ascii="Arial" w:cs="Arial" w:eastAsia="Arial" w:hAnsi="Arial"/>
                <w:sz w:val="16"/>
                <w:szCs w:val="16"/>
                <w:color w:val="auto"/>
              </w:rPr>
              <w:t>52nd</w:t>
            </w:r>
          </w:p>
        </w:tc>
        <w:tc>
          <w:tcPr>
            <w:tcW w:w="1460" w:type="dxa"/>
            <w:vAlign w:val="bottom"/>
          </w:tcPr>
          <w:p>
            <w:pPr>
              <w:jc w:val="right"/>
              <w:ind w:right="461"/>
              <w:spacing w:after="0"/>
              <w:rPr>
                <w:sz w:val="20"/>
                <w:szCs w:val="20"/>
                <w:color w:val="auto"/>
              </w:rPr>
            </w:pPr>
            <w:r>
              <w:rPr>
                <w:rFonts w:ascii="Arial" w:cs="Arial" w:eastAsia="Arial" w:hAnsi="Arial"/>
                <w:sz w:val="16"/>
                <w:szCs w:val="16"/>
                <w:color w:val="auto"/>
              </w:rPr>
              <w:t>None</w:t>
            </w:r>
          </w:p>
        </w:tc>
        <w:tc>
          <w:tcPr>
            <w:tcW w:w="1700" w:type="dxa"/>
            <w:vAlign w:val="bottom"/>
          </w:tcPr>
          <w:p>
            <w:pPr>
              <w:ind w:left="660"/>
              <w:spacing w:after="0"/>
              <w:rPr>
                <w:sz w:val="20"/>
                <w:szCs w:val="20"/>
                <w:color w:val="auto"/>
              </w:rPr>
            </w:pPr>
            <w:r>
              <w:rPr>
                <w:rFonts w:ascii="Arial" w:cs="Arial" w:eastAsia="Arial" w:hAnsi="Arial"/>
                <w:sz w:val="16"/>
                <w:szCs w:val="16"/>
                <w:color w:val="auto"/>
              </w:rPr>
              <w:t>Feb. 1,</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VHF-2</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VHF-2</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6"/>
                <w:szCs w:val="16"/>
                <w:color w:val="auto"/>
              </w:rPr>
              <w:t>Jacksonville, Fla.</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jc w:val="right"/>
              <w:ind w:right="501"/>
              <w:spacing w:after="0"/>
              <w:rPr>
                <w:sz w:val="20"/>
                <w:szCs w:val="20"/>
                <w:color w:val="auto"/>
              </w:rPr>
            </w:pPr>
            <w:r>
              <w:rPr>
                <w:rFonts w:ascii="Arial" w:cs="Arial" w:eastAsia="Arial" w:hAnsi="Arial"/>
                <w:sz w:val="16"/>
                <w:szCs w:val="16"/>
                <w:color w:val="auto"/>
              </w:rPr>
              <w:t>2013</w:t>
            </w:r>
          </w:p>
        </w:tc>
        <w:tc>
          <w:tcPr>
            <w:tcW w:w="1800" w:type="dxa"/>
            <w:vAlign w:val="bottom"/>
          </w:tcPr>
          <w:p>
            <w:pPr>
              <w:spacing w:after="0"/>
              <w:rPr>
                <w:sz w:val="17"/>
                <w:szCs w:val="17"/>
                <w:color w:val="auto"/>
              </w:rPr>
            </w:pP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UHF-6</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UHF-5</w:t>
            </w: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6"/>
                <w:szCs w:val="16"/>
                <w:color w:val="auto"/>
              </w:rPr>
              <w:t>1947</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70"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Source: 2004/2005 DMA Market Rankings, Nielsen Media Research, Fall 2004, based on television homes in DMA (see note (b) below).</w:t>
      </w:r>
    </w:p>
    <w:p>
      <w:pPr>
        <w:spacing w:after="0" w:line="55" w:lineRule="exact"/>
        <w:rPr>
          <w:rFonts w:ascii="Arial" w:cs="Arial" w:eastAsia="Arial" w:hAnsi="Arial"/>
          <w:sz w:val="14"/>
          <w:szCs w:val="14"/>
          <w:color w:val="auto"/>
        </w:rPr>
      </w:pPr>
    </w:p>
    <w:p>
      <w:pPr>
        <w:ind w:left="240" w:hanging="232"/>
        <w:spacing w:after="0" w:line="238" w:lineRule="auto"/>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Designated Market Area (“DMA”) is a market designation of A.C. Nielsen which defines each television market exclusive of another, based on measured viewing patterns. References to stations that are operating in each market are to stations that are broadcasting analog signals. However most of the stations in these markets are also engaged in digital broadcasting using the FCC-assigned channels for DTV operations.</w:t>
      </w:r>
    </w:p>
    <w:p>
      <w:pPr>
        <w:spacing w:after="0" w:line="34" w:lineRule="exact"/>
        <w:rPr>
          <w:rFonts w:ascii="Arial" w:cs="Arial" w:eastAsia="Arial" w:hAnsi="Arial"/>
          <w:sz w:val="14"/>
          <w:szCs w:val="14"/>
          <w:color w:val="auto"/>
        </w:rPr>
      </w:pPr>
    </w:p>
    <w:p>
      <w:pPr>
        <w:ind w:left="240" w:right="240" w:hanging="232"/>
        <w:spacing w:after="0" w:line="253" w:lineRule="auto"/>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Company has filed a timely application to renew the FCC license of WPLG and such filing extends the effectiveness of the station’s existing license until the renewal application is acted upon.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various regulations and policies that directly or indirectly affect the ownership, operations and profitability of broadcasting stations.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television stations holds an FCC license which is renewable upon application for an eight-year period.</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1996 the FCC formally approved technical standards for digital television (“DTV”). DTV is a flexible system that permits broadcasters to utilize a single digital channel in various ways, including providing one channel of high-definition television (“HDTV”) programming with greatly enhanced image and sound quality or several channels of lower-definition television programming (“multicasting”), and also is capable of accommodating subscription video and data services. Available compression technology also allows broadcasters to transmit simultaneously one channel of HDTV programming and at least one channel of lower-definition programming. Broadcasters may offer a combination of services as long as they transmit at least one stream of free video programming on the DTV channel. The FCC assigned to each existing full-power television station (including each station owned by the Company) a second channel to implement DTV while present television operations are continued on that station’s analog channel. Although in some cases a station’s DTV channel may only permit operation over a smaller geographic service area than that available using its analog channel, the FCC’s stated goal in assigning channels was to provide stations with DTV service areas that are generally consistent with their analog service areas. Under FCC rules and the Balanced Budget Act of 1997, if specified DTV household penetration levels are met, station owners will be required to surrender one channel in 2006 and thereafter provide service solely in the DTV format.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60"/>
        <w:spacing w:after="0" w:line="308" w:lineRule="auto"/>
        <w:rPr>
          <w:sz w:val="20"/>
          <w:szCs w:val="20"/>
          <w:color w:val="auto"/>
        </w:rPr>
      </w:pPr>
      <w:r>
        <w:rPr>
          <w:rFonts w:ascii="Arial" w:cs="Arial" w:eastAsia="Arial" w:hAnsi="Arial"/>
          <w:sz w:val="17"/>
          <w:szCs w:val="17"/>
          <w:color w:val="auto"/>
        </w:rPr>
        <w:t>The Company’s Detroit, Houston and Miami stations each commenced DTV broadcast operations in 1999, while the Company’s Orlando station commenced such operations in 2001. The Company’s two other stations (San Antonio and Jacksonville) began DTV broadcast operations in 2002.</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1998 the FCC issued a decision implementing the requirement of the Telecommunications Act of 1996 that it charge broadcasters a fee for offering certain “ancillary and supplementary” services on the DTV channel. These services include data, video or other services that are offered on a subscription basis or for which broadcasters receive compensation other than from advertising revenue. In its decision, the FCC imposed a fee of 5% of the gross revenues generated by such services.</w:t>
      </w:r>
    </w:p>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September 2004 the FCC established certain rules for the DTV operations of low-power television stations. Among other things, the FCC decided to allow certain low-power television stations to use a second channel for DTV operations while continuing analog operations on their existing channels. Although the FCC decided that low-power television stations must accept interference from and avoid interference to full-power broadcasters on their second channels, the use of second channels by low-power television stations could cause additional interference to the signals of full-power stations. The FCC also decided that low-power television stations may convert to digital operations on their current analog channels, which might in some circumstances cause additional interference to the signals of full-power stations and limit the ability of full-power stations to modify their analog or DTV transmission facilities.</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FCC has a policy of reviewing its DTV rules every two years to determine whether those rules need to be adjusted in light of new developments. In September 2004 the FCC issued an order concerning the second periodic review of its DTV rules. This review broadly examined the rules and policies governing broadcasters’ DTV operations, including interference protection rules and various operating requirements. In that order the FCC established procedures by which stations will elect the channel on which they will operate after the transition to digital television is complete. In most cases, stations will choose between their current analog channel and current DTV channel, provided that those channels are between channels 2 and 51. All of the Company’s TV stations except for WKMG have two channels that are within this range; for WKMG, only its analog channel is within this range and, because of technical issues related to its analog channel, WKMG is seeking another channel between channels 2 and 51 to use as its DTV channel when all-digital operations commence.</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FCC has received comments in long-pending proceedings to determine what public interest obligations should apply to broadcasters’ DTV operations. Among other things, the FCC has asked whether it should require broadcasters to provide free time to political candidates, increase the amount of programming intended to meet the needs of minorities and women, and increase communication with the public regarding programming decisions. In November 2004 the FCC released a Report and Order adopting new obligations concerning children’s programming by digital television broadcasters (although some new obligations apply to the analog signals as well). Among other things, the FCC will require stations to air three hours of “core” children’s programming on their primary digital video streams and additional core children’s programming if they also broadcast free multicast video streams. Many of these requirements do not go into effect until 2006.</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“must-carry” requirements of the Cable Television Consumer Protection and Competition Act of 1992 (the “1992 Cable Act”), a commercial television broadcast station may, under certain circumstances, insist on carriage of its analog signal on cable systems serving the station’s market area. Alternatively, such stations may elect, at three-year intervals that began in October 1993, to forego must-carry rights and insist instead that their signals not be carried without their prior consent pursuant to a retransmission consent agreement. Stations that elect retransmission consent may negotiate for compensation from cable systems in the form of such things as mandatory advertising purchases by the system operator, station promotional announcements on the system, and cash payments to the station. The analog signal of each of the Company’s television stations, with the exception of WJXT, is being carried on all of the major cable systems in the stations’ respective local markets pursuant to retransmission consent agreements. WJXT’s analog signal is being carried on cable in WJXT’s local market pursuant to that station’s must-carry rights. The Satellite Home Viewer Improvement Act of 1999 gave commercial television stations similar rights to elect either must-carry or retransmission consent with respect to the carriage of their analog signals on direct broadcast satellite (“DBS”) systems that choose to provide “local-into-local” service (i.e., to distribute the signals of local television stations to viewers in the local market area). Stations made their first DBS carriage election in July 2001 and will make subsequent elections at three-year intervals beginning in October 2005. The analog signal of each of the Company’s television stations is being carried by DBS providers EchoStar and DirecTV on a local-into-local basis pursuant to retransmission consent agreements.</w:t>
      </w:r>
    </w:p>
    <w:p>
      <w:pPr>
        <w:spacing w:after="0" w:line="8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2001 the FCC issued an order governing the mandatory carriage of DTV signals by cable television operators. The FCC decided that, pending further inquiry, only stations that broadcast in a DTV-only mode would be entitled to mandatory carriage of their DTV signals. On February 23, 2005, the FCC issued another order in the same proceeding affirming its</w:t>
      </w:r>
    </w:p>
    <w:p>
      <w:pPr>
        <w:spacing w:after="0" w:line="200" w:lineRule="exact"/>
        <w:rPr>
          <w:sz w:val="20"/>
          <w:szCs w:val="20"/>
          <w:color w:val="auto"/>
        </w:rPr>
      </w:pPr>
    </w:p>
    <w:p>
      <w:pPr>
        <w:spacing w:after="0" w:line="313"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100"/>
        <w:spacing w:after="0" w:line="287" w:lineRule="auto"/>
        <w:rPr>
          <w:sz w:val="20"/>
          <w:szCs w:val="20"/>
          <w:color w:val="auto"/>
        </w:rPr>
      </w:pPr>
      <w:r>
        <w:rPr>
          <w:rFonts w:ascii="Arial" w:cs="Arial" w:eastAsia="Arial" w:hAnsi="Arial"/>
          <w:sz w:val="16"/>
          <w:szCs w:val="16"/>
          <w:color w:val="auto"/>
        </w:rPr>
        <w:t>earlier decision and thus declined to require cable television operators to simultaneously carry both the analog and digital signals of television broadcast stations. In the same order, the FCC affirmed an earlier decision that only a single stream of video (that is, a single channel of programming), rather than a television broadcast station’s entire DTV signal, is eligible for mandatory carriage by cable television operators. (In a pending proceeding, the FCC has sought comment on how it should apply digital signal carriage rules to DBS providers.) Thus, at present, a television station wishing to insure that cable operators carry both the analog and digital signals of the station, and all of the program streams that may be present in the station’s digital signal, can achieve those objectives only if it is able to negotiate appropriate retransmission consent agreements with cable operators. Cable operators will be required to carry the portion of the DTV signal of any DTV station eligible for mandatory carriage in the same format in which the signal was originally broadcast. Thus, an HDTV video stream eligible for mandatory carriage must be carried in HDTV format by cable operators. However, it is still unclear whether cable operators will be responsible for ensuring that their set-top boxes are capable of passing DTV signals in their full definition to the consumer’s DTV receiver. As noted previously, all of the Company’s television stations are transmitting both analog and digital broadcasting signals; most of those stations’ digital signals are being carried on at least some local cable systems pursuant to retransmission consent agreements.</w:t>
      </w:r>
    </w:p>
    <w:p>
      <w:pPr>
        <w:spacing w:after="0" w:line="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Communications Act requires the FCC to review its broadcast ownership rules periodically and to repeal or modify any rule it determines is no longer in the public interest. In June 2003, following such a review, the FCC modified its national television ownership limit to permit a broadcast company to own an unlimited number of television stations as long as the combined service areas of such stations do not include more than 45% of nationwide television households, an increase from the previous limit of 35%. Subsequently, legislation was enacted that fixed the national ownership limit at 39% of nationwide television households, removed the national ownership limit from the periodic FCC review process and changed the frequency of such reviews from every two years to every four years.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1999 the FCC amended its local television ownership rule to permit one company to own two television stations in the same market if there are at least eight independently owned full-power television stations in that market (including non-commercial stations and counting the co-owned stations as one), and if at least one of the co-owned stations is not among the top four ranked television stations in that market. The FCC also decided to permit common ownership of stations in a single market if their signals do not overlap, and to permit common ownership where one of the stations is failing or unbuilt. These rule changes permitted increases in the concentration of station ownership in local markets, and all of the Company’s stations are now competing against two-station combinations in their respective markets.</w:t>
      </w:r>
    </w:p>
    <w:p>
      <w:pPr>
        <w:spacing w:after="0" w:line="8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June 2003 the FCC issued an order that modified several of its broadcast ownership rules. In its decision, the FCC further relaxed the local television ownership rule and also relaxed two FCC cross-ownership rules restricting common ownership of television stations and newspapers and of television stations and radio stations in the same market. This decision was appealed to the U.S. Court of Appeals for the Third Circuit, and that court stayed the effectiveness of the new rules pending the outcome of the appeal. Subsequently, the Third Circuit held that the FCC did not adequately justify its revised rules, remanded the case to the FCC for further proceedings, and held that the stay would remain in effect pending the outcome of the remand. The FCC has not yet instituted remand proceedings, nor has it resolved long-pending petitions for reconsideration of the revised rules. In the interim, the former local ownership and cross-ownership rules remain in effect. The rule changes approved by the FCC in June 2003, would, if ultimately upheld or justified by the FCC on remand, allow co-ownership of two television stations in a market as long as the two stations are not both ranked in the top four, and would also allow co-ownership of three television stations if there are 18 or more television stations in the market. Waivers of those limits would also be available where a station is failing and under certain other circumstances. In addition, the rule changes would liberalize the FCC’s restrictions on owning a combination of radio stations, television stations, and daily newspapers in the same market, and would, for example, allow one entity to own a daily newspaper and a TV station in the same market as long as there are four or more television stations in the market.</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Bipartisan Campaign Reform Act of 2002 imposed various restrictions both on contributions to political parties during federal elections and also on certain broadcast, cable television and DBS advertisements that refer to a candidate for federal office. Those restrictions may have the effect of reducing the advertising revenues of the Company’s television stations during campaigns for federal office below the levels that otherwise would be realized in the absence of such restrictions.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FCC is conducting proceedings dealing with various issues in addition to those described elsewhere in this section, including proposals to modify its regulations relating to the operation of cable television systems (which regulations are discussed below under “Cable Television Operations — Regulation of Cable Television and Related Matters”), and proposals that could affect the development of alternative video delivery systems that would compete in varying degrees with both cable television and television broadcasting operations. Also, in July 2004 the FCC instituted an inquiry into its rules and policies concerning broadcasters’ service to their local communities.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80"/>
        <w:spacing w:after="0" w:line="277" w:lineRule="auto"/>
        <w:rPr>
          <w:sz w:val="20"/>
          <w:szCs w:val="20"/>
          <w:color w:val="auto"/>
        </w:rPr>
      </w:pPr>
      <w:r>
        <w:rPr>
          <w:rFonts w:ascii="Arial" w:cs="Arial" w:eastAsia="Arial" w:hAnsi="Arial"/>
          <w:sz w:val="18"/>
          <w:szCs w:val="18"/>
          <w:color w:val="auto"/>
        </w:rPr>
        <w:t>The Company is unable to determine what impact the various rule changes and other matters described in this section may ultimately have on the Company’s television broadcasting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Cable Television Operations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At the end of 2004 the Company (through its Cable One subsidiary) provided cable service to approximately 709,100 basic video subscribers (representing about 54% of the 1,307,000 homes passed by the systems) and had in force approximately 219,200 subscriptions to digital video service (which number does not include approximately 4,000 free trials of that service then being offered by Cable One) and 178,300 subscriptions to cable modem service. Digital video and cable modem services are each currently available in markets serving virtually all of Cable One’s subscriber base. Among the digital video services offered by Cable One is the delivery of certain premium, cable network and local over-the-air channels in HDTV.</w:t>
      </w:r>
    </w:p>
    <w:p>
      <w:pPr>
        <w:spacing w:after="0" w:line="6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Company’s cable systems are located in 19 Midwestern, Southern and Western states and typically serve smaller communities: Thus 13 of the Company’s current systems pass fewer than 10,000 dwelling units, 18 pass 10,000-25,000 dwelling units, and 19 pass more than 25,000 dwelling units. The two largest clusters of systems (which each serve about 75,000 subscribers) are located on the Gulf Coast of Mississippi and in the Boise, Idaho area.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1992 Cable Act requires or authorizes the imposition of a wide range of regulations on cable television operations. The three major areas of regulation are (i) the rates charged for certain cable television services, (ii) required carriage (“must carry”) of some local broadcast stations, and (iii) retransmission consent rights for commercial broadcast stations.</w:t>
      </w:r>
    </w:p>
    <w:p>
      <w:pPr>
        <w:spacing w:after="0" w:line="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1993 the FCC adopted a “freeze” on rate increases for the basic tier of cable service (i.e., the tier that includes the signals of local over-the-air stations and any public, educational or governmental channels required to be carried under the applicable franchise agreement) and for optional tiers (although the freeze on rate increases for optional tiers expired in 1999). Later that year the FCC promulgated benchmarks for determining the reasonableness of rates for regulated services. The benchmarks provided for a percentage reduction in the rates that were in effect when the benchmarks were announced. Pursuant to the FCC’s rules, cable operators can increase their benchmarked rates for regulated services to offset the effects of inflation, equipment upgrades, and higher programming, franchising and regulatory fees. Under the FCC’s approach, cable operators may exceed their benchmarked rates if they can show in a cost-of-service proceeding that higher rates are needed to earn a reasonable return on investment, which the Commission established in 1994 to be 11.25%. The FCC’s rules also permit franchising authorities to regulate equipment rentals and service and installation rates on the basis of a cable operator’s actual costs plus an allowable profit, which is calculated from the operator’s net investment, income tax rate and other factors.</w:t>
      </w:r>
    </w:p>
    <w:p>
      <w:pPr>
        <w:spacing w:after="0" w:line="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Among other things, the Telecommunications Act of 1996 altered the preexisting regulatory environment by expanding the definition of “effective competition” (a condition that precludes any regulation of the rates charged by a cable system), terminating rate regulation for some small cable systems, and sunsetting the FCC’s authority to regulate the rates charged for optional tiers of service (which authority expired in 1999). Since very few of the cable systems owned by the Company fall within the effective-competition or small-system exemptions, monthly subscription rates charged by most of the Company’s cable systems for the basic tier of cable service, as well as rates charged for equipment rentals and service calls, may be regulated by municipalities, subject to procedures and criteria established by the FCC. However, rates charged by cable television systems for tiers of service other than the basic tier, for pay-per-view and per-channel premium program services, for digital video and cable modem services, and for advertising are all currently exempt from regulation.</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in the preceding section, under the “must-carry” requirements of the 1992 Cable Act, a commercial television broadcast station may, subject to certain limitations, insist on carriage of its signal on cable systems located within the station’s market area. Similarly, a noncommercial public station may insist on carriage of its signal on cable systems located either within the station’s predicted Grade B signal contour or within 50 miles of a reference point in a station’s</w:t>
      </w:r>
    </w:p>
    <w:p>
      <w:pPr>
        <w:spacing w:after="0" w:line="200" w:lineRule="exact"/>
        <w:rPr>
          <w:sz w:val="20"/>
          <w:szCs w:val="20"/>
          <w:color w:val="auto"/>
        </w:rPr>
      </w:pPr>
    </w:p>
    <w:p>
      <w:pPr>
        <w:spacing w:after="0" w:line="31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60"/>
        <w:spacing w:after="0" w:line="264" w:lineRule="auto"/>
        <w:rPr>
          <w:sz w:val="20"/>
          <w:szCs w:val="20"/>
          <w:color w:val="auto"/>
        </w:rPr>
      </w:pPr>
      <w:r>
        <w:rPr>
          <w:rFonts w:ascii="Arial" w:cs="Arial" w:eastAsia="Arial" w:hAnsi="Arial"/>
          <w:sz w:val="18"/>
          <w:szCs w:val="18"/>
          <w:color w:val="auto"/>
        </w:rPr>
        <w:t>community designated by the FCC.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Also as explained in the preceding section, at three-year intervals beginning in October 1993 commercial broadcasters have had the right to forego must-carry rights and insist instead that their signals not be carried without their prior consent. Under legislation enacted in 1999, Congress barred broadcasters from entering into exclusive retransmission consent agreements through 2006. In November 2004 Congress extended the ban on exclusive retransmission consent agreements until the end of 2010. The Company’s cable systems have been able to continue carrying virtually all of the stations insisting on retransmission consent. In doing so, no agreements have been made to pay any station for the privilege of carrying its signal. However, some commitments have been made to carry other program services offered by a station or an affiliated company, to purchase advertising on a station, to provide advertising availabilities on cable for sale by a station, and to distribute promotional announcements with respect to a station.</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has already been noted, the FCC has determined that only television stations broadcasting in a DTV-only mode can require local cable systems to carry their DTV signals and that if a DTV signal contains multiple video streams only a single stream of video is required to be carried. The imposition of additional must-carry obligations, either by the FCC or as a result of legislative action, could result in the Company’s cable systems being required to delete some existing programming to make room for broadcasters’ DTV channels.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a variety of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a cable system’s gross revenues.</w:t>
      </w:r>
    </w:p>
    <w:p>
      <w:pPr>
        <w:spacing w:after="0" w:line="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 In addition, pursuant to the Pole Attachment Act, the FCC exercises authority to disapprove unreasonable rates charged to cable operators by most telephone and power utilities for utilizing space on utility poles or in underground conduits. However the Pole Attachment Act does not apply to poles and conduits owned by municipalities or cooperatives. Also, states can reclaim exclusive jurisdiction over the rates, terms and conditions of pole attachments by certifying to the FCC that they regulate such matters, and several states in which the Company has cable operations have so certified. A number of cable operators (including the Company’s Cable One subsidiary) are using their cable systems to provide not only television programming but also Internet access. In 2002, the U.S. Supreme Court ruled that the FCC’s authority under the Pole Attachment Act extends to all pole attachments by cable operators, including those attachments used to provide Internet access. Thus, except where individual states have assumed regulatory responsibility or where poles or conduits are owned by a municipality or cooperative, the rates charged for pole or conduit access by cable companies are subject to FCC rate regulation regardless of whether or not the cable companies are providing Internet access in addition to the delivery of television programming.</w:t>
      </w:r>
    </w:p>
    <w:p>
      <w:pPr>
        <w:spacing w:after="0" w:line="6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Copyright Act of 1976 gives cable television systems the ability, under certain terms and conditions and assuming that any applicable retransmission consents have been obtained, to retransmit the signals of television stations pursuant to a compulsory copyright license. Those terms and conditions permit cable systems to retransmit the signals of local television stations on a royalty-free basis; however in most cases cable systems retransmitting the signals of distant stations are required to pay certain license fees set forth in the statute or established by subsequent administrative regulations. The compulsory license fees have been increased on several occasions since this Act went into effect. In 1994 the availability of a compulsory copyright license was extended to “wireless cable” for both local and distant television signals. Direct broadcast satellite (“DBS”) operators have had a compulsory copyright license since 1988, although that license was limited to distant television signals and only permitted the delivery of the signals of distant network-affiliated stations to subscribers who could not receive an over-the-air signal of a station affiliated with the same network. However, in 1999 Congress enacted the Satellite Home Viewer Improvement Act, which created a royalty-free compulsory copyright license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both"/>
        <w:ind w:right="560"/>
        <w:spacing w:after="0" w:line="342" w:lineRule="auto"/>
        <w:rPr>
          <w:sz w:val="20"/>
          <w:szCs w:val="20"/>
          <w:color w:val="auto"/>
        </w:rPr>
      </w:pPr>
      <w:r>
        <w:rPr>
          <w:rFonts w:ascii="Arial" w:cs="Arial" w:eastAsia="Arial" w:hAnsi="Arial"/>
          <w:sz w:val="16"/>
          <w:szCs w:val="16"/>
          <w:color w:val="auto"/>
        </w:rPr>
        <w:t>for DBS operators who wish to distribute the signals of local television stations to satellite subscribers in the markets served by such stations. This Act continued the limitation on importing the signals of distant network-affiliated stations contained in the original compulsory license for DBS operators.</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general prohibition on telephone companies operating cable systems in areas where they provide local telephone service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(although local communities can choose to require a franchise) and be subject to reduced regulatory burdens. The Act contains detailed requirements governing the operation of open video systems, including requiring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Telecommunications Act of 1996 balances this grant of video authority to telephone companies by removing various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interconnect their equipment and facilities with the local telephone network and requires telephone companies to give competitors access on an unbundled basis to certain essential features and functionalities of that network (such as signal carriage from the subscriber’s residence to the switching center). As an alternative method of providing local telephone service, the Act permits cable companies and others to purchase conventional telephone service on a wholesale basis and then resell it to their subscribers. In 2004 the FCC revised these rules and limited the extent to which incumbent telephone companies must provide access to these features and functionalities; the FCC also permitted incumbent telephone companies to increase the price they charge for such access.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At various times during the last decade, the FCC adopted rule changes intended to facilitate the development of multichannel multipoint distribution systems, also known as “wireless cable” or “MMDS,” a video and data service that is capable of distributing approximately 30 television channels in a local area by over-the-air microwave transmission using analog technology and a greater number of channels using digital compression technologies. The use of digital technology and a 1998 change in the FCC’s rules to permit reverse path transmission over wireless facilities also make it possible for such systems to deliver additional services, including Internet access. Also, in late 1998 the FCC auctioned a sizeable amount of spectrum in the 31 gigahertz band for use by a new wireless service, which is referred to as the Local Multipoint Distribution Service or “LMDS,” that has the potential to deliver television programming directly to subscribers’ homes as well as provide Internet access and telephony services. To date, however, there are no LMDS systems in operation that deliver television programming or provide either Internet access or telephony. Separately, in 2000 the FCC approved the use of spectrum in the 12.2-12.7 gigahertz band (the same band used by DBS operators) to provide a new land-based interactive video and data delivery service known as the Multichannel Video Distribution and Data Service (“MVDDS”). MVDDS providers will use “reharvested” DBS spectrum to transmit programming on a non-harmful interference basis using terrestrial microwave transmitters. (While DBS subscribers point their dishes south to pick up their provider’s signal, MVDDS customers will aim their antennas north.) In January 2004 the FCC conducted an auction for the purpose of selecting MVDDS licensees. Ten bidders won licenses in more than 190 markets, although the Company believes that no MVDDS systems are yet in operation. MVDDS providers, like providers of other forms of wireless cable, will not be required to obtain franchises from local governmental authorities and generally will operate under fewer regulatory requirements than conventional cable systems.</w:t>
      </w:r>
    </w:p>
    <w:p>
      <w:pPr>
        <w:spacing w:after="0" w:line="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1999 the FCC amended its cable ownership rule, which governs the number of subscribers an owner of cable systems may reach on a national basis. Before revision, this rule provided that a single company could not serve more than 30% of potential cable subscribers (or “homes passed” by cable) nationwide. The revised rule allowed a cable operator to provide service to 30% of all actual subscribers to cable, satellite and other competing services nationwide, rather than to 30% of homes passed by cable. This revision had the effect of increasing the number of communities that could be served</w:t>
      </w:r>
    </w:p>
    <w:p>
      <w:pPr>
        <w:spacing w:after="0" w:line="200" w:lineRule="exact"/>
        <w:rPr>
          <w:sz w:val="20"/>
          <w:szCs w:val="20"/>
          <w:color w:val="auto"/>
        </w:rPr>
      </w:pPr>
    </w:p>
    <w:p>
      <w:pPr>
        <w:spacing w:after="0" w:line="28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240"/>
        <w:spacing w:after="0" w:line="302" w:lineRule="auto"/>
        <w:rPr>
          <w:sz w:val="20"/>
          <w:szCs w:val="20"/>
          <w:color w:val="auto"/>
        </w:rPr>
      </w:pPr>
      <w:r>
        <w:rPr>
          <w:rFonts w:ascii="Arial" w:cs="Arial" w:eastAsia="Arial" w:hAnsi="Arial"/>
          <w:sz w:val="16"/>
          <w:szCs w:val="16"/>
          <w:color w:val="auto"/>
        </w:rPr>
        <w:t>by a single cable operator and may have resulted in more consolidation in the cable industry. In 2001 the U.S. Court of Appeals for the D.C. Circuit voided the FCC’s revised rule on constitutional and procedural grounds and remanded the matter to the FCC for further proceedings. The FCC has since opened a proceeding to determine what the ownership limit should be, if any. If the FCC eliminates the limit or adopts a new rule with a higher percentage of nationwide subscribers a single cable operator is permitted to serve, that action could lead to even greater consolidation in the industry.</w:t>
      </w:r>
    </w:p>
    <w:p>
      <w:pPr>
        <w:spacing w:after="0" w:line="4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1996 Congress repealed the statutory provision that generally prohibited a party from owning an interest in both a television broadcast station and a cable television system within that station’s Grade B contour. However Congress left the FCC’s parallel rule in place, subject to a congressionally mandated periodic review by the agency. The FCC, in its subsequent review, decided to retain the prohibition for various competitive and diversity reasons. However in 2002 the U.S. Court of Appeals for the District of Columbia Circuit struck down the rule, holding that the FCC’s decision to retain the rule was arbitrary and capricious. Thus there currently is no restriction on the ownership of both a television broadcast station and a cable television system in the same market.</w:t>
      </w:r>
    </w:p>
    <w:p>
      <w:pPr>
        <w:spacing w:after="0" w:line="5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2002 the FCC issued a declaratory ruling classifying cable modem service as an “interstate information service.” Concurrently, the FCC issued a notice of proposed rulemaking to consider the regulatory implications of this classification. Among the issues to be decided are whether local authorities can require cable operators to provide competing Internet service providers with access to the cable operators’ facilities, the extent to which local authorities can regulate cable modem service, and whether local authorities can impose fees on the provision of cable modem service. In 2003 the U.S. Court of Appeals for the Ninth Circuit, on an appeal from the FCC’s declaratory ruling noted above, ruled that cable modem service is partly an “information service” and partly a “telecommunications service.” After the Ninth Circuit denied petitions requesting that it reconsider this decision, appeals were filed with the U.S. Supreme Court and, in November 2004, the Court agreed to hear the case. If the Ninth Circuit’s ruling is affirmed, the characterization of cable modem service as partly a “telecommunications service” will likely affect the FCC’s decision on many of the issues in its pending rulemaking. Moreover, the Pole Attachment Act permits utilities to charge significantly higher rates for attachments made by entities that are providing a “telecommunications service.” The Company’s Cable One subsidiary currently offers Internet access on virtually all of its cable systems and is the sole Internet service provider on those systems. Thus, depending on the outcome, these judicial and regulatory proceedings have the potential to interfere with the Company’s ability to deliver Internet access on a profitable basis.</w:t>
      </w:r>
    </w:p>
    <w:p>
      <w:pPr>
        <w:spacing w:after="0" w:line="7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Consumers with cable modem or other broadband Internet connections are increasingly using a technology known as voice over Internet protocol (VoIP) to make telephone calls over the Internet. Depending on their equipment and service provider, such consumers can use a regular telephone (connected to an adaptor) to make their calls and can complete calls to anyone who has a telephone number. During 2004 some states sought to regulate this activity pursuant to their common carrier jurisdiction, but VoIP providers challenged these actions before the FCC. Later in 2004, the FCC ruled that VoIP services are interstate services subject exclusively to the FCC’s federal jurisdiction. This decision, if upheld on appeal (consumer groups and some state regulatory commissions have filed an appeal), is significant because it includes VoIP offered by cable systems as within the scope of activities that are not subject to state regulation. Legislation also has been introduced in Congress to accomplish the same objective, though the prospect for passage of such legislation is uncertain.</w:t>
      </w:r>
    </w:p>
    <w:p>
      <w:pPr>
        <w:spacing w:after="0" w:line="8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Litigation also is pending in various courts in which various franchise requirements are being challenged as unlawful under the First Amendment, the Communications Act, the antitrust laws and on other grounds. Depending on the outcomes, such litigation could facilitate the development of duplicative cable facilities that would compete with existing cable systems, enable cable operators to offer certain services outside of cable regulation or otherwise materially affect cable television operations.</w:t>
      </w:r>
    </w:p>
    <w:p>
      <w:pPr>
        <w:spacing w:after="0" w:line="7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regulation of certain cable television rates pursuant to the authority granted to the FCC has negatively impacted the revenues of the Company’s cable systems. The Company is unable to predict what effect the other matters discussed in this section may ultimately have on its cable television business.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Education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Kaplan, Inc., a subsidiary of the Company, provides an extensive range of educational services for children, students and professionals. Kaplan’s historical focus on test preparation has been expanded as new educational and career services businesses have been acquired or initiated. The Company divides Kaplan’s various businesses into two categories: supplemental education, which consists of the Test Preparation and Admissions Division, the Professional Division, Score! Educational Centers, and The Financial Training Company; and higher education, which consists of Kaplan’s Higher Education Division and the Dublin Business School.</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right="200"/>
        <w:spacing w:after="0" w:line="286" w:lineRule="auto"/>
        <w:rPr>
          <w:sz w:val="20"/>
          <w:szCs w:val="20"/>
          <w:color w:val="auto"/>
        </w:rPr>
      </w:pPr>
      <w:r>
        <w:rPr>
          <w:rFonts w:ascii="Arial" w:cs="Arial" w:eastAsia="Arial" w:hAnsi="Arial"/>
          <w:sz w:val="16"/>
          <w:szCs w:val="16"/>
          <w:color w:val="auto"/>
        </w:rPr>
        <w:t>Through its Test Preparation and Admissions Division, Kaplan prepares students for a broad range of admissions and licensing examinations, including the SATs, LSATs, GMATs, MCATs, GREs, and nursing and medical boards. This business can be subdivided into four categories: K-12 (serving schools and school districts seeking assistance in improving student performance using print- and computer-based supplemental programs, preparing students for state assessment tests and for the SATs and ACTs, providing curriculum consulting services and providing professional training for teachers); Graduate and Pre-College (serving high school and college students and professionals, primarily with preparation for admissions tests to college and to graduate, medical and law schools); Medical (serving medical professionals preparing for licensing exams); and English Language Training (serving foreign students and professionals wishing to study or work in the U.S.). Many of this division’s test preparation courses have been available to students via the Internet since 1999. During 2004 the Test Preparation and Admissions Division provided courses to over 280,000 students (including over 87,000 enrolled in online programs) and provided courses at 159 permanent centers located throughout the United States and in Canada, Puerto Rico, London and Paris. In addition, Kaplan licenses material for certain of these courses to third parties who during 2004 offered such courses at 32 centers located in 14 foreign countries. The Test Preparation and Admissions Division also currently co-publishes more than 190 book titles, predominantly in the areas of test preparation, admissions, career guidance and life skills, through a joint venture with Simon &amp; Schuster, and develops educational software for the K-12, graduate and English-as-a-second-language markets which is sold through an arrangement with a third party that is responsible for production and distribution. This division also produces a college newsstand guide in conjunction with Newsweek.</w:t>
      </w:r>
    </w:p>
    <w:p>
      <w:pPr>
        <w:spacing w:after="0" w:line="6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Kaplan’s Professional Division offers continuing education, certification, licensing, exam preparation and professional development to corporations and to individuals seeking to advance their careers in a variety of disciplines. This division includes Dearborn Financial Services, a provider of continuing education and test preparation courses for financial services and insurance industry professionals; Dearborn Publishing, publisher of a variety of business and real estate books as well as printed and online course materials for licensing, test preparation and continuing education in the real estate, architecture, home inspection, engineering and construction industries; The Schweser Study Program, a provider of test preparation courses for the Chartered Financial Analyst and Financial Risk Manager examinations; Kaplan CPA, which offers test preparation courses for the Certified Public Accounting Exam; Kaplan Professional Schools, a provider of courses for real estate, financial services and home inspection licensing examinations as well as continuing education in those areas; Perfect Access Speer, a provider of software consulting and software training products, primarily to the legal profession; and Kaplan IT, which offers online test preparation courses for technical certifications in the information technology industry. The courses offered by Kaplan’s Professional Division are provided in various formats (including classroom-based instruction, online programs, printed study guides, in-house training and audio CD’s) and at a wide range of per-course prices. During 2004 this division sold approximately 500,000 courses and separately priced course components to students (who in some subject areas typically purchase more than one course or course component offered by the division).</w:t>
      </w:r>
    </w:p>
    <w:p>
      <w:pPr>
        <w:spacing w:after="0" w:line="6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Kaplan’s Score! Educational Centers offer computer-based learning and individualized tutoring for children from pre-K through the 10th grade. In 2004 this business, which provides educational after-school enrichment services through 162 Score centers located in various areas of the United States, served more than 82,000 students. Score’s services are provided in facilities separate from Kaplan’s test preparation centers.</w:t>
      </w:r>
    </w:p>
    <w:p>
      <w:pPr>
        <w:spacing w:after="0" w:line="5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Financial Training Company (“FTC”) is a U.K.-based provider of training and test preparation services for accounting and financial services professionals. At year-end 2004, FTC was the publisher of more than 100 textbooks and manuals and during the year had provided courses to over 40,000 students. Headquartered in London, FTC has 22 training centers around the UK as well as operations in Hong Kong, Shanghai and Singapore.</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Higher Education Division of Kaplan currently consists of 72 schools in 17 states that provide classroom-based instruction and three institutions that specialize in distance education. The schools providing classroom-based instruction offer a variety of bachelor degree, associate degree and diploma programs primarily in the fields of healthcare, business, paralegal studies, information technology, criminal justice and fashion and design. These schools were serving more than 32,000 students at year-end 2004 (which total includes the classroom-based programs of Kaplan University), with approximately 40% of such students enrolled in accredited bachelor or associate degree programs. Each of these schools has its own accreditation from one of several regional or national accrediting agencies recognized by the U.S. Department of Education. The institutions that specialize in distance education are Kaplan University, Concord University School of Law and The College for Professional Studies. Kaplan University offers various master degree, bachelor degree, associate degree and certificate programs, principally in the fields of management, criminal justice, paralegal studies, information technology, financial planning, nursing and education, and is accredited by the Higher Learning Commission of the North Central Association of Colleges and Schools. Some of Kaplan University’s programs are offered online while others are</w:t>
      </w:r>
    </w:p>
    <w:p>
      <w:pPr>
        <w:spacing w:after="0" w:line="200" w:lineRule="exact"/>
        <w:rPr>
          <w:sz w:val="20"/>
          <w:szCs w:val="20"/>
          <w:color w:val="auto"/>
        </w:rPr>
      </w:pPr>
    </w:p>
    <w:p>
      <w:pPr>
        <w:spacing w:after="0" w:line="30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line="270" w:lineRule="auto"/>
        <w:rPr>
          <w:sz w:val="20"/>
          <w:szCs w:val="20"/>
          <w:color w:val="auto"/>
        </w:rPr>
      </w:pPr>
      <w:r>
        <w:rPr>
          <w:rFonts w:ascii="Arial" w:cs="Arial" w:eastAsia="Arial" w:hAnsi="Arial"/>
          <w:sz w:val="17"/>
          <w:szCs w:val="17"/>
          <w:color w:val="auto"/>
        </w:rPr>
        <w:t>offered in a traditional classroom format at the school’s Davenport, Iowa campus. At year-end 2004, Kaplan University had approximately 19,000 students enrolled in online programs. Concord University School of Law, the nation’s first online law school, offers Juris Doctor and Executive Juris Doctor degrees wholly online (the Executive Juris Doctor degree program is designed for individuals who do not intend to practice law). At year-end 2004, approximately 1,600 students were enrolled at Concord. Concord is accredited by the Accrediting Commission of the Distance Education and Training Council and has received operating approval from the California Bureau of Private Post-Secondary and Vocational Education. Concord also has complied with the registration requirements of the State Bar of California; graduates are, therefore, able to apply for admission to the California Bar. The College for Professional Studies, which had approximately 1,000 students enrolled at year-end 2004, offers bachelor and associate degree and diploma correspondence programs in the fields of legal nurse consulting, paralegal studies and criminal justice; however, that school is no longer enrolling students and will discontinue operations after its current students complete their programs.</w:t>
      </w:r>
    </w:p>
    <w:p>
      <w:pPr>
        <w:spacing w:after="0" w:line="7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Dublin Business School (“DBS”) is an undergraduate and graduate institution located in Dublin, Ireland, with satellite locations in London; Dubai, United Arab Emirates; and Kuala Lumpur, Malaysia. DBS offers various undergraduate and graduate degree programs in business and the liberal arts. At year-end 2004, DBS was providing courses to approximately 4,000 students.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One of the ways a foreign national wishing to enter the United States to study may do so is to obtain an F-1 student visa. For many years, most of Kaplan’s Test Preparation and Admissions Division centers in the United States have been authorized by what is now the U.S. Citizenship and Immigration Services (the “USCIS”) to issue certificates of eligibility to prospective students to assist them in applying for F-1 visas through a U.S. Embassy or Consulate. Under a program that became effective early in 2003, educational institutions are required to report electronically to the USCIS specified enrollment, departure and other information about the F-1 students to whom they have issued certificates of eligibility. By year-end 2004, 137 of Kaplan’s U.S. Test Preparation and Admissions Division centers had been certified to participate in this program. Once certified, a center must apply for recertification every two years. During 2004 students holding F-1 visas accounted for approximately 2.1% of the enrollment at Kaplan’s Test Preparation and Admissions Division and an insignificant number of students at Kaplan’s Higher Education Division.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IV Federal Student Financial Aid Programs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Funds provided under the student financial aid programs that have been created under Title IV of the Higher Education Act of 1965, as amended, historically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have been responsible for a majority of the net revenues of the schools in Kaplan’s Higher Education Division accounting, for example, for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$430 million of the revenues of such schools for the Company’s 2004 fiscal year. The significant role of Title IV funding in the operations of these schools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continue.</w:t>
      </w:r>
    </w:p>
    <w:p>
      <w:pPr>
        <w:spacing w:after="0" w:line="10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To maintain Title IV eligibility a school must comply with extensive statutory and regulatory requirements relating to its financial aid management, educational programs, financial strength, recruiting practices and various other matters. Among other things, the school must be authorized to offer its educational programs by the appropriate governmental body in the state or states in which it is located, be accredited by an accrediting agency recognized by the U.S. Department of Education (the “Department of Education”), and enter into a program participation agreement with the Department of Education.</w:t>
      </w:r>
    </w:p>
    <w:p>
      <w:pPr>
        <w:spacing w:after="0" w:line="46"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A school may lose its eligibility to participate in Title IV programs if student defaults on the repayment of Title IV loans exceed specified default rates (referred to as “cohort default rates”). A school whose cohort default rate exceeds 40% for any single year may have its eligibility to participate in Title IV programs limited, suspended or terminated at the discretion of the Department of Education. A school whose cohort default rate equals or exceeds 25% for three consecutive years will automatically lose its Title IV eligibility for at least two years unless the school can demonstrate exceptional circumstances justifying its continued eligibility. Pursuant to another program requirement, any for-profit postsecondary institution (a category that includes all of the schools in Kaplan’s Higher Education Division) will lose its Title IV eligibility for at least one year if more than 90% of that institution’s receipts for any fiscal year are derived from Title IV programs.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Title IV program regulations also provide that not more than 50% of an eligible institution’s courses can be provided online and that, in some cases, not more than 50% of an eligible institution’s students can be enrolled in online courses and impose certain other requirements intended to insure that individual programs (including online programs) eligible for Title IV funding include minimum amounts of instructional activity. However, Kaplan University currently is a participant in the distance education demonstration program of the Department of Education and as a result is exempt from the foregoing requirements until at least June 30, 2006. Several bills were introduced in the last Congress that would have exempted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 w:name="page16"/>
    <w:bookmarkEnd w:id="15"/>
    <w:p>
      <w:pPr>
        <w:ind w:right="20"/>
        <w:spacing w:after="0" w:line="297" w:lineRule="auto"/>
        <w:rPr>
          <w:sz w:val="20"/>
          <w:szCs w:val="20"/>
          <w:color w:val="auto"/>
        </w:rPr>
      </w:pPr>
      <w:r>
        <w:rPr>
          <w:rFonts w:ascii="Arial" w:cs="Arial" w:eastAsia="Arial" w:hAnsi="Arial"/>
          <w:sz w:val="16"/>
          <w:szCs w:val="16"/>
          <w:color w:val="auto"/>
        </w:rPr>
        <w:t>online courses from the 50% rules and certain other existing requirements if various other conditions set forth in such legislation or to be specified in future Department of Education regulations were satisfied and also would have extended authority for the distance education demonstration program through at least 2010. A bill has already been introduced in the new Congress that would similarly exempt online courses from the 50% rules and extend authority for the distance education demonstration program. However, the Company cannot now predict whether any such legislation will eventually be enacted into law and whether Kaplan University will be able to satisfy whatever conditions may ultimately be imposed on the availability of Title IV funding for online programs.</w:t>
      </w:r>
    </w:p>
    <w:p>
      <w:pPr>
        <w:spacing w:after="0" w:line="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general matter, schools participating in Title IV programs are not financially responsible for the failure of their students to repay Title IV loans. However the Department of Education may fine a school for a failure to comply with Title IV requirements and may require a school to repay Title IV program funds if it finds that such funds have been improperly disbursed. In addition, there may be other legal theories under which a school could be subject to suit as a result of alleged irregularities in the administration of student financial aid.</w:t>
      </w:r>
    </w:p>
    <w:p>
      <w:pPr>
        <w:spacing w:after="0" w:line="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Pursuant to Title IV program regulations, a school that undergoes a change in control must be reviewed and recertified by the Department of Education. Certifications obtained following a change in control are granted on a provisional basis that permits the school to continue participating in Title IV programs but provides fewer procedural protections if the Department of Education asserts a material violation of Title IV requirements. Most of the schools owned by Quest Education Corporation at the time of Kaplan’s acquisition of Quest in 2000 have now been fully certified. The remainder of those schools as well as most of the schools subsequently acquired by Kaplan’s Higher Education Division are continuing to operate on the basis of provisional certifications.</w:t>
      </w:r>
    </w:p>
    <w:p>
      <w:pPr>
        <w:spacing w:after="0" w:line="5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 proceeding by the Department of Education is pending to fine any Kaplan school for a failure to comply with any Title IV requirement, or to limit, suspend or terminate the Title IV eligibility of any Kaplan school. However no assurance can be given that the Kaplan schools currently participating in Title IV programs will maintain their Title IV eligibility in the future or that the Department of Education might not successfully assert that one or more of such schools have previously failed to comply with Title IV requirements.</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accordance with Department of Education regulations, a number of the schools in Kaplan’s Higher Education Division are combined into groups of two or more schools for the purpose of determining compliance with Title IV requirements. Including schools that are not combined with other schools for that purpose, the Higher Education Division currently has 38 Title IV reporting units, the largest of which in terms of revenue accounted for approximately 24% of the Division’s 2004 revenues. If the Department of Education were to find that one reporting unit had failed to comply with any applicable Title IV requirement and as a result limited, suspended or terminated the Title IV eligibility of the school or schools in that unit, that action normally would not affect the Title IV eligibility of the schools in other reporting units that had continued to comply with Title IV requirements. For the most recent year for which data is available from the Department of Education, the cohort default rate for the Title IV reporting units in Kaplan’s Higher Education Division averaged 9.8%, and no unit had a cohort default rate of 25% or more. In 2004 those reporting units derived an average of less than 81% of their receipts from Title IV programs, with no unit deriving more than 88.2% of its receipts from such programs.</w:t>
      </w:r>
    </w:p>
    <w:p>
      <w:pPr>
        <w:spacing w:after="0" w:line="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 of the Title IV financial aid programs are subject to periodic legislative review and reauthorization, and the next reauthorization is scheduled to take place during the current Congressional term. In addition, the availability of funding for the Title IV programs that provide non-repayable grants is wholly contingent upon the outcome of the annual federal appropriations process.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Whether as a result of changes in the laws and regulations governing Title IV programs, a reduction in Title IV program funding levels, or a failure of schools included in Kaplan’s Higher Education Division to maintain eligibility to participate in Title IV programs, a material reduction in the amount of Title IV financial assistance available to the students of those schools would have a significant negative impact on Kaplan’s operating results.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Magazine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i w:val="1"/>
          <w:iCs w:val="1"/>
          <w:color w:val="auto"/>
        </w:rPr>
        <w:t xml:space="preserve">Newsweek </w:t>
      </w:r>
      <w:r>
        <w:rPr>
          <w:rFonts w:ascii="Arial" w:cs="Arial" w:eastAsia="Arial" w:hAnsi="Arial"/>
          <w:sz w:val="17"/>
          <w:szCs w:val="17"/>
          <w:color w:val="auto"/>
        </w:rPr>
        <w:t>is a weekly news magazine published both domestically and internationally by Newsweek, Inc., a subsidiary of the Company. In gathering,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reporting and writing news and other material for publication,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maintains news bureaus in 8 U.S. and 11 foreign cities.</w:t>
      </w:r>
    </w:p>
    <w:p>
      <w:pPr>
        <w:spacing w:after="0" w:line="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includes more than 100 different geographic or demographic editions which carry substantially identical news and feature material but enable advertisers to direct messages to specific market areas or</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 xml:space="preserve">demographic groups. Domestically,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ranks second in circulation among the three leading weekly news magazines (</w:t>
      </w:r>
      <w:r>
        <w:rPr>
          <w:rFonts w:ascii="Arial" w:cs="Arial" w:eastAsia="Arial" w:hAnsi="Arial"/>
          <w:sz w:val="16"/>
          <w:szCs w:val="16"/>
          <w:i w:val="1"/>
          <w:iCs w:val="1"/>
          <w:color w:val="auto"/>
        </w:rPr>
        <w:t>Newsweek, 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U.S. News</w:t>
      </w:r>
    </w:p>
    <w:p>
      <w:pPr>
        <w:spacing w:after="0" w:line="46" w:lineRule="exact"/>
        <w:rPr>
          <w:sz w:val="20"/>
          <w:szCs w:val="20"/>
          <w:color w:val="auto"/>
        </w:rPr>
      </w:pPr>
    </w:p>
    <w:p>
      <w:pPr>
        <w:ind w:right="160" w:firstLine="8"/>
        <w:spacing w:after="0" w:line="261" w:lineRule="auto"/>
        <w:tabs>
          <w:tab w:leader="none" w:pos="18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World Report</w:t>
      </w:r>
      <w:r>
        <w:rPr>
          <w:rFonts w:ascii="Arial" w:cs="Arial" w:eastAsia="Arial" w:hAnsi="Arial"/>
          <w:sz w:val="18"/>
          <w:szCs w:val="18"/>
          <w:color w:val="auto"/>
        </w:rPr>
        <w:t>). For each of the last five years,</w:t>
      </w:r>
      <w:r>
        <w:rPr>
          <w:rFonts w:ascii="Arial" w:cs="Arial" w:eastAsia="Arial" w:hAnsi="Arial"/>
          <w:sz w:val="18"/>
          <w:szCs w:val="18"/>
          <w:i w:val="1"/>
          <w:iCs w:val="1"/>
          <w:color w:val="auto"/>
        </w:rPr>
        <w:t xml:space="preserve"> Newsweek</w:t>
      </w:r>
      <w:r>
        <w:rPr>
          <w:rFonts w:ascii="Arial" w:cs="Arial" w:eastAsia="Arial" w:hAnsi="Arial"/>
          <w:sz w:val="18"/>
          <w:szCs w:val="18"/>
          <w:color w:val="auto"/>
        </w:rPr>
        <w:t>’s average weekly domestic circulation rate base has been 3,100,000 copies and its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weekly domestic circulation rate base of the three leading weekly news magazines has been 34.0%.</w:t>
      </w:r>
    </w:p>
    <w:p>
      <w:pPr>
        <w:spacing w:after="0" w:line="7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Newsweek </w:t>
      </w:r>
      <w:r>
        <w:rPr>
          <w:rFonts w:ascii="Arial" w:cs="Arial" w:eastAsia="Arial" w:hAnsi="Arial"/>
          <w:sz w:val="18"/>
          <w:szCs w:val="18"/>
          <w:color w:val="auto"/>
        </w:rPr>
        <w:t>is sold on newsstands and through subscription mail order sales derived from a number of sources, principally direct mail promotion. The basic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one-year subscription price is $41.08. Most subscriptions are sold at a discount from the basic price. In May 2001 </w:t>
      </w:r>
      <w:r>
        <w:rPr>
          <w:rFonts w:ascii="Arial" w:cs="Arial" w:eastAsia="Arial" w:hAnsi="Arial"/>
          <w:sz w:val="18"/>
          <w:szCs w:val="18"/>
          <w:i w:val="1"/>
          <w:iCs w:val="1"/>
          <w:color w:val="auto"/>
        </w:rPr>
        <w:t>Newsweek</w:t>
      </w:r>
      <w:r>
        <w:rPr>
          <w:rFonts w:ascii="Arial" w:cs="Arial" w:eastAsia="Arial" w:hAnsi="Arial"/>
          <w:sz w:val="18"/>
          <w:szCs w:val="18"/>
          <w:color w:val="auto"/>
        </w:rPr>
        <w:t>’s newsstand cover price was increased from $3.50 to $3.95 per copy.</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Newsweek</w:t>
      </w:r>
      <w:r>
        <w:rPr>
          <w:rFonts w:ascii="Arial" w:cs="Arial" w:eastAsia="Arial" w:hAnsi="Arial"/>
          <w:sz w:val="17"/>
          <w:szCs w:val="17"/>
          <w:color w:val="auto"/>
        </w:rPr>
        <w:t>’s published advertising rates are based on its average weekly circulation rate base and are competitive with those of the other weekly news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magazines. As is common in the magazine industry, advertising typically is sold at varying discounts from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’s published rates. Effective with the January 12, 2004 issue, </w:t>
      </w:r>
      <w:r>
        <w:rPr>
          <w:rFonts w:ascii="Arial" w:cs="Arial" w:eastAsia="Arial" w:hAnsi="Arial"/>
          <w:sz w:val="17"/>
          <w:szCs w:val="17"/>
          <w:i w:val="1"/>
          <w:iCs w:val="1"/>
          <w:color w:val="auto"/>
        </w:rPr>
        <w:t>Newsweek</w:t>
      </w:r>
      <w:r>
        <w:rPr>
          <w:rFonts w:ascii="Arial" w:cs="Arial" w:eastAsia="Arial" w:hAnsi="Arial"/>
          <w:sz w:val="17"/>
          <w:szCs w:val="17"/>
          <w:color w:val="auto"/>
        </w:rPr>
        <w:t>’s published national advertising rates for all categories of such advertising were increased by an average of approximately 4.5%. Beginning with the issue dated January 10, 2005, such rates were increased again, in this case by 5.0%.</w:t>
      </w:r>
    </w:p>
    <w:p>
      <w:pPr>
        <w:spacing w:after="0" w:line="6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Internationally,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is published in a Europe, Middle East and Africa edition; an Asia edition covering Japan, Korea and south Asia; and a Latin American edition; all of which are in the English language. Editorial copy solely of domestic interest is eliminated in the international editions and is replaced by other international, business or national coverage primarily of interest abroad. Newsweek estimates that the combined average weekly paid circulation for these English-language international editions of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in 2004 was approximately 575,000 copies.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Since 1984 a section of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articles has been included in </w:t>
      </w:r>
      <w:r>
        <w:rPr>
          <w:rFonts w:ascii="Arial" w:cs="Arial" w:eastAsia="Arial" w:hAnsi="Arial"/>
          <w:sz w:val="17"/>
          <w:szCs w:val="17"/>
          <w:i w:val="1"/>
          <w:iCs w:val="1"/>
          <w:color w:val="auto"/>
        </w:rPr>
        <w:t>The Bulletin,</w:t>
      </w:r>
      <w:r>
        <w:rPr>
          <w:rFonts w:ascii="Arial" w:cs="Arial" w:eastAsia="Arial" w:hAnsi="Arial"/>
          <w:sz w:val="17"/>
          <w:szCs w:val="17"/>
          <w:color w:val="auto"/>
        </w:rPr>
        <w:t xml:space="preserve"> an Australian weekly news magazine which also circulates in New Zealand. A Japanese-language edition of </w:t>
      </w:r>
      <w:r>
        <w:rPr>
          <w:rFonts w:ascii="Arial" w:cs="Arial" w:eastAsia="Arial" w:hAnsi="Arial"/>
          <w:sz w:val="17"/>
          <w:szCs w:val="17"/>
          <w:i w:val="1"/>
          <w:iCs w:val="1"/>
          <w:color w:val="auto"/>
        </w:rPr>
        <w:t>Newsweek, Newsweek Nihon Ban,</w:t>
      </w:r>
      <w:r>
        <w:rPr>
          <w:rFonts w:ascii="Arial" w:cs="Arial" w:eastAsia="Arial" w:hAnsi="Arial"/>
          <w:sz w:val="17"/>
          <w:szCs w:val="17"/>
          <w:color w:val="auto"/>
        </w:rPr>
        <w:t xml:space="preserve"> has been published in Tokyo since 1986 pursuant to an arrangement with a Japanese publishing company which translates editorial copy, sells advertising in Japan and prints and distributes the edition. </w:t>
      </w:r>
      <w:r>
        <w:rPr>
          <w:rFonts w:ascii="Arial" w:cs="Arial" w:eastAsia="Arial" w:hAnsi="Arial"/>
          <w:sz w:val="17"/>
          <w:szCs w:val="17"/>
          <w:i w:val="1"/>
          <w:iCs w:val="1"/>
          <w:color w:val="auto"/>
        </w:rPr>
        <w:t>Newsweek Hankuk Pan,</w:t>
      </w:r>
      <w:r>
        <w:rPr>
          <w:rFonts w:ascii="Arial" w:cs="Arial" w:eastAsia="Arial" w:hAnsi="Arial"/>
          <w:sz w:val="17"/>
          <w:szCs w:val="17"/>
          <w:color w:val="auto"/>
        </w:rPr>
        <w:t xml:space="preserve"> a Korean-language edition of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began publication in 1991 pursuant to a similar arrangement with a Korean publishing company. </w:t>
      </w:r>
      <w:r>
        <w:rPr>
          <w:rFonts w:ascii="Arial" w:cs="Arial" w:eastAsia="Arial" w:hAnsi="Arial"/>
          <w:sz w:val="17"/>
          <w:szCs w:val="17"/>
          <w:i w:val="1"/>
          <w:iCs w:val="1"/>
          <w:color w:val="auto"/>
        </w:rPr>
        <w:t>Newsweek en Español,</w:t>
      </w:r>
      <w:r>
        <w:rPr>
          <w:rFonts w:ascii="Arial" w:cs="Arial" w:eastAsia="Arial" w:hAnsi="Arial"/>
          <w:sz w:val="17"/>
          <w:szCs w:val="17"/>
          <w:color w:val="auto"/>
        </w:rPr>
        <w:t xml:space="preserve"> a Spanish-language edition of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which has been distributed in Latin America since 1996, is currently being published under an agreement with a Mexico-based company which translates editorial copy, prints and distributes the edition and jointly sells advertising with Newsweek. </w:t>
      </w:r>
      <w:r>
        <w:rPr>
          <w:rFonts w:ascii="Arial" w:cs="Arial" w:eastAsia="Arial" w:hAnsi="Arial"/>
          <w:sz w:val="17"/>
          <w:szCs w:val="17"/>
          <w:i w:val="1"/>
          <w:iCs w:val="1"/>
          <w:color w:val="auto"/>
        </w:rPr>
        <w:t>Newsweek Bil Logha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Al-Arabia, </w:t>
      </w:r>
      <w:r>
        <w:rPr>
          <w:rFonts w:ascii="Arial" w:cs="Arial" w:eastAsia="Arial" w:hAnsi="Arial"/>
          <w:sz w:val="17"/>
          <w:szCs w:val="17"/>
          <w:color w:val="auto"/>
        </w:rPr>
        <w:t>an Arabic-language edition of</w:t>
      </w:r>
      <w:r>
        <w:rPr>
          <w:rFonts w:ascii="Arial" w:cs="Arial" w:eastAsia="Arial" w:hAnsi="Arial"/>
          <w:sz w:val="17"/>
          <w:szCs w:val="17"/>
          <w:i w:val="1"/>
          <w:iCs w:val="1"/>
          <w:color w:val="auto"/>
        </w:rPr>
        <w:t xml:space="preserve"> Newsweek, </w:t>
      </w:r>
      <w:r>
        <w:rPr>
          <w:rFonts w:ascii="Arial" w:cs="Arial" w:eastAsia="Arial" w:hAnsi="Arial"/>
          <w:sz w:val="17"/>
          <w:szCs w:val="17"/>
          <w:color w:val="auto"/>
        </w:rPr>
        <w:t>began publication in 2000 under a similar arrangement with a Kuwaiti publishing company.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agreements with local subsidiaries of a German publishing company, </w:t>
      </w:r>
      <w:r>
        <w:rPr>
          <w:rFonts w:ascii="Arial" w:cs="Arial" w:eastAsia="Arial" w:hAnsi="Arial"/>
          <w:sz w:val="17"/>
          <w:szCs w:val="17"/>
          <w:i w:val="1"/>
          <w:iCs w:val="1"/>
          <w:color w:val="auto"/>
        </w:rPr>
        <w:t>Newsweek Polska,</w:t>
      </w:r>
      <w:r>
        <w:rPr>
          <w:rFonts w:ascii="Arial" w:cs="Arial" w:eastAsia="Arial" w:hAnsi="Arial"/>
          <w:sz w:val="17"/>
          <w:szCs w:val="17"/>
          <w:color w:val="auto"/>
        </w:rPr>
        <w:t xml:space="preserve"> a Polish-language newsweekly, began publication in 2001, and </w:t>
      </w:r>
      <w:r>
        <w:rPr>
          <w:rFonts w:ascii="Arial" w:cs="Arial" w:eastAsia="Arial" w:hAnsi="Arial"/>
          <w:sz w:val="17"/>
          <w:szCs w:val="17"/>
          <w:i w:val="1"/>
          <w:iCs w:val="1"/>
          <w:color w:val="auto"/>
        </w:rPr>
        <w:t xml:space="preserve">Russky Newsweek, </w:t>
      </w:r>
      <w:r>
        <w:rPr>
          <w:rFonts w:ascii="Arial" w:cs="Arial" w:eastAsia="Arial" w:hAnsi="Arial"/>
          <w:sz w:val="17"/>
          <w:szCs w:val="17"/>
          <w:color w:val="auto"/>
        </w:rPr>
        <w:t>a Russian-language newsweekly, began publication in June 2004. In addition to containing selected stories translated from</w:t>
      </w:r>
      <w:r>
        <w:rPr>
          <w:rFonts w:ascii="Arial" w:cs="Arial" w:eastAsia="Arial" w:hAnsi="Arial"/>
          <w:sz w:val="17"/>
          <w:szCs w:val="17"/>
          <w:i w:val="1"/>
          <w:iCs w:val="1"/>
          <w:color w:val="auto"/>
        </w:rPr>
        <w:t xml:space="preserve"> Newsweek</w:t>
      </w:r>
      <w:r>
        <w:rPr>
          <w:rFonts w:ascii="Arial" w:cs="Arial" w:eastAsia="Arial" w:hAnsi="Arial"/>
          <w:sz w:val="17"/>
          <w:szCs w:val="17"/>
          <w:color w:val="auto"/>
        </w:rPr>
        <w: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various U.S. and foreign editions, each of these magazines includes editorial content created by a staff of local reporters and editors. Under an agreement with a Hong Kong-based publisher, </w:t>
      </w:r>
      <w:r>
        <w:rPr>
          <w:rFonts w:ascii="Arial" w:cs="Arial" w:eastAsia="Arial" w:hAnsi="Arial"/>
          <w:sz w:val="17"/>
          <w:szCs w:val="17"/>
          <w:i w:val="1"/>
          <w:iCs w:val="1"/>
          <w:color w:val="auto"/>
        </w:rPr>
        <w:t>Newsweek Select,</w:t>
      </w:r>
      <w:r>
        <w:rPr>
          <w:rFonts w:ascii="Arial" w:cs="Arial" w:eastAsia="Arial" w:hAnsi="Arial"/>
          <w:sz w:val="17"/>
          <w:szCs w:val="17"/>
          <w:color w:val="auto"/>
        </w:rPr>
        <w:t xml:space="preserve"> a Chinese-language magazine based primarily on selected content translated from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’s U.S. and international editions, began distribution in Hong Kong during 2003 and expanded its distribution into mainland China during 2004. Newsweek estimates that the combined average weekly paid circulation of </w:t>
      </w:r>
      <w:r>
        <w:rPr>
          <w:rFonts w:ascii="Arial" w:cs="Arial" w:eastAsia="Arial" w:hAnsi="Arial"/>
          <w:sz w:val="17"/>
          <w:szCs w:val="17"/>
          <w:i w:val="1"/>
          <w:iCs w:val="1"/>
          <w:color w:val="auto"/>
        </w:rPr>
        <w:t>The Bulletin</w:t>
      </w:r>
      <w:r>
        <w:rPr>
          <w:rFonts w:ascii="Arial" w:cs="Arial" w:eastAsia="Arial" w:hAnsi="Arial"/>
          <w:sz w:val="17"/>
          <w:szCs w:val="17"/>
          <w:color w:val="auto"/>
        </w:rPr>
        <w:t xml:space="preserve"> insertions and the various foreign-language international editions of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was approximately 700,000 copies in 2004.</w:t>
      </w:r>
    </w:p>
    <w:p>
      <w:pPr>
        <w:spacing w:after="0" w:line="7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The online version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which includes stories from </w:t>
      </w:r>
      <w:r>
        <w:rPr>
          <w:rFonts w:ascii="Arial" w:cs="Arial" w:eastAsia="Arial" w:hAnsi="Arial"/>
          <w:sz w:val="16"/>
          <w:szCs w:val="16"/>
          <w:i w:val="1"/>
          <w:iCs w:val="1"/>
          <w:color w:val="auto"/>
        </w:rPr>
        <w:t>Newsweek</w:t>
      </w:r>
      <w:r>
        <w:rPr>
          <w:rFonts w:ascii="Arial" w:cs="Arial" w:eastAsia="Arial" w:hAnsi="Arial"/>
          <w:sz w:val="16"/>
          <w:szCs w:val="16"/>
          <w:color w:val="auto"/>
        </w:rPr>
        <w:t>’s print edition as well as other material, has been a co-branded feature on the MSNBC.com website since 2000. This feature is being produced by Washingtonpost.Newsweek Interactive Company, another subsidiary of the Company.</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Arthur Frommer’s Budget Travel </w:t>
      </w:r>
      <w:r>
        <w:rPr>
          <w:rFonts w:ascii="Arial" w:cs="Arial" w:eastAsia="Arial" w:hAnsi="Arial"/>
          <w:sz w:val="18"/>
          <w:szCs w:val="18"/>
          <w:color w:val="auto"/>
        </w:rPr>
        <w:t>magazine, another Newsweek publication, was published ten times during 2004 and had an average paid circulation of more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500,000 copies.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headquartered in New York City and has its own editorial staff.</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During recent years Congress has considered a range of proposals intended to restrict the marketing of tobacco products. The Company cannot now predict what actions may eventually be taken to limit or restrict tobacco advertising. However, such advertising accounts for less than 1% of Newsweek’s operating revenues and negligible revenues at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the Company’s other publications. Moreover, federal law has prohibited the carrying of advertisements for cigarettes and smokeless tobacco by commercial radio and television stations for many years. Thus the Company believes that any restrictions on tobacco advertising that may eventually be put into effect would not have a material adverse effect on Newsweek or on any of the Company’s other business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Tech Media</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division of Post-Newsweek Media, Inc. publishes controlled-circulation trade periodicals and produces trade shows and conferences for the government information technology industry.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80"/>
        <w:spacing w:after="0" w:line="291" w:lineRule="auto"/>
        <w:rPr>
          <w:sz w:val="20"/>
          <w:szCs w:val="20"/>
          <w:color w:val="auto"/>
        </w:rPr>
      </w:pPr>
      <w:r>
        <w:rPr>
          <w:rFonts w:ascii="Arial" w:cs="Arial" w:eastAsia="Arial" w:hAnsi="Arial"/>
          <w:sz w:val="16"/>
          <w:szCs w:val="16"/>
          <w:color w:val="auto"/>
        </w:rPr>
        <w:t xml:space="preserve">Specifically, PostNewsweek Tech Media publishes </w:t>
      </w:r>
      <w:r>
        <w:rPr>
          <w:rFonts w:ascii="Arial" w:cs="Arial" w:eastAsia="Arial" w:hAnsi="Arial"/>
          <w:sz w:val="16"/>
          <w:szCs w:val="16"/>
          <w:i w:val="1"/>
          <w:iCs w:val="1"/>
          <w:color w:val="auto"/>
        </w:rPr>
        <w:t>Washington Technology,</w:t>
      </w:r>
      <w:r>
        <w:rPr>
          <w:rFonts w:ascii="Arial" w:cs="Arial" w:eastAsia="Arial" w:hAnsi="Arial"/>
          <w:sz w:val="16"/>
          <w:szCs w:val="16"/>
          <w:color w:val="auto"/>
        </w:rPr>
        <w:t xml:space="preserve"> a twice-monthly news magazine for government information technology systems integrators; </w:t>
      </w:r>
      <w:r>
        <w:rPr>
          <w:rFonts w:ascii="Arial" w:cs="Arial" w:eastAsia="Arial" w:hAnsi="Arial"/>
          <w:sz w:val="16"/>
          <w:szCs w:val="16"/>
          <w:i w:val="1"/>
          <w:iCs w:val="1"/>
          <w:color w:val="auto"/>
        </w:rPr>
        <w:t>Government Computer News,</w:t>
      </w:r>
      <w:r>
        <w:rPr>
          <w:rFonts w:ascii="Arial" w:cs="Arial" w:eastAsia="Arial" w:hAnsi="Arial"/>
          <w:sz w:val="16"/>
          <w:szCs w:val="16"/>
          <w:color w:val="auto"/>
        </w:rPr>
        <w:t xml:space="preserve"> a news magazine published 30 times per year serving government managers who buy information technology products and services; and </w:t>
      </w:r>
      <w:r>
        <w:rPr>
          <w:rFonts w:ascii="Arial" w:cs="Arial" w:eastAsia="Arial" w:hAnsi="Arial"/>
          <w:sz w:val="16"/>
          <w:szCs w:val="16"/>
          <w:i w:val="1"/>
          <w:iCs w:val="1"/>
          <w:color w:val="auto"/>
        </w:rPr>
        <w:t>GCN Technology,</w:t>
      </w:r>
      <w:r>
        <w:rPr>
          <w:rFonts w:ascii="Arial" w:cs="Arial" w:eastAsia="Arial" w:hAnsi="Arial"/>
          <w:sz w:val="16"/>
          <w:szCs w:val="16"/>
          <w:color w:val="auto"/>
        </w:rPr>
        <w:t xml:space="preserve"> a news magazine published four times per year providing information technology product reviews and other buying information for government information technology managers. </w:t>
      </w:r>
      <w:r>
        <w:rPr>
          <w:rFonts w:ascii="Arial" w:cs="Arial" w:eastAsia="Arial" w:hAnsi="Arial"/>
          <w:sz w:val="16"/>
          <w:szCs w:val="16"/>
          <w:i w:val="1"/>
          <w:iCs w:val="1"/>
          <w:color w:val="auto"/>
        </w:rPr>
        <w:t>Washington Technology, Government Computer News</w:t>
      </w:r>
      <w:r>
        <w:rPr>
          <w:rFonts w:ascii="Arial" w:cs="Arial" w:eastAsia="Arial" w:hAnsi="Arial"/>
          <w:sz w:val="16"/>
          <w:szCs w:val="16"/>
          <w:color w:val="auto"/>
        </w:rPr>
        <w:t xml:space="preserve"> and </w:t>
      </w:r>
      <w:r>
        <w:rPr>
          <w:rFonts w:ascii="Arial" w:cs="Arial" w:eastAsia="Arial" w:hAnsi="Arial"/>
          <w:sz w:val="16"/>
          <w:szCs w:val="16"/>
          <w:i w:val="1"/>
          <w:iCs w:val="1"/>
          <w:color w:val="auto"/>
        </w:rPr>
        <w:t>GCN Technology</w:t>
      </w:r>
      <w:r>
        <w:rPr>
          <w:rFonts w:ascii="Arial" w:cs="Arial" w:eastAsia="Arial" w:hAnsi="Arial"/>
          <w:sz w:val="16"/>
          <w:szCs w:val="16"/>
          <w:color w:val="auto"/>
        </w:rPr>
        <w:t xml:space="preserve"> have circulations of about 40,000, 87,000 and 100,000 copies, respectively. This division also publishes the </w:t>
      </w:r>
      <w:r>
        <w:rPr>
          <w:rFonts w:ascii="Arial" w:cs="Arial" w:eastAsia="Arial" w:hAnsi="Arial"/>
          <w:sz w:val="16"/>
          <w:szCs w:val="16"/>
          <w:i w:val="1"/>
          <w:iCs w:val="1"/>
          <w:color w:val="auto"/>
        </w:rPr>
        <w:t>Federal Technology Almanac,</w:t>
      </w:r>
      <w:r>
        <w:rPr>
          <w:rFonts w:ascii="Arial" w:cs="Arial" w:eastAsia="Arial" w:hAnsi="Arial"/>
          <w:sz w:val="16"/>
          <w:szCs w:val="16"/>
          <w:color w:val="auto"/>
        </w:rPr>
        <w:t xml:space="preserve"> an annual reference guide for federal government information technology managers and private-sector information technology executives. In March 2005 PostNewsweek Tech Media plans to launch </w:t>
      </w:r>
      <w:r>
        <w:rPr>
          <w:rFonts w:ascii="Arial" w:cs="Arial" w:eastAsia="Arial" w:hAnsi="Arial"/>
          <w:sz w:val="16"/>
          <w:szCs w:val="16"/>
          <w:i w:val="1"/>
          <w:iCs w:val="1"/>
          <w:color w:val="auto"/>
        </w:rPr>
        <w:t>Government Leader</w:t>
      </w:r>
      <w:r>
        <w:rPr>
          <w:rFonts w:ascii="Arial" w:cs="Arial" w:eastAsia="Arial" w:hAnsi="Arial"/>
          <w:sz w:val="16"/>
          <w:szCs w:val="16"/>
          <w:color w:val="auto"/>
        </w:rPr>
        <w:t>, a quarterly publication that will focus on issues of interest to senior government executives.</w:t>
      </w:r>
    </w:p>
    <w:p>
      <w:pPr>
        <w:spacing w:after="0" w:line="5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PostNewsweek Tech Media also produces the </w:t>
      </w:r>
      <w:r>
        <w:rPr>
          <w:rFonts w:ascii="Arial" w:cs="Arial" w:eastAsia="Arial" w:hAnsi="Arial"/>
          <w:sz w:val="18"/>
          <w:szCs w:val="18"/>
          <w:i w:val="1"/>
          <w:iCs w:val="1"/>
          <w:color w:val="auto"/>
        </w:rPr>
        <w:t>FOSE</w:t>
      </w:r>
      <w:r>
        <w:rPr>
          <w:rFonts w:ascii="Arial" w:cs="Arial" w:eastAsia="Arial" w:hAnsi="Arial"/>
          <w:sz w:val="18"/>
          <w:szCs w:val="18"/>
          <w:color w:val="auto"/>
        </w:rPr>
        <w:t xml:space="preserve"> trade show, which is held each spring in Washington, D.C. for information technology decision makers in government and industry. This division also produces a number of smaller conferences and events, including awards dinners honoring leading individuals and companies in the government information technology community.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Activities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Bowater Mersey Paper Company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owns 49% of the common stock of Bowater Mersey Paper Company Limited, the majority interest in which is held by a subsidiary of Bowater Incorporated. Bowater Mersey owns and operates a newsprint mill near Halifax, Nova Scotia, and also owns extensive woodlands that provide part of the mill’s wood requirements. In 2004 Bowater Mersey produced about 275,000 tons* of newsprint.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BrassRing</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beneficially owns a 49.3% equity interest in BrassRing LLC, an Internet-based hiring management company. The other principal members of BrassRing are the Tribune Company with a 26.9% interest; Gannett Co., Inc. with a 12.4% interest; and the venture capital firm Accel Partners with a 10.5%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and Raw Materials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and</w:t>
      </w:r>
      <w:r>
        <w:rPr>
          <w:rFonts w:ascii="Arial" w:cs="Arial" w:eastAsia="Arial" w:hAnsi="Arial"/>
          <w:sz w:val="16"/>
          <w:szCs w:val="16"/>
          <w:i w:val="1"/>
          <w:iCs w:val="1"/>
          <w:color w:val="auto"/>
        </w:rPr>
        <w:t xml:space="preserve"> Express </w:t>
      </w:r>
      <w:r>
        <w:rPr>
          <w:rFonts w:ascii="Arial" w:cs="Arial" w:eastAsia="Arial" w:hAnsi="Arial"/>
          <w:sz w:val="16"/>
          <w:szCs w:val="16"/>
          <w:color w:val="auto"/>
        </w:rPr>
        <w:t>are produced at the printing plants of WP Company in Fairfax County, Virginia and Prince George’s County, Maryland.</w:t>
      </w:r>
      <w:r>
        <w:rPr>
          <w:rFonts w:ascii="Arial" w:cs="Arial" w:eastAsia="Arial" w:hAnsi="Arial"/>
          <w:sz w:val="16"/>
          <w:szCs w:val="16"/>
          <w:i w:val="1"/>
          <w:iCs w:val="1"/>
          <w:color w:val="auto"/>
        </w:rPr>
        <w:t xml:space="preserve"> The Herald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Enterprise Newspapers </w:t>
      </w:r>
      <w:r>
        <w:rPr>
          <w:rFonts w:ascii="Arial" w:cs="Arial" w:eastAsia="Arial" w:hAnsi="Arial"/>
          <w:sz w:val="16"/>
          <w:szCs w:val="16"/>
          <w:color w:val="auto"/>
        </w:rPr>
        <w:t>are produced at The Daily Herald Company’s plant in Everett, Washington, while</w:t>
      </w:r>
      <w:r>
        <w:rPr>
          <w:rFonts w:ascii="Arial" w:cs="Arial" w:eastAsia="Arial" w:hAnsi="Arial"/>
          <w:sz w:val="16"/>
          <w:szCs w:val="16"/>
          <w:i w:val="1"/>
          <w:iCs w:val="1"/>
          <w:color w:val="auto"/>
        </w:rPr>
        <w:t xml:space="preserve"> The Gazette Newspapers, Southern Maryland Newspapers, </w:t>
      </w:r>
      <w:r>
        <w:rPr>
          <w:rFonts w:ascii="Arial" w:cs="Arial" w:eastAsia="Arial" w:hAnsi="Arial"/>
          <w:sz w:val="16"/>
          <w:szCs w:val="16"/>
          <w:color w:val="auto"/>
        </w:rPr>
        <w:t>and</w:t>
      </w:r>
      <w:r>
        <w:rPr>
          <w:rFonts w:ascii="Arial" w:cs="Arial" w:eastAsia="Arial" w:hAnsi="Arial"/>
          <w:sz w:val="16"/>
          <w:szCs w:val="16"/>
          <w:i w:val="1"/>
          <w:iCs w:val="1"/>
          <w:color w:val="auto"/>
        </w:rPr>
        <w:t xml:space="preserve"> El Tiempo Latino </w:t>
      </w:r>
      <w:r>
        <w:rPr>
          <w:rFonts w:ascii="Arial" w:cs="Arial" w:eastAsia="Arial" w:hAnsi="Arial"/>
          <w:sz w:val="16"/>
          <w:szCs w:val="16"/>
          <w:color w:val="auto"/>
        </w:rPr>
        <w:t>are all printed at the commercial printing facilities owned by Post-Newsweek Media, Inc. Greater Washington</w:t>
      </w:r>
      <w:r>
        <w:rPr>
          <w:rFonts w:ascii="Arial" w:cs="Arial" w:eastAsia="Arial" w:hAnsi="Arial"/>
          <w:sz w:val="16"/>
          <w:szCs w:val="16"/>
          <w:i w:val="1"/>
          <w:iCs w:val="1"/>
          <w:color w:val="auto"/>
        </w:rPr>
        <w:t xml:space="preserve"> </w:t>
      </w:r>
      <w:r>
        <w:rPr>
          <w:rFonts w:ascii="Arial" w:cs="Arial" w:eastAsia="Arial" w:hAnsi="Arial"/>
          <w:sz w:val="16"/>
          <w:szCs w:val="16"/>
          <w:color w:val="auto"/>
        </w:rPr>
        <w:t>Publishing’s periodicals are produced by independent contract printers with the exception of one periodical that is printed at one of the commercial printing facilities owned by Post-Newsweek Media, Inc. All PostNewsweek Tech Media publications are produced by independent contract printers.</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’s domestic edition is produced by three independent contract printers at six separate plants in the United States; advertising inserts and photo-offset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films for the domestic edition are also produced by independent contractors.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are printed in England, Singapore, Switzerland, the Netherlands, South Africa and Hollywood, Florida; insertions for </w:t>
      </w:r>
      <w:r>
        <w:rPr>
          <w:rFonts w:ascii="Arial" w:cs="Arial" w:eastAsia="Arial" w:hAnsi="Arial"/>
          <w:sz w:val="18"/>
          <w:szCs w:val="18"/>
          <w:i w:val="1"/>
          <w:iCs w:val="1"/>
          <w:color w:val="auto"/>
        </w:rPr>
        <w:t>The Bulletin</w:t>
      </w:r>
      <w:r>
        <w:rPr>
          <w:rFonts w:ascii="Arial" w:cs="Arial" w:eastAsia="Arial" w:hAnsi="Arial"/>
          <w:sz w:val="18"/>
          <w:szCs w:val="18"/>
          <w:color w:val="auto"/>
        </w:rPr>
        <w:t xml:space="preserve"> are printed in Australia. Since 1997 Newsweek and a subsidiary of Time Warner have used a jointly owned company based in England to provide production and distribution services for the Europe, Middle East and Africa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and the Europe edition of </w:t>
      </w:r>
      <w:r>
        <w:rPr>
          <w:rFonts w:ascii="Arial" w:cs="Arial" w:eastAsia="Arial" w:hAnsi="Arial"/>
          <w:sz w:val="18"/>
          <w:szCs w:val="18"/>
          <w:i w:val="1"/>
          <w:iCs w:val="1"/>
          <w:color w:val="auto"/>
        </w:rPr>
        <w:t>Time</w:t>
      </w:r>
      <w:r>
        <w:rPr>
          <w:rFonts w:ascii="Arial" w:cs="Arial" w:eastAsia="Arial" w:hAnsi="Arial"/>
          <w:sz w:val="18"/>
          <w:szCs w:val="18"/>
          <w:color w:val="auto"/>
        </w:rPr>
        <w:t xml:space="preserve">. In 2002 this jointly owned company began providing certain production and distribution services for the Asian editions of these magazines.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produced by one of the independent contract printers that also prints </w:t>
      </w:r>
      <w:r>
        <w:rPr>
          <w:rFonts w:ascii="Arial" w:cs="Arial" w:eastAsia="Arial" w:hAnsi="Arial"/>
          <w:sz w:val="18"/>
          <w:szCs w:val="18"/>
          <w:i w:val="1"/>
          <w:iCs w:val="1"/>
          <w:color w:val="auto"/>
        </w:rPr>
        <w:t>Newsweek</w:t>
      </w:r>
      <w:r>
        <w:rPr>
          <w:rFonts w:ascii="Arial" w:cs="Arial" w:eastAsia="Arial" w:hAnsi="Arial"/>
          <w:sz w:val="18"/>
          <w:szCs w:val="18"/>
          <w:color w:val="auto"/>
        </w:rPr>
        <w:t>’s domestic edition.</w:t>
      </w:r>
    </w:p>
    <w:p>
      <w:pPr>
        <w:spacing w:after="0" w:line="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2004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and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consumed about 190,000 tons and 3,000 tons of newsprint, respectively. Such newsprint was purchased from a number of suppliers, including Bowater Incorporated, which supplied approximately 37% of the 2004 newsprint requirements for these newspapers. Although for many years some of the newsprint purchased for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 from Bowater Incorporated typically was provided by Bowater Mersey Paper Company Limited, since 1999 none of the newsprint consumed by either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 or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has come from that source.</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announced price of newsprint (excluding discounts) was approximately $750 per ton throughout 2004. Discounts from the announced price of newsprint can be substantial, and prevailing discounts decreased throughout the year.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0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8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references in this report to newsprint tonnage and prices refer to short tons (2,000 pounds) and not to metric tons (2,204.6 pounds), which are often used in newsprint price quotations.</w:t>
      </w:r>
    </w:p>
    <w:p>
      <w:pPr>
        <w:spacing w:after="0" w:line="200" w:lineRule="exact"/>
        <w:rPr>
          <w:sz w:val="20"/>
          <w:szCs w:val="20"/>
          <w:color w:val="auto"/>
        </w:rPr>
      </w:pPr>
    </w:p>
    <w:p>
      <w:pPr>
        <w:spacing w:after="0" w:line="351"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320"/>
        <w:spacing w:after="0" w:line="312" w:lineRule="auto"/>
        <w:rPr>
          <w:sz w:val="20"/>
          <w:szCs w:val="20"/>
          <w:color w:val="auto"/>
        </w:rPr>
      </w:pPr>
      <w:r>
        <w:rPr>
          <w:rFonts w:ascii="Arial" w:cs="Arial" w:eastAsia="Arial" w:hAnsi="Arial"/>
          <w:sz w:val="16"/>
          <w:szCs w:val="16"/>
          <w:color w:val="auto"/>
        </w:rPr>
        <w:t xml:space="preserve">Company believes adequate supplies of newsprint are available to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and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through contracts with various suppliers. More than 90% of the newsprint used by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and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includes recycled content. The Company owns 80% of the stock of Capitol Fiber Inc., which handles and sells to recycling industries old newspapers, paper and other recyclable materials collected in Washington, D.C., Maryland and northern Virginia.</w:t>
      </w:r>
    </w:p>
    <w:p>
      <w:pPr>
        <w:spacing w:after="0" w:line="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2004 the operations of The Daily Herald Company and Post-Newsweek Media, Inc. consumed approximately 6,900 and 23,300 tons of newsprint, respectively, which were obtained in each case from various suppliers. Approximately 85% of the newsprint used by The Daily Herald Company and 65% of the newsprint used by Post-Newsweek Media, Inc. includes recycled content.</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consumed about 31,000 tons of paper in 2004, the bulk of which was purchased from six major suppliers. The current cost of body paper (the principal paper component of the magazine) is approximately $940 per ton.</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Over 90% of the aggregate domestic circulation of both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w:t>
      </w:r>
      <w:r>
        <w:rPr>
          <w:rFonts w:ascii="Arial" w:cs="Arial" w:eastAsia="Arial" w:hAnsi="Arial"/>
          <w:sz w:val="16"/>
          <w:szCs w:val="16"/>
          <w:i w:val="1"/>
          <w:iCs w:val="1"/>
          <w:color w:val="auto"/>
        </w:rPr>
        <w:t>Budget Travel</w:t>
      </w:r>
      <w:r>
        <w:rPr>
          <w:rFonts w:ascii="Arial" w:cs="Arial" w:eastAsia="Arial" w:hAnsi="Arial"/>
          <w:sz w:val="16"/>
          <w:szCs w:val="16"/>
          <w:color w:val="auto"/>
        </w:rPr>
        <w:t xml:space="preserve"> is delivered by periodical (formerly second-class) mail; most subscriptions for such publications are solicited by either first-class or standard A (formerly third-class) mail; and all PostNewsweek Tech Media publications are delivered by periodical mail. Thus, substantial increases in postal rates for these classes of mail could have a significant negative impact on the operating income of these business units. On the other hand, since advertising distributed by standard A mail competes to some degree with newspaper advertising, the Company believes increases in standard A rates could have a positive impact on the advertising revenues of </w:t>
      </w:r>
      <w:r>
        <w:rPr>
          <w:rFonts w:ascii="Arial" w:cs="Arial" w:eastAsia="Arial" w:hAnsi="Arial"/>
          <w:sz w:val="16"/>
          <w:szCs w:val="16"/>
          <w:i w:val="1"/>
          <w:iCs w:val="1"/>
          <w:color w:val="auto"/>
        </w:rPr>
        <w:t>The Washington Post, Express, The Herald,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Gazette Newspapers, Southern Maryland Newspapers </w:t>
      </w:r>
      <w:r>
        <w:rPr>
          <w:rFonts w:ascii="Arial" w:cs="Arial" w:eastAsia="Arial" w:hAnsi="Arial"/>
          <w:sz w:val="16"/>
          <w:szCs w:val="16"/>
          <w:color w:val="auto"/>
        </w:rPr>
        <w:t>and</w:t>
      </w:r>
      <w:r>
        <w:rPr>
          <w:rFonts w:ascii="Arial" w:cs="Arial" w:eastAsia="Arial" w:hAnsi="Arial"/>
          <w:sz w:val="16"/>
          <w:szCs w:val="16"/>
          <w:i w:val="1"/>
          <w:iCs w:val="1"/>
          <w:color w:val="auto"/>
        </w:rPr>
        <w:t xml:space="preserve"> El Tiempo Latino </w:t>
      </w:r>
      <w:r>
        <w:rPr>
          <w:rFonts w:ascii="Arial" w:cs="Arial" w:eastAsia="Arial" w:hAnsi="Arial"/>
          <w:sz w:val="16"/>
          <w:szCs w:val="16"/>
          <w:color w:val="auto"/>
        </w:rPr>
        <w:t>although the Company is unable to quantify the amount of such impact.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competes in the Washington, D.C. metropolitan area with</w:t>
      </w:r>
      <w:r>
        <w:rPr>
          <w:rFonts w:ascii="Arial" w:cs="Arial" w:eastAsia="Arial" w:hAnsi="Arial"/>
          <w:sz w:val="16"/>
          <w:szCs w:val="16"/>
          <w:i w:val="1"/>
          <w:iCs w:val="1"/>
          <w:color w:val="auto"/>
        </w:rPr>
        <w:t xml:space="preserve"> The Washington Times, </w:t>
      </w:r>
      <w:r>
        <w:rPr>
          <w:rFonts w:ascii="Arial" w:cs="Arial" w:eastAsia="Arial" w:hAnsi="Arial"/>
          <w:sz w:val="16"/>
          <w:szCs w:val="16"/>
          <w:color w:val="auto"/>
        </w:rPr>
        <w:t>a newspaper which has published weekday editions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since 1982 and Saturday and Sunday editions since 1991.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also encounters competition in varying degrees from newspapers published in suburban and outlying areas, other nationally circulated newspapers, and from television, radio, magazines and other advertising media, including direct mail advertising.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similarly competes with various other advertising media in its service area, including both daily and weekly free-distribution newspapers.</w:t>
      </w:r>
    </w:p>
    <w:p>
      <w:pPr>
        <w:spacing w:after="0" w:line="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Washingtonpost.Newsweek Interactive faces competition from many other Internet services, particularly services that feature national and international news, as well as from alternative methods of delivering news and information. In addition, other Internet-based services, including search engines, are carrying increasing amounts of advertising, and such services could also adversely affect the Company’s print publications and television broadcasting operations, all of which rely on advertising for the majority of their revenues. Several companies are offering online services containing information and advertising tailored for specific metropolitan areas, including the Washington, D.C. metropolitan area. For example, America Online (a unit of Time Warner) produces a Washington, D.C. city guide which is part of AOL’s nationwide network of local online sites. National online classified advertising is becoming a particularly crowded field, with competitors such as Yahoo! and eBay aggregating large volumes of content into a national classified database covering a broad range of product lines. Other competitors are focusing on vertical niches in specific content areas: autos.msn.com (which is majority owned by Microsoft), AutoTrader.com and Autobytel.com, for example, aggregate national car listings; Realtor.com aggregates national real estate listings; while Monster.com, HotJobs.Yahoo.com (which is owned by Yahoo!) and CareerBuilder.com (which is jointly owned by Gannett, Knight-Ridder and Tribune Co.) aggregate employment listings. </w:t>
      </w:r>
      <w:r>
        <w:rPr>
          <w:rFonts w:ascii="Arial" w:cs="Arial" w:eastAsia="Arial" w:hAnsi="Arial"/>
          <w:sz w:val="16"/>
          <w:szCs w:val="16"/>
          <w:i w:val="1"/>
          <w:iCs w:val="1"/>
          <w:color w:val="auto"/>
        </w:rPr>
        <w:t>Slate</w:t>
      </w:r>
      <w:r>
        <w:rPr>
          <w:rFonts w:ascii="Arial" w:cs="Arial" w:eastAsia="Arial" w:hAnsi="Arial"/>
          <w:sz w:val="16"/>
          <w:szCs w:val="16"/>
          <w:color w:val="auto"/>
        </w:rPr>
        <w:t xml:space="preserve"> competes for readers with many other political and lifestyle publications, both online and in print, and competes for advertising revenue with those publications as well as with a wide variety of other print and online publications and other forms of advertising.</w:t>
      </w:r>
    </w:p>
    <w:p>
      <w:pPr>
        <w:spacing w:after="0" w:line="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circulates principally in Snohomish County, Washington; its chief competitors are the</w:t>
      </w:r>
      <w:r>
        <w:rPr>
          <w:rFonts w:ascii="Arial" w:cs="Arial" w:eastAsia="Arial" w:hAnsi="Arial"/>
          <w:sz w:val="18"/>
          <w:szCs w:val="18"/>
          <w:i w:val="1"/>
          <w:iCs w:val="1"/>
          <w:color w:val="auto"/>
        </w:rPr>
        <w:t xml:space="preserve"> Seattle Times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Seattle Post-Intelligencer, </w:t>
      </w:r>
      <w:r>
        <w:rPr>
          <w:rFonts w:ascii="Arial" w:cs="Arial" w:eastAsia="Arial" w:hAnsi="Arial"/>
          <w:sz w:val="18"/>
          <w:szCs w:val="18"/>
          <w:color w:val="auto"/>
        </w:rPr>
        <w:t>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are distributed in south Snohomish and north King Counties where their principal competitors are the </w:t>
      </w:r>
      <w:r>
        <w:rPr>
          <w:rFonts w:ascii="Arial" w:cs="Arial" w:eastAsia="Arial" w:hAnsi="Arial"/>
          <w:sz w:val="18"/>
          <w:szCs w:val="18"/>
          <w:i w:val="1"/>
          <w:iCs w:val="1"/>
          <w:color w:val="auto"/>
        </w:rPr>
        <w:t>Seattle Times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Journal Newspapers,</w:t>
      </w:r>
      <w:r>
        <w:rPr>
          <w:rFonts w:ascii="Arial" w:cs="Arial" w:eastAsia="Arial" w:hAnsi="Arial"/>
          <w:sz w:val="18"/>
          <w:szCs w:val="18"/>
          <w:color w:val="auto"/>
        </w:rPr>
        <w:t xml:space="preserve"> a group of weekly controlled-circulation newspapers. Numerous other weekly and semi-weekly newspapers and shoppers are distributed in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’s and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principal circulation areas.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right="60"/>
        <w:spacing w:after="0" w:line="271" w:lineRule="auto"/>
        <w:rPr>
          <w:sz w:val="20"/>
          <w:szCs w:val="20"/>
          <w:color w:val="auto"/>
        </w:rPr>
      </w:pPr>
      <w:r>
        <w:rPr>
          <w:rFonts w:ascii="Arial" w:cs="Arial" w:eastAsia="Arial" w:hAnsi="Arial"/>
          <w:sz w:val="17"/>
          <w:szCs w:val="17"/>
          <w:color w:val="auto"/>
        </w:rPr>
        <w:t xml:space="preserve">The circulation of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is limited to Montgomery, Prince George’s and Frederick Counties and parts of Carroll County, Maryland.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Gazette Newspapers </w:t>
      </w:r>
      <w:r>
        <w:rPr>
          <w:rFonts w:ascii="Arial" w:cs="Arial" w:eastAsia="Arial" w:hAnsi="Arial"/>
          <w:sz w:val="17"/>
          <w:szCs w:val="17"/>
          <w:color w:val="auto"/>
        </w:rPr>
        <w:t>compete with many other advertising vehicles available in their service areas, including</w:t>
      </w:r>
      <w:r>
        <w:rPr>
          <w:rFonts w:ascii="Arial" w:cs="Arial" w:eastAsia="Arial" w:hAnsi="Arial"/>
          <w:sz w:val="17"/>
          <w:szCs w:val="17"/>
          <w:i w:val="1"/>
          <w:iCs w:val="1"/>
          <w:color w:val="auto"/>
        </w:rPr>
        <w:t xml:space="preserve"> The Potomac </w:t>
      </w:r>
      <w:r>
        <w:rPr>
          <w:rFonts w:ascii="Arial" w:cs="Arial" w:eastAsia="Arial" w:hAnsi="Arial"/>
          <w:sz w:val="17"/>
          <w:szCs w:val="17"/>
          <w:color w:val="auto"/>
        </w:rPr>
        <w:t>and</w:t>
      </w:r>
      <w:r>
        <w:rPr>
          <w:rFonts w:ascii="Arial" w:cs="Arial" w:eastAsia="Arial" w:hAnsi="Arial"/>
          <w:sz w:val="17"/>
          <w:szCs w:val="17"/>
          <w:i w:val="1"/>
          <w:iCs w:val="1"/>
          <w:color w:val="auto"/>
        </w:rPr>
        <w:t xml:space="preserve"> Bethesda/Chevy Chase Almanacs, The Western Montgomery Bulletin, The Bowie Blade-News, The West County News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Laurel Leader, </w:t>
      </w:r>
      <w:r>
        <w:rPr>
          <w:rFonts w:ascii="Arial" w:cs="Arial" w:eastAsia="Arial" w:hAnsi="Arial"/>
          <w:sz w:val="17"/>
          <w:szCs w:val="17"/>
          <w:color w:val="auto"/>
        </w:rPr>
        <w:t>weekly controlled-circulation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community newspapers, </w:t>
      </w:r>
      <w:r>
        <w:rPr>
          <w:rFonts w:ascii="Arial" w:cs="Arial" w:eastAsia="Arial" w:hAnsi="Arial"/>
          <w:sz w:val="17"/>
          <w:szCs w:val="17"/>
          <w:i w:val="1"/>
          <w:iCs w:val="1"/>
          <w:color w:val="auto"/>
        </w:rPr>
        <w:t>The Montgomery Sentinel,</w:t>
      </w:r>
      <w:r>
        <w:rPr>
          <w:rFonts w:ascii="Arial" w:cs="Arial" w:eastAsia="Arial" w:hAnsi="Arial"/>
          <w:sz w:val="17"/>
          <w:szCs w:val="17"/>
          <w:color w:val="auto"/>
        </w:rPr>
        <w:t xml:space="preserve"> a weekly paid-circulation community newspaper, </w:t>
      </w:r>
      <w:r>
        <w:rPr>
          <w:rFonts w:ascii="Arial" w:cs="Arial" w:eastAsia="Arial" w:hAnsi="Arial"/>
          <w:sz w:val="17"/>
          <w:szCs w:val="17"/>
          <w:i w:val="1"/>
          <w:iCs w:val="1"/>
          <w:color w:val="auto"/>
        </w:rPr>
        <w:t>The Prince George’s Sentinel,</w:t>
      </w:r>
      <w:r>
        <w:rPr>
          <w:rFonts w:ascii="Arial" w:cs="Arial" w:eastAsia="Arial" w:hAnsi="Arial"/>
          <w:sz w:val="17"/>
          <w:szCs w:val="17"/>
          <w:color w:val="auto"/>
        </w:rPr>
        <w:t xml:space="preserve"> a weekly controlled-circulation community newspaper (which also has a weekly paid-circulation edition), and </w:t>
      </w:r>
      <w:r>
        <w:rPr>
          <w:rFonts w:ascii="Arial" w:cs="Arial" w:eastAsia="Arial" w:hAnsi="Arial"/>
          <w:sz w:val="17"/>
          <w:szCs w:val="17"/>
          <w:i w:val="1"/>
          <w:iCs w:val="1"/>
          <w:color w:val="auto"/>
        </w:rPr>
        <w:t>The Frederick News-Post</w:t>
      </w:r>
      <w:r>
        <w:rPr>
          <w:rFonts w:ascii="Arial" w:cs="Arial" w:eastAsia="Arial" w:hAnsi="Arial"/>
          <w:sz w:val="17"/>
          <w:szCs w:val="17"/>
          <w:color w:val="auto"/>
        </w:rPr>
        <w:t xml:space="preserve"> and </w:t>
      </w:r>
      <w:r>
        <w:rPr>
          <w:rFonts w:ascii="Arial" w:cs="Arial" w:eastAsia="Arial" w:hAnsi="Arial"/>
          <w:sz w:val="17"/>
          <w:szCs w:val="17"/>
          <w:i w:val="1"/>
          <w:iCs w:val="1"/>
          <w:color w:val="auto"/>
        </w:rPr>
        <w:t>Carroll County Times,</w:t>
      </w:r>
      <w:r>
        <w:rPr>
          <w:rFonts w:ascii="Arial" w:cs="Arial" w:eastAsia="Arial" w:hAnsi="Arial"/>
          <w:sz w:val="17"/>
          <w:szCs w:val="17"/>
          <w:color w:val="auto"/>
        </w:rPr>
        <w:t xml:space="preserve"> daily paid-circulation community newspapers. The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 xml:space="preserve"> circulate in southern Prince George’s County and in Charles, Calvert and St. Mary’s Counties, Maryland, where they also compete with many other advertising vehicles available in their service areas, including the </w:t>
      </w:r>
      <w:r>
        <w:rPr>
          <w:rFonts w:ascii="Arial" w:cs="Arial" w:eastAsia="Arial" w:hAnsi="Arial"/>
          <w:sz w:val="17"/>
          <w:szCs w:val="17"/>
          <w:i w:val="1"/>
          <w:iCs w:val="1"/>
          <w:color w:val="auto"/>
        </w:rPr>
        <w:t>Calvert County Independent</w:t>
      </w:r>
      <w:r>
        <w:rPr>
          <w:rFonts w:ascii="Arial" w:cs="Arial" w:eastAsia="Arial" w:hAnsi="Arial"/>
          <w:sz w:val="17"/>
          <w:szCs w:val="17"/>
          <w:color w:val="auto"/>
        </w:rPr>
        <w:t xml:space="preserve"> and </w:t>
      </w:r>
      <w:r>
        <w:rPr>
          <w:rFonts w:ascii="Arial" w:cs="Arial" w:eastAsia="Arial" w:hAnsi="Arial"/>
          <w:sz w:val="17"/>
          <w:szCs w:val="17"/>
          <w:i w:val="1"/>
          <w:iCs w:val="1"/>
          <w:color w:val="auto"/>
        </w:rPr>
        <w:t>St. Mary’s Today,</w:t>
      </w:r>
      <w:r>
        <w:rPr>
          <w:rFonts w:ascii="Arial" w:cs="Arial" w:eastAsia="Arial" w:hAnsi="Arial"/>
          <w:sz w:val="17"/>
          <w:szCs w:val="17"/>
          <w:color w:val="auto"/>
        </w:rPr>
        <w:t xml:space="preserve"> weekly paid-circulation community newspapers.</w:t>
      </w:r>
    </w:p>
    <w:p>
      <w:pPr>
        <w:spacing w:after="0" w:line="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In October 2004 Clarity Media Group, a company associated with Denver businessman and billionaire Philip Anschutz, bought the </w:t>
      </w:r>
      <w:r>
        <w:rPr>
          <w:rFonts w:ascii="Arial" w:cs="Arial" w:eastAsia="Arial" w:hAnsi="Arial"/>
          <w:sz w:val="16"/>
          <w:szCs w:val="16"/>
          <w:i w:val="1"/>
          <w:iCs w:val="1"/>
          <w:color w:val="auto"/>
        </w:rPr>
        <w:t>The Montgomery, Prince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George’s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Northern Virginia Journals, </w:t>
      </w:r>
      <w:r>
        <w:rPr>
          <w:rFonts w:ascii="Arial" w:cs="Arial" w:eastAsia="Arial" w:hAnsi="Arial"/>
          <w:sz w:val="16"/>
          <w:szCs w:val="16"/>
          <w:color w:val="auto"/>
        </w:rPr>
        <w:t>three community newspapers with a combination of paid and free circulation that had been published in suburban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Washington, D.C. for many years by a local company. In early February 2005, Clarity Media Group relaunched </w:t>
      </w:r>
      <w:r>
        <w:rPr>
          <w:rFonts w:ascii="Arial" w:cs="Arial" w:eastAsia="Arial" w:hAnsi="Arial"/>
          <w:sz w:val="16"/>
          <w:szCs w:val="16"/>
          <w:i w:val="1"/>
          <w:iCs w:val="1"/>
          <w:color w:val="auto"/>
        </w:rPr>
        <w:t>The Journal</w:t>
      </w:r>
      <w:r>
        <w:rPr>
          <w:rFonts w:ascii="Arial" w:cs="Arial" w:eastAsia="Arial" w:hAnsi="Arial"/>
          <w:sz w:val="16"/>
          <w:szCs w:val="16"/>
          <w:color w:val="auto"/>
        </w:rPr>
        <w:t xml:space="preserve"> newspapers as </w:t>
      </w:r>
      <w:r>
        <w:rPr>
          <w:rFonts w:ascii="Arial" w:cs="Arial" w:eastAsia="Arial" w:hAnsi="Arial"/>
          <w:sz w:val="16"/>
          <w:szCs w:val="16"/>
          <w:i w:val="1"/>
          <w:iCs w:val="1"/>
          <w:color w:val="auto"/>
        </w:rPr>
        <w:t>The Examiner,</w:t>
      </w:r>
      <w:r>
        <w:rPr>
          <w:rFonts w:ascii="Arial" w:cs="Arial" w:eastAsia="Arial" w:hAnsi="Arial"/>
          <w:sz w:val="16"/>
          <w:szCs w:val="16"/>
          <w:color w:val="auto"/>
        </w:rPr>
        <w:t xml:space="preserve"> a free newspaper which is being published six days a week in northern Virginia, suburban Maryland and Washington, D.C. zoned editions, each of which contains national and international as well as local news. The Company believes the three editions of </w:t>
      </w:r>
      <w:r>
        <w:rPr>
          <w:rFonts w:ascii="Arial" w:cs="Arial" w:eastAsia="Arial" w:hAnsi="Arial"/>
          <w:sz w:val="16"/>
          <w:szCs w:val="16"/>
          <w:i w:val="1"/>
          <w:iCs w:val="1"/>
          <w:color w:val="auto"/>
        </w:rPr>
        <w:t>The Examiner</w:t>
      </w:r>
      <w:r>
        <w:rPr>
          <w:rFonts w:ascii="Arial" w:cs="Arial" w:eastAsia="Arial" w:hAnsi="Arial"/>
          <w:sz w:val="16"/>
          <w:szCs w:val="16"/>
          <w:color w:val="auto"/>
        </w:rPr>
        <w:t xml:space="preserve"> are currently being distributed primarily by zip-code targeted home delivery in their respective service areas. </w:t>
      </w:r>
      <w:r>
        <w:rPr>
          <w:rFonts w:ascii="Arial" w:cs="Arial" w:eastAsia="Arial" w:hAnsi="Arial"/>
          <w:sz w:val="16"/>
          <w:szCs w:val="16"/>
          <w:i w:val="1"/>
          <w:iCs w:val="1"/>
          <w:color w:val="auto"/>
        </w:rPr>
        <w:t>The Examiner</w:t>
      </w:r>
      <w:r>
        <w:rPr>
          <w:rFonts w:ascii="Arial" w:cs="Arial" w:eastAsia="Arial" w:hAnsi="Arial"/>
          <w:sz w:val="16"/>
          <w:szCs w:val="16"/>
          <w:color w:val="auto"/>
        </w:rPr>
        <w:t xml:space="preserve"> will compete in varying degrees with </w:t>
      </w:r>
      <w:r>
        <w:rPr>
          <w:rFonts w:ascii="Arial" w:cs="Arial" w:eastAsia="Arial" w:hAnsi="Arial"/>
          <w:sz w:val="16"/>
          <w:szCs w:val="16"/>
          <w:i w:val="1"/>
          <w:iCs w:val="1"/>
          <w:color w:val="auto"/>
        </w:rPr>
        <w:t>The Gazette Newspapers, Express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although the Company is unable to predict how significant a competitive factor </w:t>
      </w:r>
      <w:r>
        <w:rPr>
          <w:rFonts w:ascii="Arial" w:cs="Arial" w:eastAsia="Arial" w:hAnsi="Arial"/>
          <w:sz w:val="16"/>
          <w:szCs w:val="16"/>
          <w:i w:val="1"/>
          <w:iCs w:val="1"/>
          <w:color w:val="auto"/>
        </w:rPr>
        <w:t>The Examiner</w:t>
      </w:r>
      <w:r>
        <w:rPr>
          <w:rFonts w:ascii="Arial" w:cs="Arial" w:eastAsia="Arial" w:hAnsi="Arial"/>
          <w:sz w:val="16"/>
          <w:szCs w:val="16"/>
          <w:color w:val="auto"/>
        </w:rPr>
        <w:t xml:space="preserve"> will ultimately prove to be.</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advertising periodicals published by Greater Washington Publishing compete both with many other forms of advertising available in their distribution area as well as with various other free-circulation advertising periodicals.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El Tiempo Latino </w:t>
      </w:r>
      <w:r>
        <w:rPr>
          <w:rFonts w:ascii="Arial" w:cs="Arial" w:eastAsia="Arial" w:hAnsi="Arial"/>
          <w:sz w:val="18"/>
          <w:szCs w:val="18"/>
          <w:color w:val="auto"/>
        </w:rPr>
        <w:t>competes with other Spanish-language advertising media available in the Washington, D.C. area, including several other Spanish-language</w:t>
      </w:r>
      <w:r>
        <w:rPr>
          <w:rFonts w:ascii="Arial" w:cs="Arial" w:eastAsia="Arial" w:hAnsi="Arial"/>
          <w:sz w:val="18"/>
          <w:szCs w:val="18"/>
          <w:i w:val="1"/>
          <w:iCs w:val="1"/>
          <w:color w:val="auto"/>
        </w:rPr>
        <w:t xml:space="preserve"> </w:t>
      </w:r>
      <w:r>
        <w:rPr>
          <w:rFonts w:ascii="Arial" w:cs="Arial" w:eastAsia="Arial" w:hAnsi="Arial"/>
          <w:sz w:val="18"/>
          <w:szCs w:val="18"/>
          <w:color w:val="auto"/>
        </w:rPr>
        <w:t>newspapers.</w:t>
      </w:r>
    </w:p>
    <w:p>
      <w:pPr>
        <w:spacing w:after="0" w:line="6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Company’s television stations compete for audiences and advertising revenues with television and radio stations and cable television systems serving the same or nearby areas, with direct broadcast satellite (“DBS”) services, and to a lesser degree with other video programming providers and with other media such as newspapers and magazines. Cable television systems operate in substantially all of the areas served by the Company’s television stations where they compete for television viewers by importing out-of-market television signals and by distributing pay-cable, advertiser-supported and other programming that is originated for cable systems. In addition, DBS services provide nationwide distribution of television programming (including in some cases pay-per-view programming and programming packages unique to DBS) using small receiving dishes and digital transmission technologies. In 1999 Congress passed the Satellite Home Viewer Improvement Act, which gives DBS operators the ability to distribute the signals of local television stations to subscribers in the stations’ local market area (“local-into-local” service), although since 2000 DBS operators have been required to obtain the consent of each local television station included in such a service. The analog signal of each of the Company’s television stations is currently being distributed locally by DBS providers DirecTV and EchoStar. Under an FCC rule implementing provisions of this Act, since 2002 DBS operators have been required to carry the analog signals of all full-power television stations that request such carriage in the markets in which the DBS operators have chosen to offer local-into-local service. The FCC has also adopted rules that require certain program-exclusivity rules applicable to cable television to be applied to DBS operators. In addition, the Satellite Home Viewer Improvement Act and subsequent legislation continued restrictions on the transmission of distant network stations by DBS operators. Thus DBS operators generally are prohibited from delivering the signals of distant network stations to subscribers who can receive the analog signal of the network’s local affiliate. Several lawsuits were filed beginning in 1996 in which plaintiffs (including all four major broadcast networks and network-affiliated stations including one of the Company’s Florida stations) alleged that certain DBS operators had not been complying with the prohibition on delivering network signals to households that can receive the analog signal of the local network affiliate over the air. The plaintiffs entered into a settlement with DBS operator DirecTV, under which it agreed to discontinue distant-network service to certain subscribers and alter the method by which it determines eligibility for this service. Litigation against DBS operator EchoStar is continuing. In addition to the matters discussed above, the Company’s television stations may also become subject to increased competition from low-power television stations, wireless cable services, satellite master antenna systems (which can carry pay-cable and similar program material) and prerecorded video programming.</w:t>
      </w:r>
    </w:p>
    <w:p>
      <w:pPr>
        <w:spacing w:after="0" w:line="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w:t>
      </w:r>
    </w:p>
    <w:p>
      <w:pPr>
        <w:spacing w:after="0" w:line="200" w:lineRule="exact"/>
        <w:rPr>
          <w:sz w:val="20"/>
          <w:szCs w:val="20"/>
          <w:color w:val="auto"/>
        </w:rPr>
      </w:pPr>
    </w:p>
    <w:p>
      <w:pPr>
        <w:spacing w:after="0" w:line="313"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40"/>
        <w:spacing w:after="0" w:line="267" w:lineRule="auto"/>
        <w:rPr>
          <w:sz w:val="20"/>
          <w:szCs w:val="20"/>
          <w:color w:val="auto"/>
        </w:rPr>
      </w:pPr>
      <w:r>
        <w:rPr>
          <w:rFonts w:ascii="Arial" w:cs="Arial" w:eastAsia="Arial" w:hAnsi="Arial"/>
          <w:sz w:val="17"/>
          <w:szCs w:val="17"/>
          <w:color w:val="auto"/>
        </w:rPr>
        <w:t>more detail in the preceding paragraph) have been growing rapidly and are now a significant competitive factor. The ability of DBS operators to provide local-into-local service (as described above) has increased competition between cable and DBS operators in markets where local-into-local service is provided. DBS operators are not required to provide local-into-local service, and some smaller markets may not receive this service for several years. However, local-into-local service is currently being offered by at least one DBS operator in most markets in which the Company provides cable television service. In December 2003 News Corporation Limited (“News Corp”), a global media company that in the United States owns the Fox Television Network, 35 broadcast television stations, a group of regional sports networks and a number of nationally distributed cable networks (including the Fox News Channel, FX, the Fox Movie Channel, the Speed Channel and the National Geographic Channel), acquired a controlling interest in DirecTV. This acquisition was approved by the FCC in an order that, among other things, requires News Corp to offer carriage of its broadcast television stations and access to its cable programming services to cable television systems and other multichannel video programming distributors on nonexclusive and nondiscriminatory terms and conditions. Notwithstanding the requirements imposed by the FCC, this acquisition has the potential not only to enhance DirecTV’s effectiveness as a competitor, but also to limit the access of cable television systems to desirable programming and to increase the costs of such programming. The Company’s cable television systems also compete with wireless cable services in several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 Telephone companies can also compete with cable television systems in providing broadband Internet access by using DSL and other technologies. Some telephone companies have entered into strategic partnerships with DBS operators that permit the telephone company to package the video programming services of the DBS operator with the telephone company’s own DSL service, thereby competing directly with the video programming and cable modem services being offered by existing cable television systems.</w:t>
      </w:r>
    </w:p>
    <w:p>
      <w:pPr>
        <w:spacing w:after="0" w:line="8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Kaplan competes in each of its test preparation product lines with a variety of regional and national test preparation businesses, as well as with individual tutors and in-school preparation for standardized tests. Kaplan’s Score Education subsidiary competes with other regional and national learning centers, individual tutors and other educational businesses that target parents and students. Kaplan’s Professional Division competes with other companies that provide alternative or similar professional training, test preparation and consulting services. Kaplan’s Higher Education Division competes with both facilities-based and other distance learning providers of similar educational services, including not-for-profit colleges and universities and for-profit businesses. Overseas, both The Financial Training Company and Dublin Business School compete with other for-profit companies and with governmentally supported schools and institutions that provide similar training and educational programs.</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According to figures compiled by Publishers’ Information Bureau, Inc., of the 226 magazines reported on by the Bureau,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ranked fifth in total advertising revenues in 2004, when it received approximately 2.6% of all advertising revenues of the magazines included in the report. The magazine industry is highly competitive, both within itself and with other advertising media that compete for audience and advertising revenue.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PostNewsweek Tech Media’s publications and trade shows compete with many other advertising vehicles and sources of similar information.</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publications and television broadcasting and cable operations also compete for readers’ and viewers’ time with various other leisure-time activities.</w:t>
      </w:r>
    </w:p>
    <w:p>
      <w:pPr>
        <w:spacing w:after="0" w:line="6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future of the Company’s various business activities depends on a number of factors, including the general strength of the economy; population growth and the level of economic activity in the particular geographic and other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of the Company, each of whom is elected for a one-year term at the meeting of the Board of Directors immediately following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 held in May of each year, are as follows:</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Donald E. Graham, age 59, has been Chairman of the Board of the Company since September 1993 and Chief Executive Officer of the Company since May 1991. Mr. Graham served as President of the Company from May 1991 until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 xml:space="preserve">September 1993 and prior to that had been a Vice President of the Company for more than five years. Mr. Graham also served as Publisher of </w:t>
      </w:r>
      <w:r>
        <w:rPr>
          <w:rFonts w:ascii="Arial" w:cs="Arial" w:eastAsia="Arial" w:hAnsi="Arial"/>
          <w:sz w:val="18"/>
          <w:szCs w:val="18"/>
          <w:i w:val="1"/>
          <w:iCs w:val="1"/>
          <w:color w:val="auto"/>
        </w:rPr>
        <w:t>The Washington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 </w:t>
      </w:r>
      <w:r>
        <w:rPr>
          <w:rFonts w:ascii="Arial" w:cs="Arial" w:eastAsia="Arial" w:hAnsi="Arial"/>
          <w:sz w:val="18"/>
          <w:szCs w:val="18"/>
          <w:color w:val="auto"/>
        </w:rPr>
        <w:t>from 1979 until September 2000.</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Diana M. Daniels, age 55,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7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 xml:space="preserve">Ann L. McDaniel, age 49, became Vice President-Human Resources of the Company in September 2001. Ms. McDaniel had previously served as Senior Director of Human Resources of the Company since January 2001, and prior to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for more than five years, most recently as Managing Editor, a position she assumed in November 1998.</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John B. Morse, Jr., age 58, has been Vice President-Finance of the Company since November 1989. He joined the Company as Vice President and Controller in July 1989 and prior to that had been a partner of Price Waterhouse.</w:t>
      </w:r>
    </w:p>
    <w:p>
      <w:pPr>
        <w:spacing w:after="0" w:line="62"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 xml:space="preserve">Gerald M. Rosberg, age 58, became Vice President-Planning and Development of the Company in February 1999. He had previously served as Vice President-Affiliates at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 position he assumed in November 1997. Mr. Rosberg joined the Company in January 1996 as </w:t>
      </w:r>
      <w:r>
        <w:rPr>
          <w:rFonts w:ascii="Arial" w:cs="Arial" w:eastAsia="Arial" w:hAnsi="Arial"/>
          <w:sz w:val="18"/>
          <w:szCs w:val="18"/>
          <w:i w:val="1"/>
          <w:iCs w:val="1"/>
          <w:color w:val="auto"/>
        </w:rPr>
        <w:t>The Post</w:t>
      </w:r>
      <w:r>
        <w:rPr>
          <w:rFonts w:ascii="Arial" w:cs="Arial" w:eastAsia="Arial" w:hAnsi="Arial"/>
          <w:sz w:val="18"/>
          <w:szCs w:val="18"/>
          <w:color w:val="auto"/>
        </w:rPr>
        <w:t>’s Director of Affiliate Relations.</w:t>
      </w:r>
    </w:p>
    <w:p>
      <w:pPr>
        <w:spacing w:after="0" w:line="28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14,800 persons on a full-time basis.</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WP Company has approximately 2,630 full-time employees. About 1,475 of that unit’s full-time employees and about 455 part-time employees are represented by one or another of five unions. Collective bargaining agreements are currently in effect with locals of the following unions covering the full-time and part-time employees and expiring on the dates indicated: 1,231 editorial, newsroom and commercial department employees represented by the Communications Workers of America (November 7, 2005); 39 machinists represented by the International Association of Machinists (January 10, 2007); 32 photoengravers-platemakers represented by the Graphic Communications International Union (February 10, 2007); 27 electricians represented by the International Brotherhood of Electrical Workers (December 13, 2007); and 31 engineers, carpenters and painters represented by the International Union of Operating Engineers (April 9, 2005). The agreement covering 410 mailroom workers represented by the Communications Workers of America expired on May 18, 2003, and efforts to negotiate a new agreement are continuing. Also, the agreement covering 63 paper handlers and general workers represented by the Graphic Communications International Union expired on November 20, 2004; a replacement agreement had been negotiated but that agreement was subsequently rejected by the members of the bargaining unit.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Washingtonpost.Newsweek Interactive has approximately 230 full-time and 35 part-time employees, none of whom is represented by a union.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the approximately 250 full-time and 100 part-time employees at The Daily Herald Company, about 70 full-time and 20 part-time employees are represented by one or another of three unions. The newspaper’s collective bargaining agreement with the Graphic Communications International Union, which represents press operators, expires on March 15, 2005, and its agreement with the Communications Workers of America, which represents printers and mailers, expires on October 31, 2005. The Newspaper’s agreement with the International Brotherhood of Teamsters, which represents bundle haulers, expires on September 22, 2007.</w:t>
      </w:r>
    </w:p>
    <w:p>
      <w:pPr>
        <w:spacing w:after="0" w:line="8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broadcasting operations have approximately 980 full-time employees, of whom about 230 are union-represented. Of the eight collective bargaining agreements covering union-represented employees, one has expired and is being renegotiated. Two other collective bargaining agreements will expire in 2005.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Cable Television Division has approximately 1,700 full-time employees, none of whom is represented by a union.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Worldwide, Kaplan employs approximately 7,600 persons on a full-time basis. Kaplan also employs substantial numbers of part-time employees who serve in instructional and administrative capacities. During peak seasonal periods, Kaplan’s part-time workforce exceeds 15,500 employees. None of Kaplan’s employees is represented by a union.</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Newsweek has approximately 620 full-time employees (including about 130 editorial employees represented by the Communications Workers of America under a collective bargaining agreement that will expire on December 31, 2005).</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60"/>
        <w:spacing w:after="0" w:line="264" w:lineRule="auto"/>
        <w:rPr>
          <w:sz w:val="20"/>
          <w:szCs w:val="20"/>
          <w:color w:val="auto"/>
        </w:rPr>
      </w:pPr>
      <w:r>
        <w:rPr>
          <w:rFonts w:ascii="Arial" w:cs="Arial" w:eastAsia="Arial" w:hAnsi="Arial"/>
          <w:sz w:val="18"/>
          <w:szCs w:val="18"/>
          <w:color w:val="auto"/>
        </w:rPr>
        <w:t>Post-Newsweek Media, Inc. has approximately 645 full-time and 160 part-time employees. Robinson Terminal Warehouse Corporation (the Company’s newsprint warehousing and distribution subsidiary), Greater Washington Publishing, Express Publications Company and El Tiempo Latino LLC each employ fewer than 100 persons. None of these units’ employees is represented by a union.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Annual Report on Form 10-K and elsewhere in the Company’s 2004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that could cause actual results or events to differ materially from those anticipated in such statements. In addition to the various matters discussed elsewhere in this Annual Report on Form 10-K (including the financial statements and other items filed herewith), specific factors identified by the Company that might cause such a difference include the following: changes in prevailing economic conditions, particularly in the specific geographic and other markets served by the Company; actions of competitors, including price changes and the introduction of competitive service offerings; changes in the preferences of readers, viewers and advertisers, particularly in response to the growth of Internet-based media; changes in communications and broadcast technologies; the effects of changing cost or availability of raw materials, including changes in the cost or availability of newsprint and magazine body paper; changes in the extent to which standardized tests are used in the admissions process by colleges and graduate schools; changes in the extent to which licensing or proficiency examinations are used to qualify individuals to pursue certain careers; changes in laws or regulations, including changes that affect the way business entities are taxed; and changes in accounting principles or in the way such principles are applied.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Company’s Internet address is </w:t>
      </w:r>
      <w:r>
        <w:rPr>
          <w:rFonts w:ascii="Arial" w:cs="Arial" w:eastAsia="Arial" w:hAnsi="Arial"/>
          <w:sz w:val="18"/>
          <w:szCs w:val="18"/>
          <w:i w:val="1"/>
          <w:iCs w:val="1"/>
          <w:color w:val="auto"/>
        </w:rPr>
        <w:t>www.washpostco.com</w:t>
      </w:r>
      <w:r>
        <w:rPr>
          <w:rFonts w:ascii="Arial" w:cs="Arial" w:eastAsia="Arial" w:hAnsi="Arial"/>
          <w:sz w:val="18"/>
          <w:szCs w:val="18"/>
          <w:color w:val="auto"/>
        </w:rPr>
        <w:t>. The Company makes available free of charge through its website its annual report on Form 10-K, quarterly reports on Form 10-Q, current reports on Form 8-K and amendments to those reports filed or furnished pursuant to Section 13(a) or 15(d) of the Exchange Act as soon as reasonably practicable after such documents are electronically filed with the Securities and Exchange Commission.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each available on the Company’s website; printed copies of such documents may be obtained by any stockholder upon written request to the Secretary of the Company at 1150 15th Street, N.W., Washington, D.C. 20071.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WP Company owns the principal offices of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in downtown Washington, D.C., including both a seven-story building in use since 1950 and a connected nine-story office building on contiguous property completed in 1972 in which the Company’s principal executive offices are located. Additionally, WP Company owns land on the corner of 15th and L Streets, N.W., in Washington, D.C., adjacent to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’s office building. This land is leased on a long-term basis to the owner of a multi-story office building that was constructed on the site in 1982. WP Company rents a number of floors in this building. WP Company also owns and occupies a small office building on L Street which is connected to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’s office building. On December 22, 2003, WP Company sold a 35,000-square-foot lot on 15th Street next to the lot containing </w:t>
      </w:r>
      <w:r>
        <w:rPr>
          <w:rFonts w:ascii="Arial" w:cs="Arial" w:eastAsia="Arial" w:hAnsi="Arial"/>
          <w:sz w:val="17"/>
          <w:szCs w:val="17"/>
          <w:i w:val="1"/>
          <w:iCs w:val="1"/>
          <w:color w:val="auto"/>
        </w:rPr>
        <w:t>The Post</w:t>
      </w:r>
      <w:r>
        <w:rPr>
          <w:rFonts w:ascii="Arial" w:cs="Arial" w:eastAsia="Arial" w:hAnsi="Arial"/>
          <w:sz w:val="17"/>
          <w:szCs w:val="17"/>
          <w:color w:val="auto"/>
        </w:rPr>
        <w:t>’s office building.</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WP Company owns a printing plant in Fairfax County, Virginia which was built in 1980 and expanded in 1998. That facility is located on 19 acres of land owned by WP Company. WP Company also owns a printing plant and distribution facility in Prince George’s County, Maryland, which was built in 1998 on a 17-acre tract of land owned by WP Company. In addition, WP Company owns undeveloped land near Dulles Airport in Fairfax County, Virginia (39 acres) and in Prince George’s County, Maryland (34 acres); both of these properties currently are under contract to be sold.</w:t>
      </w:r>
    </w:p>
    <w:p>
      <w:pPr>
        <w:spacing w:after="0" w:line="6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owns its plant and office building in Everett, Washington; it also owns two warehouses adjacent to its plant and a small office building in</w:t>
      </w:r>
      <w:r>
        <w:rPr>
          <w:rFonts w:ascii="Arial" w:cs="Arial" w:eastAsia="Arial" w:hAnsi="Arial"/>
          <w:sz w:val="18"/>
          <w:szCs w:val="18"/>
          <w:i w:val="1"/>
          <w:iCs w:val="1"/>
          <w:color w:val="auto"/>
        </w:rPr>
        <w:t xml:space="preserve"> </w:t>
      </w:r>
      <w:r>
        <w:rPr>
          <w:rFonts w:ascii="Arial" w:cs="Arial" w:eastAsia="Arial" w:hAnsi="Arial"/>
          <w:sz w:val="18"/>
          <w:szCs w:val="18"/>
          <w:color w:val="auto"/>
        </w:rPr>
        <w:t>Lynnwood, Washington.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60"/>
        <w:spacing w:after="0" w:line="272" w:lineRule="auto"/>
        <w:rPr>
          <w:sz w:val="20"/>
          <w:szCs w:val="20"/>
          <w:color w:val="auto"/>
        </w:rPr>
      </w:pPr>
      <w:r>
        <w:rPr>
          <w:rFonts w:ascii="Arial" w:cs="Arial" w:eastAsia="Arial" w:hAnsi="Arial"/>
          <w:sz w:val="17"/>
          <w:szCs w:val="17"/>
          <w:color w:val="auto"/>
        </w:rPr>
        <w:t xml:space="preserve">Post-Newsweek Media, Inc. owns a two-story brick building that serves as its headquarters and as headquarters for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and a separate two-story brick building that houses its Montgomery County commercial printing business. All of these properties are located in Gaithersburg, Maryland. In addition, Post-Newsweek Media, Inc. owns a one-story brick building in Waldorf, Maryland that houses its Charles County commercial printing business and also serves as the headquarters for two of the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 xml:space="preserve">. The other editorial and sales offices for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 xml:space="preserve">Southern Maryland Newspapers </w:t>
      </w:r>
      <w:r>
        <w:rPr>
          <w:rFonts w:ascii="Arial" w:cs="Arial" w:eastAsia="Arial" w:hAnsi="Arial"/>
          <w:sz w:val="17"/>
          <w:szCs w:val="17"/>
          <w:color w:val="auto"/>
        </w:rPr>
        <w:t>are located in leased premises. The PostNewsweek Tech Media Division leases office space in Washington, D.C. and</w:t>
      </w:r>
      <w:r>
        <w:rPr>
          <w:rFonts w:ascii="Arial" w:cs="Arial" w:eastAsia="Arial" w:hAnsi="Arial"/>
          <w:sz w:val="17"/>
          <w:szCs w:val="17"/>
          <w:i w:val="1"/>
          <w:iCs w:val="1"/>
          <w:color w:val="auto"/>
        </w:rPr>
        <w:t xml:space="preserve"> </w:t>
      </w:r>
      <w:r>
        <w:rPr>
          <w:rFonts w:ascii="Arial" w:cs="Arial" w:eastAsia="Arial" w:hAnsi="Arial"/>
          <w:sz w:val="17"/>
          <w:szCs w:val="17"/>
          <w:color w:val="auto"/>
        </w:rPr>
        <w:t>Oakland, California. Post-Newsweek Media has contracted to purchase approximately 7 acres of undeveloped land in Prince George’s County, Maryland, on which it plans to build a combination office building and commercial printing facility.</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headquarters offices of the Company’s broadcasting operations are located in Detroit, Michigan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headquarters offices of the Cable Television Division are located in a three-story office building in Phoenix, Arizona that was purchased by Cable One in 1998. The majority of the offices and head-end facilities of the Division’s individual cable systems are located in buildings owned by Cable One. Most of the tower sites used by the Division are leased. In addition, the Division houses a call-center operation in 20,000 square feet of rented space in Phoenix under a lease that expires in 2013.</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Kaplan owns a total of ten buildings, including a 26,000-square-foot six-story building located at 131 West 56th Street in New York City, which serves as an educational center primarily for international students, and a 2,300-square-foot office condominium in Chapel Hill, North Carolina which it utilizes for its Test Prep business. Kaplan also owns a 15,000-square-foot three-story building in Berkeley, California utilized for its Test Prep and English Language Training businesses; a 39,000-square-foot four-story brick building and a 19,000-square-foot two-story brick building in Lincoln, Nebraska which are used by Hamilton College; a 25,000-square-foot one-story building in Omaha, Nebraska also used by Hamilton College; a 131,000-square-foot five-story brick building in Manchester, New Hampshire used by Hesser College; an 18,000-square-foot one-story brick building in Dayton, Ohio used by the Ohio Institute of Photography and Technology; a 25,000-square-foot building in Hammond, Indiana used by Sawyer College; and a 45,000-square-foot three-story brick building in Houston, Texas used by the Texas School of Business. Kaplan University’s new corporate office is in a 97,000-square-foot building located in Ft. Lauderdale, Florida, which has been leased for a term expiring in 2015. Kaplan’s distribution facilities for most of its domestic publications are located in a 169,000-square-foot warehouse in Aurora, Illinois which has been rented under a lease which expires in 2010. Kaplan’s headquarters offices are located at 888 7th Avenue in New York City, where Kaplan rents space on three floors under a lease which expires in 2017. Overseas, Dublin Business School’s facilities in Dublin, Ireland are located in four buildings aggregating approximately 54,000 square feet of space which have been rented under leases expiring between 2018 and 2028. The Financial Training Company’s two largest leaseholds are office and instructional space in London of 21,000 square feet and 28,000 square feet which are being occupied under leases that expire in 2007 and 2019, respectively. All other Kaplan facilities in the United States and overseas (including administrative offices and instructional locations) also occupy leased premises.</w:t>
      </w:r>
    </w:p>
    <w:p>
      <w:pPr>
        <w:spacing w:after="0" w:line="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principal offices of Newsweek are located at 251 West 57th Street in New York City, where Newsweek rents space on nine floors. The lease on this space will expire in 2009 but is renewable for a 15-year period at Newsweek’s option at rentals to be negotiated or arbitrated. </w:t>
      </w:r>
      <w:r>
        <w:rPr>
          <w:rFonts w:ascii="Arial" w:cs="Arial" w:eastAsia="Arial" w:hAnsi="Arial"/>
          <w:sz w:val="18"/>
          <w:szCs w:val="18"/>
          <w:i w:val="1"/>
          <w:iCs w:val="1"/>
          <w:color w:val="auto"/>
        </w:rPr>
        <w:t>Budget Travel</w:t>
      </w:r>
      <w:r>
        <w:rPr>
          <w:rFonts w:ascii="Arial" w:cs="Arial" w:eastAsia="Arial" w:hAnsi="Arial"/>
          <w:sz w:val="18"/>
          <w:szCs w:val="18"/>
          <w:color w:val="auto"/>
        </w:rPr>
        <w:t>’s offices are also located in New York City, where they occupy premises under a lease that expires in 2010. Newsweek also leases a portion of a building in Mountain Lakes, N.J. to house its accounting, production and distribution departments. The lease on this space will expire in 2007 but is renewable for two five-year periods at Newsweek’s option.</w:t>
      </w:r>
    </w:p>
    <w:p>
      <w:pPr>
        <w:spacing w:after="0" w:line="8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20 acres. These tracts are near </w:t>
      </w:r>
      <w:r>
        <w:rPr>
          <w:rFonts w:ascii="Arial" w:cs="Arial" w:eastAsia="Arial" w:hAnsi="Arial"/>
          <w:sz w:val="18"/>
          <w:szCs w:val="18"/>
          <w:i w:val="1"/>
          <w:iCs w:val="1"/>
          <w:color w:val="auto"/>
        </w:rPr>
        <w:t>The Washington Post</w:t>
      </w:r>
      <w:r>
        <w:rPr>
          <w:rFonts w:ascii="Arial" w:cs="Arial" w:eastAsia="Arial" w:hAnsi="Arial"/>
          <w:sz w:val="18"/>
          <w:szCs w:val="18"/>
          <w:color w:val="auto"/>
        </w:rPr>
        <w:t>’s Virginia printing plant and include several warehouses. In 1992 Robinson purchased approximately 23 acres of undeveloped land on the Potomac River in Charles County, Maryland, for the possible construction of additional warehouse capacity.</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offices of Washingtonpost.Newsweek Interactive occupy 85,000 square feet of office space in Arlington, Virginia under a lease which expires in 2010. Express Publications Company subleases part of this space. In addition, WPNI leases space in Washington, D.C. and subleases space from Newsweek in New York City for </w:t>
      </w:r>
      <w:r>
        <w:rPr>
          <w:rFonts w:ascii="Arial" w:cs="Arial" w:eastAsia="Arial" w:hAnsi="Arial"/>
          <w:sz w:val="18"/>
          <w:szCs w:val="18"/>
          <w:i w:val="1"/>
          <w:iCs w:val="1"/>
          <w:color w:val="auto"/>
        </w:rPr>
        <w:t>Slate</w:t>
      </w:r>
      <w:r>
        <w:rPr>
          <w:rFonts w:ascii="Arial" w:cs="Arial" w:eastAsia="Arial" w:hAnsi="Arial"/>
          <w:sz w:val="18"/>
          <w:szCs w:val="18"/>
          <w:color w:val="auto"/>
        </w:rPr>
        <w:t>’s offices in those</w:t>
      </w:r>
    </w:p>
    <w:p>
      <w:pPr>
        <w:spacing w:after="0" w:line="200" w:lineRule="exact"/>
        <w:rPr>
          <w:sz w:val="20"/>
          <w:szCs w:val="20"/>
          <w:color w:val="auto"/>
        </w:rPr>
      </w:pPr>
    </w:p>
    <w:p>
      <w:pPr>
        <w:spacing w:after="0" w:line="313"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cities, and also leases office space for WPNI sales representatives in New York City, Chicago, San Francisco and Los Angeles.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Greater Washington Publishing’s offices are located in leased space in Fairfax, Virginia, while El Tiempo Latino LLC’s offices are located in leased space in Arlington, Virginia.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and its subsidiaries are defendants in various civil lawsuits that have arisen in the ordinary course of their businesses, including actions alleging libel, invasion of privacy and violations of applicable wage and hour laws. While it is not possible to predict the outcome of these lawsuits, in the opinion of management their ultimate disposition should not have a material adverse effect on the financial position, liquidity or results of operations of the Company.</w:t>
      </w:r>
    </w:p>
    <w:p>
      <w:pPr>
        <w:spacing w:after="0" w:line="1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234" w:lineRule="exact"/>
        <w:rPr>
          <w:sz w:val="20"/>
          <w:szCs w:val="20"/>
          <w:color w:val="auto"/>
        </w:rPr>
      </w:pPr>
    </w:p>
    <w:tbl>
      <w:tblPr>
        <w:tblLayout w:type="fixed"/>
        <w:tblInd w:w="2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00" w:type="dxa"/>
            <w:vAlign w:val="bottom"/>
            <w:vMerge w:val="restart"/>
          </w:tcPr>
          <w:p>
            <w:pPr>
              <w:ind w:left="740"/>
              <w:spacing w:after="0"/>
              <w:rPr>
                <w:sz w:val="20"/>
                <w:szCs w:val="20"/>
                <w:color w:val="auto"/>
              </w:rPr>
            </w:pPr>
            <w:r>
              <w:rPr>
                <w:rFonts w:ascii="Arial" w:cs="Arial" w:eastAsia="Arial" w:hAnsi="Arial"/>
                <w:sz w:val="14"/>
                <w:szCs w:val="14"/>
                <w:color w:val="auto"/>
              </w:rPr>
              <w:t>Quarter</w:t>
            </w:r>
          </w:p>
        </w:tc>
        <w:tc>
          <w:tcPr>
            <w:tcW w:w="10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076"/>
              <w:spacing w:after="0"/>
              <w:rPr>
                <w:sz w:val="20"/>
                <w:szCs w:val="20"/>
                <w:color w:val="auto"/>
              </w:rPr>
            </w:pPr>
            <w:r>
              <w:rPr>
                <w:rFonts w:ascii="Arial" w:cs="Arial" w:eastAsia="Arial" w:hAnsi="Arial"/>
                <w:sz w:val="14"/>
                <w:szCs w:val="14"/>
                <w:color w:val="auto"/>
              </w:rPr>
              <w:t>2004</w:t>
            </w: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036"/>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color w:val="auto"/>
              </w:rPr>
              <w:t>High</w:t>
            </w:r>
          </w:p>
        </w:tc>
        <w:tc>
          <w:tcPr>
            <w:tcW w:w="16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color w:val="auto"/>
              </w:rPr>
              <w:t>Low</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High</w:t>
            </w:r>
          </w:p>
        </w:tc>
        <w:tc>
          <w:tcPr>
            <w:tcW w:w="15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January – March</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$921</w:t>
            </w:r>
          </w:p>
        </w:tc>
        <w:tc>
          <w:tcPr>
            <w:tcW w:w="16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$790</w:t>
            </w: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$764</w:t>
            </w:r>
          </w:p>
        </w:tc>
        <w:tc>
          <w:tcPr>
            <w:tcW w:w="15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April – June</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983</w:t>
            </w: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886</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741</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July – September</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956</w:t>
            </w:r>
          </w:p>
        </w:tc>
        <w:tc>
          <w:tcPr>
            <w:tcW w:w="16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830</w:t>
            </w: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752</w:t>
            </w:r>
          </w:p>
        </w:tc>
        <w:tc>
          <w:tcPr>
            <w:tcW w:w="15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October – December</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999</w:t>
            </w: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862</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820</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During 2004 the Company did not repurchase any shares of its Class B Common Stock.</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January 31, 2005, there were 28 holders of record of the Company’s Class A Common Stock and 1,006 holders of record of the Company’s Class B Common Stock.</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$1.75 per share during 2004 and $1.45 per share during 2003.</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the information for the years 2000 through 2004 contained in the table titled “Ten-Year Summary of Selected Historical Financial Data” which is included in this Annual Report on Form 10-K and listed in the index to financial information on page 27 hereof (with only the information for such years to be deemed filed as part of this Annual Report on Form 10-K).</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27 hereof.</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and to its borrowing activities, which are subject to interest rate risk.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u w:val="single" w:color="auto"/>
          <w:color w:val="auto"/>
        </w:rPr>
        <w:t>Equity Price Risk</w:t>
      </w:r>
    </w:p>
    <w:p>
      <w:pPr>
        <w:spacing w:after="0" w:line="11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Company has common stock investments in several publicly traded companies (as discussed in Note C to the Company’s consolidated Financial Statements) that are subject to market price volatility. The fair value of these common stock investments totaled $409,736,000 at January 2, 2005.</w:t>
      </w:r>
    </w:p>
    <w:p>
      <w:pPr>
        <w:spacing w:after="0" w:line="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400" w:type="dxa"/>
            <w:vAlign w:val="bottom"/>
            <w:gridSpan w:val="4"/>
          </w:tcPr>
          <w:p>
            <w:pPr>
              <w:jc w:val="center"/>
              <w:ind w:left="83"/>
              <w:spacing w:after="0"/>
              <w:rPr>
                <w:sz w:val="20"/>
                <w:szCs w:val="20"/>
                <w:color w:val="auto"/>
              </w:rPr>
            </w:pPr>
            <w:r>
              <w:rPr>
                <w:rFonts w:ascii="Arial" w:cs="Arial" w:eastAsia="Arial" w:hAnsi="Arial"/>
                <w:sz w:val="14"/>
                <w:szCs w:val="14"/>
                <w:color w:val="auto"/>
                <w:w w:val="93"/>
              </w:rPr>
              <w:t>Value of Common Stock Investments</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4"/>
          </w:tcPr>
          <w:p>
            <w:pPr>
              <w:jc w:val="center"/>
              <w:ind w:left="83"/>
              <w:spacing w:after="0"/>
              <w:rPr>
                <w:sz w:val="20"/>
                <w:szCs w:val="20"/>
                <w:color w:val="auto"/>
              </w:rPr>
            </w:pPr>
            <w:r>
              <w:rPr>
                <w:rFonts w:ascii="Arial" w:cs="Arial" w:eastAsia="Arial" w:hAnsi="Arial"/>
                <w:sz w:val="14"/>
                <w:szCs w:val="14"/>
                <w:color w:val="auto"/>
                <w:w w:val="92"/>
              </w:rPr>
              <w:t>Value of Common Stock Investments</w:t>
            </w:r>
          </w:p>
        </w:tc>
        <w:tc>
          <w:tcPr>
            <w:tcW w:w="1660" w:type="dxa"/>
            <w:vAlign w:val="bottom"/>
          </w:tcPr>
          <w:p>
            <w:pPr>
              <w:spacing w:after="0"/>
              <w:rPr>
                <w:sz w:val="14"/>
                <w:szCs w:val="14"/>
                <w:color w:val="auto"/>
              </w:rPr>
            </w:pPr>
          </w:p>
        </w:tc>
      </w:tr>
      <w:tr>
        <w:trPr>
          <w:trHeight w:val="149"/>
        </w:trPr>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Assuming Indicated Decrease in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Assuming Indicated Increase in</w:t>
            </w:r>
          </w:p>
        </w:tc>
        <w:tc>
          <w:tcPr>
            <w:tcW w:w="1660" w:type="dxa"/>
            <w:vAlign w:val="bottom"/>
          </w:tcPr>
          <w:p>
            <w:pPr>
              <w:spacing w:after="0"/>
              <w:rPr>
                <w:sz w:val="12"/>
                <w:szCs w:val="12"/>
                <w:color w:val="auto"/>
              </w:rPr>
            </w:pPr>
          </w:p>
        </w:tc>
      </w:tr>
      <w:tr>
        <w:trPr>
          <w:trHeight w:val="167"/>
        </w:trPr>
        <w:tc>
          <w:tcPr>
            <w:tcW w:w="1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2"/>
              </w:rPr>
              <w:t>Each Stock’s Price</w:t>
            </w:r>
          </w:p>
        </w:tc>
        <w:tc>
          <w:tcPr>
            <w:tcW w:w="1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2"/>
              </w:rPr>
              <w:t>Each Stock’s Price</w:t>
            </w:r>
          </w:p>
        </w:tc>
        <w:tc>
          <w:tcPr>
            <w:tcW w:w="1660" w:type="dxa"/>
            <w:vAlign w:val="bottom"/>
            <w:tcBorders>
              <w:bottom w:val="single" w:sz="8" w:color="auto"/>
            </w:tcBorders>
          </w:tcPr>
          <w:p>
            <w:pPr>
              <w:spacing w:after="0"/>
              <w:rPr>
                <w:sz w:val="14"/>
                <w:szCs w:val="14"/>
                <w:color w:val="auto"/>
              </w:rPr>
            </w:pPr>
          </w:p>
        </w:tc>
      </w:tr>
      <w:tr>
        <w:trPr>
          <w:trHeight w:val="163"/>
        </w:trPr>
        <w:tc>
          <w:tcPr>
            <w:tcW w:w="1560" w:type="dxa"/>
            <w:vAlign w:val="bottom"/>
            <w:tcBorders>
              <w:bottom w:val="single" w:sz="8" w:color="auto"/>
            </w:tcBorders>
          </w:tcPr>
          <w:p>
            <w:pPr>
              <w:jc w:val="right"/>
              <w:ind w:right="423"/>
              <w:spacing w:after="0" w:line="155" w:lineRule="exact"/>
              <w:rPr>
                <w:sz w:val="20"/>
                <w:szCs w:val="20"/>
                <w:color w:val="auto"/>
              </w:rPr>
            </w:pPr>
            <w:r>
              <w:rPr>
                <w:rFonts w:ascii="Arial" w:cs="Arial" w:eastAsia="Arial" w:hAnsi="Arial"/>
                <w:sz w:val="14"/>
                <w:szCs w:val="14"/>
                <w:color w:val="auto"/>
              </w:rPr>
              <w:t>-30%</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4"/>
                <w:szCs w:val="14"/>
                <w:color w:val="auto"/>
              </w:rPr>
            </w:pPr>
          </w:p>
        </w:tc>
        <w:tc>
          <w:tcPr>
            <w:tcW w:w="1700" w:type="dxa"/>
            <w:vAlign w:val="bottom"/>
            <w:tcBorders>
              <w:bottom w:val="single" w:sz="8" w:color="auto"/>
            </w:tcBorders>
          </w:tcPr>
          <w:p>
            <w:pPr>
              <w:jc w:val="right"/>
              <w:ind w:right="623"/>
              <w:spacing w:after="0" w:line="155"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4"/>
                <w:szCs w:val="14"/>
                <w:color w:val="auto"/>
              </w:rPr>
            </w:pPr>
          </w:p>
        </w:tc>
        <w:tc>
          <w:tcPr>
            <w:tcW w:w="1660" w:type="dxa"/>
            <w:vAlign w:val="bottom"/>
            <w:tcBorders>
              <w:bottom w:val="single" w:sz="8" w:color="auto"/>
            </w:tcBorders>
          </w:tcPr>
          <w:p>
            <w:pPr>
              <w:jc w:val="right"/>
              <w:ind w:right="583"/>
              <w:spacing w:after="0" w:line="155" w:lineRule="exact"/>
              <w:rPr>
                <w:sz w:val="20"/>
                <w:szCs w:val="20"/>
                <w:color w:val="auto"/>
              </w:rPr>
            </w:pPr>
            <w:r>
              <w:rPr>
                <w:rFonts w:ascii="Arial" w:cs="Arial" w:eastAsia="Arial" w:hAnsi="Arial"/>
                <w:sz w:val="14"/>
                <w:szCs w:val="14"/>
                <w:color w:val="auto"/>
              </w:rPr>
              <w:t>+30%</w:t>
            </w:r>
          </w:p>
        </w:tc>
      </w:tr>
      <w:tr>
        <w:trPr>
          <w:trHeight w:val="203"/>
        </w:trPr>
        <w:tc>
          <w:tcPr>
            <w:tcW w:w="15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$286,815,000</w:t>
            </w:r>
          </w:p>
        </w:tc>
        <w:tc>
          <w:tcPr>
            <w:tcW w:w="2180" w:type="dxa"/>
            <w:vAlign w:val="bottom"/>
            <w:gridSpan w:val="3"/>
            <w:shd w:val="clear" w:color="auto" w:fill="CCEEFF"/>
          </w:tcPr>
          <w:p>
            <w:pPr>
              <w:jc w:val="right"/>
              <w:ind w:right="328"/>
              <w:spacing w:after="0"/>
              <w:rPr>
                <w:sz w:val="20"/>
                <w:szCs w:val="20"/>
                <w:color w:val="auto"/>
              </w:rPr>
            </w:pPr>
            <w:r>
              <w:rPr>
                <w:rFonts w:ascii="Arial" w:cs="Arial" w:eastAsia="Arial" w:hAnsi="Arial"/>
                <w:sz w:val="16"/>
                <w:szCs w:val="16"/>
                <w:color w:val="auto"/>
              </w:rPr>
              <w:t>$327,789,000</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$368,762,000</w:t>
            </w:r>
          </w:p>
        </w:tc>
        <w:tc>
          <w:tcPr>
            <w:tcW w:w="17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$450,710,000</w:t>
            </w:r>
          </w:p>
        </w:tc>
        <w:tc>
          <w:tcPr>
            <w:tcW w:w="2160" w:type="dxa"/>
            <w:vAlign w:val="bottom"/>
            <w:gridSpan w:val="3"/>
            <w:shd w:val="clear" w:color="auto" w:fill="CCEEFF"/>
          </w:tcPr>
          <w:p>
            <w:pPr>
              <w:jc w:val="right"/>
              <w:ind w:right="348"/>
              <w:spacing w:after="0"/>
              <w:rPr>
                <w:sz w:val="20"/>
                <w:szCs w:val="20"/>
                <w:color w:val="auto"/>
              </w:rPr>
            </w:pPr>
            <w:r>
              <w:rPr>
                <w:rFonts w:ascii="Arial" w:cs="Arial" w:eastAsia="Arial" w:hAnsi="Arial"/>
                <w:sz w:val="16"/>
                <w:szCs w:val="16"/>
                <w:color w:val="auto"/>
              </w:rPr>
              <w:t>$491,683,000</w:t>
            </w: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$532,657,000</w:t>
            </w:r>
          </w:p>
        </w:tc>
      </w:tr>
    </w:tbl>
    <w:p>
      <w:pPr>
        <w:spacing w:after="0" w:line="9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24 quarters since the end of the Company’s 1998 fiscal year, market price movements caused the aggregate fair value of the Company’s common stock investments in publicly traded companies to change by approximately 20% in one quarter, 15% in five quarters and by 10% or less in each of the other 18 quarters.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Interest Rate Risk</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At January 2, 2005, the Company had short-term commercial paper borrowings outstanding of $50,187,000 at an average interest rate of 2.2%. At December 28, 2003, the Company had commercial paper borrowings outstanding of $188,316,000 at an average interest rate of 1.1%. The Company is exposed to interest rate risk with respect to such borrowings since an increase in commercial paper borrowing rates would increase the Company’s interest expense on its commercial paper borrowings. Assuming a hypothetical 100 basis point increase in its average commercial paper borrowing rates from those that prevailed during the Company’s 2004 and 2003 fiscal years, the Company’s interest expense would have been greater by approximately $726,000 in fiscal 2004 and by approximately $1,800,000 in fiscal 2003.</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long-term debt consists of $400,000,000 principal amount of 5.5% unsecured notes due February 15, 2009 (the “Notes”). At January 2, 2005, the aggregate fair value of the Notes, based upon quoted market prices, was $423,000,000.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5.5%, the fair value of the Notes would be approximately $385,720,000. Conversely, if the market interest rate applicable to the Notes was 100 basis points lower than the Notes’ stated interest rate, the fair value of the Notes would then be approximately $414,860,000.</w:t>
      </w:r>
    </w:p>
    <w:p>
      <w:pPr>
        <w:spacing w:after="0" w:line="1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See the Company’s Consolidated Financial Statements at January 2, 2005, and for the periods then ended, together with the report of PricewaterhouseCoopers LLP thereon and the information contained in Note O to said Consolidated Financial Statements titled “Summary of Quarterly Operating Results and Comprehensive Income (Unaudited),” which are included in this Annual Report on Form 10-K and listed in the index to financial information on page 27 hereof.</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January 2, 2005. Based on that evaluation, the Company’s Chief Executive</w:t>
      </w:r>
    </w:p>
    <w:p>
      <w:pPr>
        <w:spacing w:after="0" w:line="200" w:lineRule="exact"/>
        <w:rPr>
          <w:sz w:val="20"/>
          <w:szCs w:val="20"/>
          <w:color w:val="auto"/>
        </w:rPr>
      </w:pPr>
    </w:p>
    <w:p>
      <w:pPr>
        <w:spacing w:after="0" w:line="31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right="300"/>
        <w:spacing w:after="0" w:line="286" w:lineRule="auto"/>
        <w:rPr>
          <w:sz w:val="20"/>
          <w:szCs w:val="20"/>
          <w:color w:val="auto"/>
        </w:rPr>
      </w:pPr>
      <w:r>
        <w:rPr>
          <w:rFonts w:ascii="Arial" w:cs="Arial" w:eastAsia="Arial" w:hAnsi="Arial"/>
          <w:sz w:val="17"/>
          <w:szCs w:val="17"/>
          <w:color w:val="auto"/>
        </w:rPr>
        <w:t>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Rules 13a-15(f) and 15d-15(f)).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Our management assessed the effectiveness of our internal control over financial reporting as of January 2, 2005. In making this assessment, our management used the criteria set forth by the Committee of Sponsoring Organizations of the Treadway Commission (“COSO”) in Internal Control-Integrated Framework. Our management has concluded that, as of January 2, 2005, our internal control over financial reporting is effective based on these criteria. Our independent auditors, PricewaterhouseCoopers LLP, have audited our assessment of the effectiveness of our internal control over financial reporting as of January 2, 2005, as stated in their report which is included herein.</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2005 Annual Meeting of Stockholders is incorporated herein by reference thereto.</w:t>
      </w:r>
    </w:p>
    <w:p>
      <w:pPr>
        <w:spacing w:after="0" w:line="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Internet website, the address of which is </w:t>
      </w:r>
      <w:r>
        <w:rPr>
          <w:rFonts w:ascii="Arial" w:cs="Arial" w:eastAsia="Arial" w:hAnsi="Arial"/>
          <w:sz w:val="16"/>
          <w:szCs w:val="16"/>
          <w:i w:val="1"/>
          <w:iCs w:val="1"/>
          <w:color w:val="auto"/>
        </w:rPr>
        <w:t>www.washpostco.com,</w:t>
      </w:r>
      <w:r>
        <w:rPr>
          <w:rFonts w:ascii="Arial" w:cs="Arial" w:eastAsia="Arial" w:hAnsi="Arial"/>
          <w:sz w:val="16"/>
          <w:szCs w:val="16"/>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in May 2004 the Company’s Chief Executive Officer submitted to the New York Stock Exchange the certification regarding compliance with the NYSE’s corporate governance listing standards required by Section 303A.12 of the NYSE Listed Company Manual.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information contained under the headings “Director Compensation,” “Executive Compensation,” “Retirement Plans,” “Compensation Committee Report on Executive Compensation,” “Compensation Committee Interlocks and Insider Participation” and “Performance Graph” in the definitive Proxy Statement for the Company’s 2005 Annual Meeting of Stockholders is incorporated herein by reference thereto.</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information contained under the heading “Stock Holdings of Certain Beneficial Owners and Management” and in the table titled “Equity Compensation Plan Information” in the definitive Proxy Statement for the Company’s 2005 Annual Meeting of Stockholders is incorporated herein by reference thereto.</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contained under the heading “Certain Relationships and Related Transactions” in the definitive Proxy Statement for the Company’s 2005 Annual Meeting of Stockholders is incorporated herein by reference thereto.</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2005 Annual Meeting of Stockholders is incorporated herein by reference thereto.</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880" w:hanging="18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financial information on page 27 hereof.</w:t>
      </w:r>
    </w:p>
    <w:p>
      <w:pPr>
        <w:spacing w:after="0" w:line="117" w:lineRule="exact"/>
        <w:rPr>
          <w:sz w:val="20"/>
          <w:szCs w:val="20"/>
          <w:color w:val="auto"/>
        </w:rPr>
      </w:pPr>
    </w:p>
    <w:p>
      <w:pPr>
        <w:ind w:left="880" w:hanging="18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financial information on page 27 hereof.</w:t>
      </w:r>
    </w:p>
    <w:p>
      <w:pPr>
        <w:spacing w:after="0" w:line="117" w:lineRule="exact"/>
        <w:rPr>
          <w:sz w:val="20"/>
          <w:szCs w:val="20"/>
          <w:color w:val="auto"/>
        </w:rPr>
      </w:pPr>
    </w:p>
    <w:p>
      <w:pPr>
        <w:ind w:left="880" w:hanging="18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exhibits on page 63 hereof.</w:t>
      </w:r>
    </w:p>
    <w:p>
      <w:pPr>
        <w:spacing w:after="0" w:line="200" w:lineRule="exact"/>
        <w:rPr>
          <w:sz w:val="20"/>
          <w:szCs w:val="20"/>
          <w:color w:val="auto"/>
        </w:rPr>
      </w:pPr>
    </w:p>
    <w:p>
      <w:pPr>
        <w:spacing w:after="0" w:line="35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 on March 2, 2005.</w:t>
      </w:r>
    </w:p>
    <w:p>
      <w:pPr>
        <w:spacing w:after="0" w:line="58"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(Registrant)</w:t>
      </w:r>
    </w:p>
    <w:p>
      <w:pPr>
        <w:spacing w:after="0" w:line="359" w:lineRule="exact"/>
        <w:rPr>
          <w:sz w:val="20"/>
          <w:szCs w:val="20"/>
          <w:color w:val="auto"/>
        </w:rPr>
      </w:pPr>
    </w:p>
    <w:p>
      <w:pPr>
        <w:ind w:left="616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B. Morse, Jr.</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Vice President-Finance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Pursuant to the requirements of the Securities Exchange Act of 1934, this report has been signed below by the following persons on behalf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 and in the capacities indicated on March 2, 2005:</w:t>
      </w:r>
    </w:p>
    <w:p>
      <w:pPr>
        <w:spacing w:after="0" w:line="332"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1"/>
              </w:rPr>
              <w:t>Donald E. Graham</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2"/>
              </w:rPr>
              <w:t>Chairman of the Board and Chief Executive Officer (Principal</w:t>
            </w:r>
          </w:p>
        </w:tc>
      </w:tr>
      <w:tr>
        <w:trPr>
          <w:trHeight w:val="230"/>
        </w:trPr>
        <w:tc>
          <w:tcPr>
            <w:tcW w:w="2780" w:type="dxa"/>
            <w:vAlign w:val="bottom"/>
          </w:tcPr>
          <w:p>
            <w:pPr>
              <w:spacing w:after="0"/>
              <w:rPr>
                <w:sz w:val="20"/>
                <w:szCs w:val="20"/>
                <w:color w:val="auto"/>
              </w:rPr>
            </w:pP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3"/>
              </w:rPr>
              <w:t>Executive Officer) and Director</w:t>
            </w:r>
          </w:p>
        </w:tc>
      </w:tr>
      <w:tr>
        <w:trPr>
          <w:trHeight w:val="432"/>
        </w:trPr>
        <w:tc>
          <w:tcPr>
            <w:tcW w:w="2780" w:type="dxa"/>
            <w:vAlign w:val="bottom"/>
          </w:tcPr>
          <w:p>
            <w:pPr>
              <w:ind w:left="160"/>
              <w:spacing w:after="0"/>
              <w:rPr>
                <w:sz w:val="20"/>
                <w:szCs w:val="20"/>
                <w:color w:val="auto"/>
              </w:rPr>
            </w:pPr>
            <w:r>
              <w:rPr>
                <w:rFonts w:ascii="Arial" w:cs="Arial" w:eastAsia="Arial" w:hAnsi="Arial"/>
                <w:sz w:val="18"/>
                <w:szCs w:val="18"/>
                <w:color w:val="auto"/>
              </w:rPr>
              <w:t>John B. Morse, Jr.</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2"/>
              </w:rPr>
              <w:t>Vice President-Finance (Principal Financial and Accounting Officer)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2"/>
              </w:rPr>
              <w:t>Warren E. Buffett</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8"/>
              </w:rPr>
              <w:t>Barry Diller</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ind w:left="160"/>
              <w:spacing w:after="0"/>
              <w:rPr>
                <w:sz w:val="20"/>
                <w:szCs w:val="20"/>
                <w:color w:val="auto"/>
              </w:rPr>
            </w:pPr>
            <w:r>
              <w:rPr>
                <w:rFonts w:ascii="Arial" w:cs="Arial" w:eastAsia="Arial" w:hAnsi="Arial"/>
                <w:sz w:val="18"/>
                <w:szCs w:val="18"/>
                <w:color w:val="auto"/>
              </w:rPr>
              <w:t>John L. Dotson Jr.</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0"/>
              </w:rPr>
              <w:t>Melinda French Gates</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30"/>
              <w:spacing w:after="0"/>
              <w:rPr>
                <w:sz w:val="20"/>
                <w:szCs w:val="20"/>
                <w:color w:val="auto"/>
              </w:rPr>
            </w:pPr>
            <w:r>
              <w:rPr>
                <w:rFonts w:ascii="Arial" w:cs="Arial" w:eastAsia="Arial" w:hAnsi="Arial"/>
                <w:sz w:val="18"/>
                <w:szCs w:val="18"/>
                <w:color w:val="auto"/>
                <w:w w:val="93"/>
              </w:rPr>
              <w:t>George J. Gillespie, III</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2"/>
              </w:rPr>
              <w:t>Ronald L. Olson</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30"/>
              <w:spacing w:after="0"/>
              <w:rPr>
                <w:sz w:val="20"/>
                <w:szCs w:val="20"/>
                <w:color w:val="auto"/>
              </w:rPr>
            </w:pPr>
            <w:r>
              <w:rPr>
                <w:rFonts w:ascii="Arial" w:cs="Arial" w:eastAsia="Arial" w:hAnsi="Arial"/>
                <w:sz w:val="18"/>
                <w:szCs w:val="18"/>
                <w:color w:val="auto"/>
              </w:rPr>
              <w:t>Alice M. Rivlin</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2"/>
              </w:rPr>
              <w:t>Richard D. Simmons</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0"/>
              </w:rPr>
              <w:t>George W. Wilson</w:t>
            </w:r>
          </w:p>
        </w:tc>
        <w:tc>
          <w:tcPr>
            <w:tcW w:w="608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bl>
    <w:p>
      <w:pPr>
        <w:spacing w:after="0" w:line="9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By</w:t>
            </w:r>
          </w:p>
        </w:tc>
        <w:tc>
          <w:tcPr>
            <w:tcW w:w="4240" w:type="dxa"/>
            <w:vAlign w:val="bottom"/>
          </w:tcPr>
          <w:p>
            <w:pPr>
              <w:ind w:left="800"/>
              <w:spacing w:after="0"/>
              <w:rPr>
                <w:sz w:val="20"/>
                <w:szCs w:val="20"/>
                <w:color w:val="auto"/>
              </w:rPr>
            </w:pPr>
            <w:r>
              <w:rPr>
                <w:rFonts w:ascii="Arial" w:cs="Arial" w:eastAsia="Arial" w:hAnsi="Arial"/>
                <w:sz w:val="18"/>
                <w:szCs w:val="18"/>
                <w:color w:val="auto"/>
              </w:rPr>
              <w:t>/s/ JOHN B. MORSE, JR.</w:t>
            </w:r>
          </w:p>
        </w:tc>
      </w:tr>
      <w:tr>
        <w:trPr>
          <w:trHeight w:val="27"/>
        </w:trPr>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40" w:type="dxa"/>
            <w:vAlign w:val="bottom"/>
          </w:tcPr>
          <w:p>
            <w:pPr>
              <w:jc w:val="center"/>
              <w:ind w:right="910"/>
              <w:spacing w:after="0"/>
              <w:rPr>
                <w:sz w:val="20"/>
                <w:szCs w:val="20"/>
                <w:color w:val="auto"/>
              </w:rPr>
            </w:pPr>
            <w:r>
              <w:rPr>
                <w:rFonts w:ascii="Arial" w:cs="Arial" w:eastAsia="Arial" w:hAnsi="Arial"/>
                <w:sz w:val="18"/>
                <w:szCs w:val="18"/>
                <w:color w:val="auto"/>
                <w:w w:val="90"/>
              </w:rPr>
              <w:t>John B. Morse, Jr.</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tcPr>
          <w:p>
            <w:pPr>
              <w:jc w:val="center"/>
              <w:ind w:right="910"/>
              <w:spacing w:after="0"/>
              <w:rPr>
                <w:sz w:val="20"/>
                <w:szCs w:val="20"/>
                <w:color w:val="auto"/>
              </w:rPr>
            </w:pPr>
            <w:r>
              <w:rPr>
                <w:rFonts w:ascii="Arial" w:cs="Arial" w:eastAsia="Arial" w:hAnsi="Arial"/>
                <w:sz w:val="18"/>
                <w:szCs w:val="18"/>
                <w:color w:val="auto"/>
                <w:w w:val="93"/>
              </w:rPr>
              <w:t>Attorney-in-Fact</w:t>
            </w: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 original power of attorney authorizing Donald E. Graham, John B. Morse, Jr. and Diana M. Daniels,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154940</wp:posOffset>
            </wp:positionV>
            <wp:extent cx="15862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640" w:type="dxa"/>
            <w:vAlign w:val="bottom"/>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Management’s Discussion and Analysis of Results of Operations and Financial Condition (Unaudited)</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 and Schedules:</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Report of Independent Registered Public Accounting Firm</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Consolidated Statements of Income and Consolidated Statements of Comprehensive Income for the Three Fiscal Years Ended January 2,</w:t>
            </w:r>
          </w:p>
        </w:tc>
        <w:tc>
          <w:tcPr>
            <w:tcW w:w="760" w:type="dxa"/>
            <w:vAlign w:val="bottom"/>
            <w:shd w:val="clear" w:color="auto" w:fill="CCEEFF"/>
          </w:tcPr>
          <w:p>
            <w:pPr>
              <w:jc w:val="right"/>
              <w:ind w:right="132"/>
              <w:spacing w:after="0" w:line="201"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2005</w:t>
            </w: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Balance Sheets at January 2, 2005 and December 28, 2003</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Statements of Cash Flows for the Three Fiscal Years Ended January 2, 2005</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Statements of Changes in Common Shareholders’ Equity for the Three Fiscal Years Ended January 2, 2005</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Statement Schedule for the Three Fiscal Years Ended January 2, 2005:</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II — Valuation and Qualifying Accounts</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Ten-Year Summary of Selected Historical Financial Data (Unaudited)</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317500</wp:posOffset>
            </wp:positionV>
            <wp:extent cx="15862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All other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0" w:name="page31"/>
    <w:bookmarkEnd w:id="30"/>
    <w:p>
      <w:pPr>
        <w:ind w:left="2000"/>
        <w:spacing w:after="0"/>
        <w:rPr>
          <w:sz w:val="20"/>
          <w:szCs w:val="20"/>
          <w:color w:val="auto"/>
        </w:rPr>
      </w:pPr>
      <w:r>
        <w:rPr>
          <w:rFonts w:ascii="Arial" w:cs="Arial" w:eastAsia="Arial" w:hAnsi="Arial"/>
          <w:sz w:val="14"/>
          <w:szCs w:val="14"/>
          <w:b w:val="1"/>
          <w:bCs w:val="1"/>
          <w:color w:val="auto"/>
        </w:rPr>
        <w:t>MANAGEMENT’S DISCUSSION AND ANALYSIS OF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This analysis should be read in conjunction with the consolidated financial statements and the notes thereto.</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08"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The Washington Post Company is a diversified media and education company, with education as the fastest-growing business. The Company operates principally in four areas of the media business: newspaper publishing, television broadcasting, magazine publishing and cable television. Through its subsidiary Kaplan, Inc., the Company provides educational services for individuals, schools and businesses. The Company’s business units are diverse and subject to different trends and risks.</w:t>
      </w:r>
    </w:p>
    <w:p>
      <w:pPr>
        <w:spacing w:after="0" w:line="5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2004, the Company’s education segment became the largest operating segment of the Company from a revenue standpoint. The Company has devoted significant resources and attention to this division, given the attractiveness of investment opportunities and growth prospects. The growth of Kaplan in recent years has come from both rapid internal growth and acquisitions. Each of Kaplan’s businesses showed revenue and operating income growth in 2004, except for Professional, which showed solid revenue growth, but was essentially flat in operating income due to new programs and increased technology costs. The campus-based and online businesses in Kaplan’s higher education division showed particularly significant revenue and operating income growth. Kaplan completed its first full year operating The Financial Training Company, a test preparation services company for accountants and financial services professionals, primarily in the United Kingdom; and Dublin Business School, Ireland’s largest private undergraduate institution. These 2003 acquisitions marked the Company’s most significant business investments outside the United States in more than 10 years, and both have helped grow Kaplan’s revenue and operating income in 2004. Kaplan made eight acquisitions in 2004, none of them individually significant from a financial standpoint. Over the past several years, Kaplan’s revenues have grown rapidly while operating income (loss) has fluctuated due largely to various business investments and stock compensation charges.</w:t>
      </w:r>
    </w:p>
    <w:p>
      <w:pPr>
        <w:spacing w:after="0" w:line="87"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The cable division has also been a source of recent growth and capital investment. Cable One’s industry has experienced significant technological changes, which have created new revenue opportunities, such as digital television and broadband, as well as increased competition, particularly from satellite television service providers. While the cable division’s subscriber base stabilized in 2003, there was a modest decline in the number of basic cable subscribers in 2004 (709,100 at the end of 2004, compared to 720,800 at the end of 2003) and paying digital subscribers (219,200 at the end of 2004, as compared to 222,900 at the end of December 2003). Cable One implemented a $2 monthly rate increase for basic cable service at most of its systems in March 2004, but has no plans for a basic rate increase in 2005. High-speed data subscribers grew 33% in 2004 (178,300 at the end of 2004, compared to 133,800 at the end of 2003). The cable division began offering bundled services in 2003 (basic and tier service, digital service, and high speed data service in one package) with monthly subscriber discounts. By the end of 2004, 12% of the cable division’s subscribers accepted the full bundle of services.</w:t>
      </w:r>
    </w:p>
    <w:p>
      <w:pPr>
        <w:spacing w:after="0" w:line="56"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The Company’s newspaper publishing, broadcast television and magazine publishing divisions derive revenue from advertising and, to a lesser extent, circulation and subscriptions. The results of these divisions tend to fluctuate with the overall advertising cycle (amongst other business factors). In 2004, advertising showed continued improvement. The Washington Post newspaper reported continued strong increases in print classified recruitment revenue, with a 20% increase for the year. Preprint and general print advertising categories had solid growth in 2004 as well. Circulation volume continued a downward trend. The Post benefited from payroll savings in 2004 as a result of early retirement programs in 2003 that were accepted by 153 employees. The Company’s online publishing business, Washingtonpost.Newsweek Interactive, showed 32% revenue growth in 2004 and reported positive operating income (as we measure it internally) for the first time.</w:t>
      </w:r>
    </w:p>
    <w:p>
      <w:pPr>
        <w:spacing w:after="0" w:line="69"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The Company’s television broadcasting division experienced a large increase in operating income due primarily to significant political and Olympics-related advertising in 2004. The Company expects a significant decline in television broadcasting operating income for 2005 as a result of the absence of any significant political elections and no Olympics programming. Newsweek magazine showed ad growth in 2004 in both its domestic and international editions.</w:t>
      </w:r>
    </w:p>
    <w:p>
      <w:pPr>
        <w:spacing w:after="0" w:line="76" w:lineRule="exact"/>
        <w:rPr>
          <w:sz w:val="20"/>
          <w:szCs w:val="20"/>
          <w:color w:val="auto"/>
        </w:rPr>
      </w:pPr>
    </w:p>
    <w:p>
      <w:pPr>
        <w:jc w:val="both"/>
        <w:ind w:right="220"/>
        <w:spacing w:after="0" w:line="293" w:lineRule="auto"/>
        <w:rPr>
          <w:sz w:val="20"/>
          <w:szCs w:val="20"/>
          <w:color w:val="auto"/>
        </w:rPr>
      </w:pPr>
      <w:r>
        <w:rPr>
          <w:rFonts w:ascii="Arial" w:cs="Arial" w:eastAsia="Arial" w:hAnsi="Arial"/>
          <w:sz w:val="16"/>
          <w:szCs w:val="16"/>
          <w:color w:val="auto"/>
        </w:rPr>
        <w:t>The Company generates a significant amount of cash from its businesses that is used to support its operations, to pay down debt, and to fund capital expenditures, dividends and acquisitions.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2004 COMPARED TO 2003</w:t>
      </w:r>
    </w:p>
    <w:p>
      <w:pPr>
        <w:spacing w:after="0" w:line="10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Net income was $332.7 million ($34.59 per share) for the fiscal year 2004 ended January 2, 2005, compared with $241.1 million ($25.12 per share) for the fiscal year 2003 ended December 28, 2003. Each of the Company’s divisions reported strong growth in operating income for 2004. The Company’s 2003 results included a non-operating gain from the sale of the Company’s 50% interest in the International Herald Tribune (after-tax impact of $32.3 million, or $3.38 per share), an operating gain from the sale of land at The Washington Post newspaper (after-tax impact of $25.5 million, or $2.66 per share) and early retirement program charges at The Washington Post newspaper (after-tax impact of $20.8 million, or $2.18 per share). Also included in 2003 results is a charge in connection with the establishment of the Kaplan Educational Foundation (after-tax impact of $3.9 million, or $0.41 per share) and Kaplan stock compensation expense for the 10% premium associated with a partial buyout of the Kaplan stock compensation plan (after-tax impact of $6.4 million, or $0.67 per share).</w:t>
      </w:r>
    </w:p>
    <w:p>
      <w:pPr>
        <w:spacing w:after="0" w:line="8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Revenue for 2004 was $3,300.1 million, up 16% compared to $2,838.9 million in 2003. The increase in revenue is due mostly to significant revenue growth at the education and television broadcasting divisions, along with increases at the Company’s cable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31" w:name="page32"/>
    <w:bookmarkEnd w:id="31"/>
    <w:p>
      <w:pPr>
        <w:spacing w:after="0" w:line="270" w:lineRule="auto"/>
        <w:rPr>
          <w:sz w:val="20"/>
          <w:szCs w:val="20"/>
          <w:color w:val="auto"/>
        </w:rPr>
      </w:pPr>
      <w:r>
        <w:rPr>
          <w:rFonts w:ascii="Arial" w:cs="Arial" w:eastAsia="Arial" w:hAnsi="Arial"/>
          <w:sz w:val="16"/>
          <w:szCs w:val="16"/>
          <w:color w:val="auto"/>
        </w:rPr>
        <w:t>television, newspaper publishing and magazine publishing divisions. Advertising revenue increased 10% in 2004, and circulation and subscriber revenue increased 5%. Education revenue increased 35% in 2004, and other revenue was up 6%. The increase in advertising revenue is due to increases at the television broadcasting, newspaper publishing and magazine publishing divisions. The increase in circulation and subscriber revenue is due to a 9% increase in subscriber revenue at the cable division from continued growth in cable modem, basic and digital service revenues, a 2% increase in circulation revenue at The Post, and a 4% decline in Newsweek circulation revenues due to subscription rate declines at the domestic edition of Newsweek. Revenue growth at Kaplan, Inc. (about 33% of which was from acquisitions) accounted for the increase in education revenue.</w:t>
      </w:r>
    </w:p>
    <w:p>
      <w:pPr>
        <w:spacing w:after="0" w:line="82"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Operating costs and expenses for the year increased 11% to $2,737.1 million, from $2,475.1 million in 2003. The increase is primarily due to higher expenses from operating growth at the education, cable television and television broadcasting divisions, higher newsprint prices and a reduced pension credit, offset by a significant decrease in stock-based compensation expense at Kaplan.</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Operating income increased 55% to $563.0 million, from $363.8 million in 2003, due largely to significantly improved results at the education and television broadcasting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divisions. Kaplan results for 2004 include $32.5 million in stock compensation expense. In addition to pre-tax charges of $10.5 million for the 10% buyout premium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$6.5 million for the Kaplan Education Foundation, Kaplan results for 2003 included an additional $108.6 million in Kaplan stock compensation expense. Operating results for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2003 also included a $41.7 million pre-tax gain on the sale of land at The Washington Post newspaper and $34.1 million in pre-tax charges from early retirement programs at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Washington Post newspaper.</w:t>
      </w:r>
    </w:p>
    <w:p>
      <w:pPr>
        <w:spacing w:after="0" w:line="123"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The Company’s 2004 operating income includes $42.0 million of net pension credits, compared to $55.1 million in 2003. These amounts exclude $0.1 million and $34.1 million in charges related to early retirement programs in 2004 and 2003,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Newspaper Publishing Division. </w:t>
      </w:r>
      <w:r>
        <w:rPr>
          <w:rFonts w:ascii="Arial" w:cs="Arial" w:eastAsia="Arial" w:hAnsi="Arial"/>
          <w:sz w:val="15"/>
          <w:szCs w:val="15"/>
          <w:color w:val="auto"/>
        </w:rPr>
        <w:t>At the newspaper publishing division, 2004 generally included 53 weeks compared to 52 weeks in 2003. Newspaper publishing division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 in 2004 increased 7% to $938.1 million, from $872.8 million in 2003. Division operating income for 2004 totaled $143.1 million, an increase of 7% from</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$134.2 million in 2003. The increase in operating income for 2004 reflects higher print and online advertising revenue, 2003 pre-tax charges of $34.1 million from early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retirement programs at The Washington Post newspaper and payroll savings from the early retirement programs implemented at The Post in 2003. These factors were partially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offset by a $41.7 million pre-tax gain on the sale of land at The Washington Post newspaper in the fourth quarter of 2003, a 12% increase in newsprint expense at The Post and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 $10.8 million reduction in the net pension credit, excluding charges related to early retirement programs. Operating margin at the newspaper publishing division was 15% for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2004 and 2003.</w:t>
      </w:r>
    </w:p>
    <w:p>
      <w:pPr>
        <w:spacing w:after="0" w:line="123"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Print advertising revenue at The Washington Post newspaper in 2004 increased 5% to $603.3 million, from $572.2 million in 2003. The increase in print advertising revenue for 2004 is primarily due to increases in classified recruitment, preprints and general advertising categories. Classified recruitment advertising revenue was up 20% to $74.8 million in 2004, a $12.5 million increase compared to 2003.</w:t>
      </w:r>
    </w:p>
    <w:p>
      <w:pPr>
        <w:spacing w:after="0" w:line="76"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Circulation revenue at The Post was up 2% for 2004 due to an increase in home delivery prices in 2003 and an extra week in fiscal 2004. Daily circulation at The Post declined 2.6% and Sunday circulation declined 2.3% in 2004; average daily circulation totaled 726,000 (unaudited) and average Sunday circulation totaled 1,011,000 (unaudited).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During 2004, revenue generated by the Company’s online publishing activities, primarily washingtonpost.com, increased 32% to $62.0 million, from $46.9 million in 2003.</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Local and national online advertising revenues grew 46% and online classified advertising revenue on washingtonpost.com increased 33%.</w:t>
      </w:r>
    </w:p>
    <w:p>
      <w:pPr>
        <w:spacing w:after="0" w:line="123" w:lineRule="exact"/>
        <w:rPr>
          <w:sz w:val="20"/>
          <w:szCs w:val="20"/>
          <w:color w:val="auto"/>
        </w:rPr>
      </w:pPr>
    </w:p>
    <w:p>
      <w:pPr>
        <w:ind w:right="200"/>
        <w:spacing w:after="0" w:line="385" w:lineRule="auto"/>
        <w:rPr>
          <w:sz w:val="20"/>
          <w:szCs w:val="20"/>
          <w:color w:val="auto"/>
        </w:rPr>
      </w:pPr>
      <w:r>
        <w:rPr>
          <w:rFonts w:ascii="Arial" w:cs="Arial" w:eastAsia="Arial" w:hAnsi="Arial"/>
          <w:sz w:val="14"/>
          <w:szCs w:val="14"/>
          <w:color w:val="auto"/>
        </w:rPr>
        <w:t xml:space="preserve">On January 14, 2005, the Company completed the acquisition of Slate, the online magazine, which will be included as part of the Company’s newspaper publishing division. </w:t>
      </w:r>
      <w:r>
        <w:rPr>
          <w:rFonts w:ascii="Arial" w:cs="Arial" w:eastAsia="Arial" w:hAnsi="Arial"/>
          <w:sz w:val="14"/>
          <w:szCs w:val="14"/>
          <w:b w:val="1"/>
          <w:bCs w:val="1"/>
          <w:color w:val="auto"/>
        </w:rPr>
        <w:t xml:space="preserve">Television Broadcasting Division. </w:t>
      </w:r>
      <w:r>
        <w:rPr>
          <w:rFonts w:ascii="Arial" w:cs="Arial" w:eastAsia="Arial" w:hAnsi="Arial"/>
          <w:sz w:val="14"/>
          <w:szCs w:val="14"/>
          <w:color w:val="auto"/>
        </w:rPr>
        <w:t>Revenue for the television broadcasting division increased 15% to $361.7 million in 2004, from $315.1 million in 2003, due to</w:t>
      </w:r>
    </w:p>
    <w:p>
      <w:pPr>
        <w:ind w:right="200"/>
        <w:spacing w:after="0" w:line="288" w:lineRule="auto"/>
        <w:rPr>
          <w:sz w:val="20"/>
          <w:szCs w:val="20"/>
          <w:color w:val="auto"/>
        </w:rPr>
      </w:pPr>
      <w:r>
        <w:rPr>
          <w:rFonts w:ascii="Arial" w:cs="Arial" w:eastAsia="Arial" w:hAnsi="Arial"/>
          <w:sz w:val="16"/>
          <w:szCs w:val="16"/>
          <w:color w:val="auto"/>
        </w:rPr>
        <w:t>$34.3 million in political advertising in 2004, $8.0 million in incremental summer Olympics-related advertising at the Company’s NBC affiliates in 2004 and several days of commercial-free coverage in connection with the Iraq war in March 2003.</w:t>
      </w:r>
    </w:p>
    <w:p>
      <w:pPr>
        <w:spacing w:after="0" w:line="6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Operating income for 2004 increased 25% to $174.2 million, from $139.7 million in 2003, primarily as a result of the revenue increases discussed above. Operating margin at the broadcast division was 48% for 2004 and 44% for 2003.</w:t>
      </w:r>
    </w:p>
    <w:p>
      <w:pPr>
        <w:spacing w:after="0" w:line="64" w:lineRule="exact"/>
        <w:rPr>
          <w:sz w:val="20"/>
          <w:szCs w:val="20"/>
          <w:color w:val="auto"/>
        </w:rPr>
      </w:pPr>
    </w:p>
    <w:p>
      <w:pPr>
        <w:jc w:val="both"/>
        <w:ind w:right="260"/>
        <w:spacing w:after="0" w:line="278" w:lineRule="auto"/>
        <w:rPr>
          <w:sz w:val="20"/>
          <w:szCs w:val="20"/>
          <w:color w:val="auto"/>
        </w:rPr>
      </w:pPr>
      <w:r>
        <w:rPr>
          <w:rFonts w:ascii="Arial" w:cs="Arial" w:eastAsia="Arial" w:hAnsi="Arial"/>
          <w:sz w:val="16"/>
          <w:szCs w:val="16"/>
          <w:color w:val="auto"/>
        </w:rPr>
        <w:t>Competitive market position remained strong for the Company’s television stations. WDIV in Detroit and KSAT in San Antonio were ranked number one in the November 2004 ratings period, Monday through Friday, sign-on to sign-off; WKMG in Orlando ranked second; WJXT in Jacksonville and KPRC in Houston ranked third; and WPLG was third among English-language stations in the Miami market.</w:t>
      </w:r>
    </w:p>
    <w:p>
      <w:pPr>
        <w:spacing w:after="0" w:line="7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$366.1 million for 2004, a 4% increase from $353.6 million in 2003. The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2004 is primarily due to a 9% increase in advertising revenue, largely from increased ad pages at the domestic and international editions of Newsweek and at Arthur Frommer’s Budget Travel magazine, as well as lower travel-related advertising revenues at the Pacific edition of Newsweek in 2003 due to the SARS outbreak, offset by a 4% decline in circulation revenue.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totaled $52.9 million for 2004, an increase of 22% from $43.5 million in 2003. The improvement in operating</w:t>
      </w:r>
    </w:p>
    <w:p>
      <w:pPr>
        <w:spacing w:after="0" w:line="200" w:lineRule="exact"/>
        <w:rPr>
          <w:sz w:val="20"/>
          <w:szCs w:val="20"/>
          <w:color w:val="auto"/>
        </w:rPr>
      </w:pPr>
    </w:p>
    <w:p>
      <w:pPr>
        <w:spacing w:after="0" w:line="36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32" w:name="page33"/>
    <w:bookmarkEnd w:id="32"/>
    <w:p>
      <w:pPr>
        <w:ind w:right="240"/>
        <w:spacing w:after="0" w:line="293" w:lineRule="auto"/>
        <w:rPr>
          <w:sz w:val="20"/>
          <w:szCs w:val="20"/>
          <w:color w:val="auto"/>
        </w:rPr>
      </w:pPr>
      <w:r>
        <w:rPr>
          <w:rFonts w:ascii="Arial" w:cs="Arial" w:eastAsia="Arial" w:hAnsi="Arial"/>
          <w:sz w:val="16"/>
          <w:szCs w:val="16"/>
          <w:color w:val="auto"/>
        </w:rPr>
        <w:t>results for 2004 is primarily due to increased advertising revenue, continued cost controls at Newsweek’s international editions and improved results at the Company’s trade magazines.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at the magazine publishing division was 14% for 2004 and 12% for 2003.</w:t>
      </w:r>
    </w:p>
    <w:p>
      <w:pPr>
        <w:spacing w:after="0" w:line="123"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Cable division revenue of $499.3 million for 2004 represents a 9% increase from revenue of $459.4 million in 2003. The 2004 revenue increase is</w:t>
      </w:r>
      <w:r>
        <w:rPr>
          <w:rFonts w:ascii="Arial" w:cs="Arial" w:eastAsia="Arial" w:hAnsi="Arial"/>
          <w:sz w:val="16"/>
          <w:szCs w:val="16"/>
          <w:b w:val="1"/>
          <w:bCs w:val="1"/>
          <w:color w:val="auto"/>
        </w:rPr>
        <w:t xml:space="preserve"> </w:t>
      </w:r>
      <w:r>
        <w:rPr>
          <w:rFonts w:ascii="Arial" w:cs="Arial" w:eastAsia="Arial" w:hAnsi="Arial"/>
          <w:sz w:val="16"/>
          <w:szCs w:val="16"/>
          <w:color w:val="auto"/>
        </w:rPr>
        <w:t>due to continued growth in the division’s cable modem and digital service revenues and a $2 monthly rate increase for basic cable service, effective March 1, 2004, at most of the cable division’s systems.</w:t>
      </w:r>
    </w:p>
    <w:p>
      <w:pPr>
        <w:spacing w:after="0" w:line="74"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Cable division operating income increased 18% in 2004 to $104.2 million, from $88.4 million in 2003. The increase in 2004 operating income is due mostly to the division’s significant revenue growth, offset by higher programming, Internet and depreciation costs. Operating margin at the cable television division was 21% in 2004 and 19% in 2003.</w:t>
      </w:r>
    </w:p>
    <w:p>
      <w:pPr>
        <w:spacing w:after="0" w:line="1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At December 31, 2004, the cable division had approximately 219,200 digital cable subscribers, down slightly from 222,900 at December 31, 2003. This represents a 31% penetration of the subscriber base. At December 31, 2004, the cable division had 178,300 CableONE.net service subscribers, compared to 133,800 at December 31, 2003. Both digital and cable modem services are now offered in virtually all of the cable division’s markets. At December 31, 2004, the cable division had 709,100 basic subscribers, compared to 720,800 at December 31, 2003. The decrease is due to small losses associated with the basic rate increase discussed above, along with continued competition from DBS providers.</w:t>
      </w:r>
    </w:p>
    <w:p>
      <w:pPr>
        <w:spacing w:after="0" w:line="8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At December 31, 2004, Revenue Generating Units (RGUs), the sum of basic video, digital video and cable modem subscribers, totaled 1,106,600, compared to 1,077,500 as of December 31, 2003. The increase is due to an increase in the number of cable modem customers. RGUs include about 6,500 subscribers who receive free basic video service, primarily local governments, schools and other organizations as required by various franchise agreements.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Below are details of cable division capital expenditures for 2004 and 2003, in the NCTA Standard Reporting Categories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4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849"/>
              <w:spacing w:after="0"/>
              <w:rPr>
                <w:sz w:val="20"/>
                <w:szCs w:val="20"/>
                <w:color w:val="auto"/>
              </w:rPr>
            </w:pPr>
            <w:r>
              <w:rPr>
                <w:rFonts w:ascii="Arial" w:cs="Arial" w:eastAsia="Arial" w:hAnsi="Arial"/>
                <w:sz w:val="13"/>
                <w:szCs w:val="13"/>
                <w:b w:val="1"/>
                <w:bCs w:val="1"/>
                <w:color w:val="auto"/>
              </w:rPr>
              <w:t>2004</w:t>
            </w:r>
          </w:p>
        </w:tc>
        <w:tc>
          <w:tcPr>
            <w:tcW w:w="180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2003</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premise equipment</w:t>
            </w:r>
          </w:p>
        </w:tc>
        <w:tc>
          <w:tcPr>
            <w:tcW w:w="2180" w:type="dxa"/>
            <w:vAlign w:val="bottom"/>
            <w:shd w:val="clear" w:color="auto" w:fill="CCEEFF"/>
          </w:tcPr>
          <w:p>
            <w:pPr>
              <w:jc w:val="right"/>
              <w:ind w:right="849"/>
              <w:spacing w:after="0" w:line="149" w:lineRule="exact"/>
              <w:rPr>
                <w:sz w:val="20"/>
                <w:szCs w:val="20"/>
                <w:color w:val="auto"/>
              </w:rPr>
            </w:pPr>
            <w:r>
              <w:rPr>
                <w:rFonts w:ascii="Arial" w:cs="Arial" w:eastAsia="Arial" w:hAnsi="Arial"/>
                <w:sz w:val="14"/>
                <w:szCs w:val="14"/>
                <w:b w:val="1"/>
                <w:bCs w:val="1"/>
                <w:color w:val="auto"/>
              </w:rPr>
              <w:t>$ 23.5</w:t>
            </w:r>
          </w:p>
        </w:tc>
        <w:tc>
          <w:tcPr>
            <w:tcW w:w="180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$ 17.0</w:t>
            </w: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2180" w:type="dxa"/>
            <w:vAlign w:val="bottom"/>
          </w:tcPr>
          <w:p>
            <w:pPr>
              <w:jc w:val="right"/>
              <w:ind w:right="849"/>
              <w:spacing w:after="0" w:line="149" w:lineRule="exact"/>
              <w:rPr>
                <w:sz w:val="20"/>
                <w:szCs w:val="20"/>
                <w:color w:val="auto"/>
              </w:rPr>
            </w:pPr>
            <w:r>
              <w:rPr>
                <w:rFonts w:ascii="Arial" w:cs="Arial" w:eastAsia="Arial" w:hAnsi="Arial"/>
                <w:sz w:val="14"/>
                <w:szCs w:val="14"/>
                <w:b w:val="1"/>
                <w:bCs w:val="1"/>
                <w:color w:val="auto"/>
              </w:rPr>
              <w:t>0.1</w:t>
            </w:r>
          </w:p>
        </w:tc>
        <w:tc>
          <w:tcPr>
            <w:tcW w:w="180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0.1</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Scaleable infrastructure</w:t>
            </w:r>
          </w:p>
        </w:tc>
        <w:tc>
          <w:tcPr>
            <w:tcW w:w="2180" w:type="dxa"/>
            <w:vAlign w:val="bottom"/>
            <w:shd w:val="clear" w:color="auto" w:fill="CCEEFF"/>
          </w:tcPr>
          <w:p>
            <w:pPr>
              <w:jc w:val="right"/>
              <w:ind w:right="849"/>
              <w:spacing w:after="0" w:line="149" w:lineRule="exact"/>
              <w:rPr>
                <w:sz w:val="20"/>
                <w:szCs w:val="20"/>
                <w:color w:val="auto"/>
              </w:rPr>
            </w:pPr>
            <w:r>
              <w:rPr>
                <w:rFonts w:ascii="Arial" w:cs="Arial" w:eastAsia="Arial" w:hAnsi="Arial"/>
                <w:sz w:val="14"/>
                <w:szCs w:val="14"/>
                <w:b w:val="1"/>
                <w:bCs w:val="1"/>
                <w:color w:val="auto"/>
              </w:rPr>
              <w:t>8.6</w:t>
            </w:r>
          </w:p>
        </w:tc>
        <w:tc>
          <w:tcPr>
            <w:tcW w:w="180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5.3</w:t>
            </w: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Line extensions</w:t>
            </w:r>
          </w:p>
        </w:tc>
        <w:tc>
          <w:tcPr>
            <w:tcW w:w="2180" w:type="dxa"/>
            <w:vAlign w:val="bottom"/>
          </w:tcPr>
          <w:p>
            <w:pPr>
              <w:jc w:val="right"/>
              <w:ind w:right="849"/>
              <w:spacing w:after="0" w:line="149" w:lineRule="exact"/>
              <w:rPr>
                <w:sz w:val="20"/>
                <w:szCs w:val="20"/>
                <w:color w:val="auto"/>
              </w:rPr>
            </w:pPr>
            <w:r>
              <w:rPr>
                <w:rFonts w:ascii="Arial" w:cs="Arial" w:eastAsia="Arial" w:hAnsi="Arial"/>
                <w:sz w:val="14"/>
                <w:szCs w:val="14"/>
                <w:b w:val="1"/>
                <w:bCs w:val="1"/>
                <w:color w:val="auto"/>
              </w:rPr>
              <w:t>14.0</w:t>
            </w:r>
          </w:p>
        </w:tc>
        <w:tc>
          <w:tcPr>
            <w:tcW w:w="180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10.6</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Upgrade/rebuild</w:t>
            </w:r>
          </w:p>
        </w:tc>
        <w:tc>
          <w:tcPr>
            <w:tcW w:w="2180" w:type="dxa"/>
            <w:vAlign w:val="bottom"/>
            <w:shd w:val="clear" w:color="auto" w:fill="CCEEFF"/>
          </w:tcPr>
          <w:p>
            <w:pPr>
              <w:jc w:val="right"/>
              <w:ind w:right="849"/>
              <w:spacing w:after="0" w:line="149" w:lineRule="exact"/>
              <w:rPr>
                <w:sz w:val="20"/>
                <w:szCs w:val="20"/>
                <w:color w:val="auto"/>
              </w:rPr>
            </w:pPr>
            <w:r>
              <w:rPr>
                <w:rFonts w:ascii="Arial" w:cs="Arial" w:eastAsia="Arial" w:hAnsi="Arial"/>
                <w:sz w:val="14"/>
                <w:szCs w:val="14"/>
                <w:b w:val="1"/>
                <w:bCs w:val="1"/>
                <w:color w:val="auto"/>
              </w:rPr>
              <w:t>15.6</w:t>
            </w:r>
          </w:p>
        </w:tc>
        <w:tc>
          <w:tcPr>
            <w:tcW w:w="180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21.4</w:t>
            </w:r>
          </w:p>
        </w:tc>
      </w:tr>
      <w:tr>
        <w:trPr>
          <w:trHeight w:val="156"/>
        </w:trPr>
        <w:tc>
          <w:tcPr>
            <w:tcW w:w="20" w:type="dxa"/>
            <w:vAlign w:val="bottom"/>
          </w:tcPr>
          <w:p>
            <w:pPr>
              <w:spacing w:after="0"/>
              <w:rPr>
                <w:sz w:val="13"/>
                <w:szCs w:val="13"/>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Support capital</w:t>
            </w:r>
          </w:p>
        </w:tc>
        <w:tc>
          <w:tcPr>
            <w:tcW w:w="2180" w:type="dxa"/>
            <w:vAlign w:val="bottom"/>
            <w:tcBorders>
              <w:bottom w:val="single" w:sz="8" w:color="auto"/>
            </w:tcBorders>
          </w:tcPr>
          <w:p>
            <w:pPr>
              <w:jc w:val="right"/>
              <w:ind w:right="849"/>
              <w:spacing w:after="0" w:line="149" w:lineRule="exact"/>
              <w:rPr>
                <w:sz w:val="20"/>
                <w:szCs w:val="20"/>
                <w:color w:val="auto"/>
              </w:rPr>
            </w:pPr>
            <w:r>
              <w:rPr>
                <w:rFonts w:ascii="Arial" w:cs="Arial" w:eastAsia="Arial" w:hAnsi="Arial"/>
                <w:sz w:val="14"/>
                <w:szCs w:val="14"/>
                <w:b w:val="1"/>
                <w:bCs w:val="1"/>
                <w:color w:val="auto"/>
              </w:rPr>
              <w:t>17.1</w:t>
            </w:r>
          </w:p>
        </w:tc>
        <w:tc>
          <w:tcPr>
            <w:tcW w:w="180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11.5</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Total</w:t>
            </w:r>
          </w:p>
        </w:tc>
        <w:tc>
          <w:tcPr>
            <w:tcW w:w="2180" w:type="dxa"/>
            <w:vAlign w:val="bottom"/>
            <w:tcBorders>
              <w:bottom w:val="single" w:sz="8" w:color="auto"/>
            </w:tcBorders>
            <w:shd w:val="clear" w:color="auto" w:fill="CCEEFF"/>
          </w:tcPr>
          <w:p>
            <w:pPr>
              <w:jc w:val="right"/>
              <w:ind w:right="849"/>
              <w:spacing w:after="0" w:line="149" w:lineRule="exact"/>
              <w:rPr>
                <w:sz w:val="20"/>
                <w:szCs w:val="20"/>
                <w:color w:val="auto"/>
              </w:rPr>
            </w:pPr>
            <w:r>
              <w:rPr>
                <w:rFonts w:ascii="Arial" w:cs="Arial" w:eastAsia="Arial" w:hAnsi="Arial"/>
                <w:sz w:val="14"/>
                <w:szCs w:val="14"/>
                <w:b w:val="1"/>
                <w:bCs w:val="1"/>
                <w:color w:val="auto"/>
              </w:rPr>
              <w:t>$78.9</w:t>
            </w:r>
          </w:p>
        </w:tc>
        <w:tc>
          <w:tcPr>
            <w:tcW w:w="180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$65.9</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in 2004 increased 35% to $1,134.9 million, from $838.1 million in 2003. Excluding revenue from acquired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in the higher education division and the professional training schools that are part of supplemental education, education division revenue increased 24% in 2004. Kaplan reported operating income of $121.5 million for the year, compared to an operating loss of $11.7 million in 2003; a significant portion of the improvement is from a $93.1 million decline in costs associated with the Kaplan stock option plan and the establishment of the Kaplan Educational Foundation, as discussed previously. A summary of operating results for 2004 compared to 2003 is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909"/>
              <w:spacing w:after="0"/>
              <w:rPr>
                <w:sz w:val="20"/>
                <w:szCs w:val="20"/>
                <w:color w:val="auto"/>
              </w:rPr>
            </w:pPr>
            <w:r>
              <w:rPr>
                <w:rFonts w:ascii="Arial" w:cs="Arial" w:eastAsia="Arial" w:hAnsi="Arial"/>
                <w:sz w:val="13"/>
                <w:szCs w:val="13"/>
                <w:b w:val="1"/>
                <w:bCs w:val="1"/>
                <w:color w:val="auto"/>
              </w:rPr>
              <w:t>2004</w:t>
            </w:r>
          </w:p>
        </w:tc>
        <w:tc>
          <w:tcPr>
            <w:tcW w:w="10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49"/>
              <w:spacing w:after="0"/>
              <w:rPr>
                <w:sz w:val="20"/>
                <w:szCs w:val="20"/>
                <w:color w:val="auto"/>
              </w:rPr>
            </w:pPr>
            <w:r>
              <w:rPr>
                <w:rFonts w:ascii="Arial" w:cs="Arial" w:eastAsia="Arial" w:hAnsi="Arial"/>
                <w:sz w:val="13"/>
                <w:szCs w:val="13"/>
                <w:color w:val="auto"/>
              </w:rPr>
              <w:t>2003</w:t>
            </w:r>
          </w:p>
        </w:tc>
        <w:tc>
          <w:tcPr>
            <w:tcW w:w="204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8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80"/>
              <w:spacing w:after="0" w:line="149" w:lineRule="exact"/>
              <w:rPr>
                <w:sz w:val="20"/>
                <w:szCs w:val="20"/>
                <w:color w:val="auto"/>
              </w:rPr>
            </w:pPr>
            <w:r>
              <w:rPr>
                <w:rFonts w:ascii="Arial" w:cs="Arial" w:eastAsia="Arial" w:hAnsi="Arial"/>
                <w:sz w:val="14"/>
                <w:szCs w:val="14"/>
                <w:color w:val="auto"/>
              </w:rPr>
              <w:t>Supplemental education</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909"/>
              <w:spacing w:after="0" w:line="149" w:lineRule="exact"/>
              <w:rPr>
                <w:sz w:val="20"/>
                <w:szCs w:val="20"/>
                <w:color w:val="auto"/>
              </w:rPr>
            </w:pPr>
            <w:r>
              <w:rPr>
                <w:rFonts w:ascii="Arial" w:cs="Arial" w:eastAsia="Arial" w:hAnsi="Arial"/>
                <w:sz w:val="14"/>
                <w:szCs w:val="14"/>
                <w:b w:val="1"/>
                <w:bCs w:val="1"/>
                <w:color w:val="auto"/>
              </w:rPr>
              <w:t>575,014</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749"/>
              <w:spacing w:after="0" w:line="149" w:lineRule="exact"/>
              <w:rPr>
                <w:sz w:val="20"/>
                <w:szCs w:val="20"/>
                <w:color w:val="auto"/>
              </w:rPr>
            </w:pPr>
            <w:r>
              <w:rPr>
                <w:rFonts w:ascii="Arial" w:cs="Arial" w:eastAsia="Arial" w:hAnsi="Arial"/>
                <w:sz w:val="14"/>
                <w:szCs w:val="14"/>
                <w:color w:val="auto"/>
                <w:w w:val="98"/>
              </w:rPr>
              <w:t>469,757</w:t>
            </w:r>
          </w:p>
        </w:tc>
        <w:tc>
          <w:tcPr>
            <w:tcW w:w="2040" w:type="dxa"/>
            <w:vAlign w:val="bottom"/>
          </w:tcPr>
          <w:p>
            <w:pPr>
              <w:jc w:val="right"/>
              <w:ind w:right="649"/>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Higher education</w:t>
            </w:r>
          </w:p>
        </w:tc>
        <w:tc>
          <w:tcPr>
            <w:tcW w:w="8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909"/>
              <w:spacing w:after="0" w:line="149" w:lineRule="exact"/>
              <w:rPr>
                <w:sz w:val="20"/>
                <w:szCs w:val="20"/>
                <w:color w:val="auto"/>
              </w:rPr>
            </w:pPr>
            <w:r>
              <w:rPr>
                <w:rFonts w:ascii="Arial" w:cs="Arial" w:eastAsia="Arial" w:hAnsi="Arial"/>
                <w:sz w:val="14"/>
                <w:szCs w:val="14"/>
                <w:b w:val="1"/>
                <w:bCs w:val="1"/>
                <w:color w:val="auto"/>
              </w:rPr>
              <w:t>559,877</w:t>
            </w:r>
          </w:p>
        </w:tc>
        <w:tc>
          <w:tcPr>
            <w:tcW w:w="10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w w:val="98"/>
              </w:rPr>
              <w:t>368,320</w:t>
            </w:r>
          </w:p>
        </w:tc>
        <w:tc>
          <w:tcPr>
            <w:tcW w:w="20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909"/>
              <w:spacing w:after="0" w:line="149" w:lineRule="exact"/>
              <w:rPr>
                <w:sz w:val="20"/>
                <w:szCs w:val="20"/>
                <w:color w:val="auto"/>
              </w:rPr>
            </w:pPr>
            <w:r>
              <w:rPr>
                <w:rFonts w:ascii="Arial" w:cs="Arial" w:eastAsia="Arial" w:hAnsi="Arial"/>
                <w:sz w:val="14"/>
                <w:szCs w:val="14"/>
                <w:b w:val="1"/>
                <w:bCs w:val="1"/>
                <w:color w:val="auto"/>
                <w:w w:val="89"/>
              </w:rPr>
              <w:t>1,134,891</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w w:val="98"/>
              </w:rPr>
              <w:t>838,077</w:t>
            </w:r>
          </w:p>
        </w:tc>
        <w:tc>
          <w:tcPr>
            <w:tcW w:w="20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Supplemental education</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909"/>
              <w:spacing w:after="0" w:line="149" w:lineRule="exact"/>
              <w:rPr>
                <w:sz w:val="20"/>
                <w:szCs w:val="20"/>
                <w:color w:val="auto"/>
              </w:rPr>
            </w:pPr>
            <w:r>
              <w:rPr>
                <w:rFonts w:ascii="Arial" w:cs="Arial" w:eastAsia="Arial" w:hAnsi="Arial"/>
                <w:sz w:val="14"/>
                <w:szCs w:val="14"/>
                <w:b w:val="1"/>
                <w:bCs w:val="1"/>
                <w:color w:val="auto"/>
              </w:rPr>
              <w:t>100,795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87,044</w:t>
            </w:r>
          </w:p>
        </w:tc>
        <w:tc>
          <w:tcPr>
            <w:tcW w:w="20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80"/>
              <w:spacing w:after="0" w:line="149" w:lineRule="exact"/>
              <w:rPr>
                <w:sz w:val="20"/>
                <w:szCs w:val="20"/>
                <w:color w:val="auto"/>
              </w:rPr>
            </w:pPr>
            <w:r>
              <w:rPr>
                <w:rFonts w:ascii="Arial" w:cs="Arial" w:eastAsia="Arial" w:hAnsi="Arial"/>
                <w:sz w:val="14"/>
                <w:szCs w:val="14"/>
                <w:color w:val="auto"/>
              </w:rPr>
              <w:t>Higher education</w:t>
            </w:r>
          </w:p>
        </w:tc>
        <w:tc>
          <w:tcPr>
            <w:tcW w:w="840" w:type="dxa"/>
            <w:vAlign w:val="bottom"/>
          </w:tcPr>
          <w:p>
            <w:pPr>
              <w:spacing w:after="0"/>
              <w:rPr>
                <w:sz w:val="12"/>
                <w:szCs w:val="12"/>
                <w:color w:val="auto"/>
              </w:rPr>
            </w:pPr>
          </w:p>
        </w:tc>
        <w:tc>
          <w:tcPr>
            <w:tcW w:w="1560" w:type="dxa"/>
            <w:vAlign w:val="bottom"/>
          </w:tcPr>
          <w:p>
            <w:pPr>
              <w:jc w:val="right"/>
              <w:ind w:right="909"/>
              <w:spacing w:after="0" w:line="149" w:lineRule="exact"/>
              <w:rPr>
                <w:sz w:val="20"/>
                <w:szCs w:val="20"/>
                <w:color w:val="auto"/>
              </w:rPr>
            </w:pPr>
            <w:r>
              <w:rPr>
                <w:rFonts w:ascii="Arial" w:cs="Arial" w:eastAsia="Arial" w:hAnsi="Arial"/>
                <w:sz w:val="14"/>
                <w:szCs w:val="14"/>
                <w:b w:val="1"/>
                <w:bCs w:val="1"/>
                <w:color w:val="auto"/>
              </w:rPr>
              <w:t>93,402</w:t>
            </w:r>
          </w:p>
        </w:tc>
        <w:tc>
          <w:tcPr>
            <w:tcW w:w="1020" w:type="dxa"/>
            <w:vAlign w:val="bottom"/>
          </w:tcPr>
          <w:p>
            <w:pPr>
              <w:spacing w:after="0"/>
              <w:rPr>
                <w:sz w:val="12"/>
                <w:szCs w:val="12"/>
                <w:color w:val="auto"/>
              </w:rPr>
            </w:pPr>
          </w:p>
        </w:tc>
        <w:tc>
          <w:tcPr>
            <w:tcW w:w="1340" w:type="dxa"/>
            <w:vAlign w:val="bottom"/>
          </w:tcPr>
          <w:p>
            <w:pPr>
              <w:jc w:val="right"/>
              <w:ind w:right="749"/>
              <w:spacing w:after="0" w:line="149" w:lineRule="exact"/>
              <w:rPr>
                <w:sz w:val="20"/>
                <w:szCs w:val="20"/>
                <w:color w:val="auto"/>
              </w:rPr>
            </w:pPr>
            <w:r>
              <w:rPr>
                <w:rFonts w:ascii="Arial" w:cs="Arial" w:eastAsia="Arial" w:hAnsi="Arial"/>
                <w:sz w:val="14"/>
                <w:szCs w:val="14"/>
                <w:color w:val="auto"/>
              </w:rPr>
              <w:t>58,428</w:t>
            </w:r>
          </w:p>
        </w:tc>
        <w:tc>
          <w:tcPr>
            <w:tcW w:w="2040" w:type="dxa"/>
            <w:vAlign w:val="bottom"/>
          </w:tcPr>
          <w:p>
            <w:pPr>
              <w:jc w:val="right"/>
              <w:ind w:right="649"/>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Kaplan corporate overhead</w:t>
            </w:r>
          </w:p>
        </w:tc>
        <w:tc>
          <w:tcPr>
            <w:tcW w:w="8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849"/>
              <w:spacing w:after="0" w:line="149" w:lineRule="exact"/>
              <w:rPr>
                <w:sz w:val="20"/>
                <w:szCs w:val="20"/>
                <w:color w:val="auto"/>
              </w:rPr>
            </w:pPr>
            <w:r>
              <w:rPr>
                <w:rFonts w:ascii="Arial" w:cs="Arial" w:eastAsia="Arial" w:hAnsi="Arial"/>
                <w:sz w:val="14"/>
                <w:szCs w:val="14"/>
                <w:b w:val="1"/>
                <w:bCs w:val="1"/>
                <w:color w:val="auto"/>
              </w:rPr>
              <w:t>(31,533)</w:t>
            </w:r>
          </w:p>
        </w:tc>
        <w:tc>
          <w:tcPr>
            <w:tcW w:w="10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(36,782)</w:t>
            </w:r>
          </w:p>
        </w:tc>
        <w:tc>
          <w:tcPr>
            <w:tcW w:w="20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8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849"/>
              <w:spacing w:after="0" w:line="149" w:lineRule="exact"/>
              <w:rPr>
                <w:sz w:val="20"/>
                <w:szCs w:val="20"/>
                <w:color w:val="auto"/>
              </w:rPr>
            </w:pPr>
            <w:r>
              <w:rPr>
                <w:rFonts w:ascii="Arial" w:cs="Arial" w:eastAsia="Arial" w:hAnsi="Arial"/>
                <w:sz w:val="14"/>
                <w:szCs w:val="14"/>
                <w:b w:val="1"/>
                <w:bCs w:val="1"/>
                <w:color w:val="auto"/>
              </w:rPr>
              <w:t>(41,209)</w:t>
            </w:r>
          </w:p>
        </w:tc>
        <w:tc>
          <w:tcPr>
            <w:tcW w:w="10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color w:val="auto"/>
                <w:w w:val="90"/>
              </w:rPr>
              <w:t>(120,399)</w:t>
            </w:r>
          </w:p>
        </w:tc>
        <w:tc>
          <w:tcPr>
            <w:tcW w:w="2040" w:type="dxa"/>
            <w:vAlign w:val="bottom"/>
            <w:tcBorders>
              <w:bottom w:val="single" w:sz="8" w:color="auto"/>
            </w:tcBorders>
          </w:tcPr>
          <w:p>
            <w:pPr>
              <w:jc w:val="right"/>
              <w:ind w:right="649"/>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909"/>
              <w:spacing w:after="0" w:line="149" w:lineRule="exact"/>
              <w:rPr>
                <w:sz w:val="20"/>
                <w:szCs w:val="20"/>
                <w:color w:val="auto"/>
              </w:rPr>
            </w:pPr>
            <w:r>
              <w:rPr>
                <w:rFonts w:ascii="Arial" w:cs="Arial" w:eastAsia="Arial" w:hAnsi="Arial"/>
                <w:sz w:val="14"/>
                <w:szCs w:val="14"/>
                <w:b w:val="1"/>
                <w:bCs w:val="1"/>
                <w:color w:val="auto"/>
              </w:rPr>
              <w:t>121,455</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(11,709)</w:t>
            </w:r>
          </w:p>
        </w:tc>
        <w:tc>
          <w:tcPr>
            <w:tcW w:w="20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Excluding revenues from acquired businesses, supplemental education revenues grew by 14%. Test preparation revenue grew by 15% due to strong enrollment in the SAT/ PSAT, MCAT and Advanced Med. Operating results in 2004 reflect increased course development costs. Also included in supplemental education is The Financial Training Company (FTC), which was acquired in March 2003. Headquartered in London, FTC provides test preparation services for accountants and financial services professionals, with training centers in the United Kingdom and Asia. FTC revenues grew by 44% in 2004 over the same time period the business was owned by Kaplan in 2003. Supplemental education results also include professional real estate, insurance and security courses. Real estate publishing and training courses contributed to growth in supplemental education in 2004. The final component of supplemental education is Score!, which provides academic enrichment to children and has lower operating margins than the other supplemental education businesses due to higher fixed costs. Revenues at Score! were up slightly compared to 2003.</w:t>
      </w:r>
    </w:p>
    <w:p>
      <w:pPr>
        <w:spacing w:after="0" w:line="85" w:lineRule="exact"/>
        <w:rPr>
          <w:sz w:val="20"/>
          <w:szCs w:val="20"/>
          <w:color w:val="auto"/>
        </w:rPr>
      </w:pPr>
    </w:p>
    <w:p>
      <w:pPr>
        <w:jc w:val="both"/>
        <w:ind w:right="80"/>
        <w:spacing w:after="0" w:line="273"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(various distance-learning businesses). Excluding revenue from acquired businesses, higher education revenues grew by 35% in 2004. Higher education results are showing significant growth, especially the online programs, in which revenues more than doubled in 2004. At the end of 2004, higher education enrollments totaled 58,000, compared to 45,000 at the end of 2003.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33" w:name="page34"/>
    <w:bookmarkEnd w:id="33"/>
    <w:p>
      <w:pPr>
        <w:ind w:right="40"/>
        <w:spacing w:after="0" w:line="293" w:lineRule="auto"/>
        <w:rPr>
          <w:sz w:val="20"/>
          <w:szCs w:val="20"/>
          <w:color w:val="auto"/>
        </w:rPr>
      </w:pPr>
      <w:r>
        <w:rPr>
          <w:rFonts w:ascii="Arial" w:cs="Arial" w:eastAsia="Arial" w:hAnsi="Arial"/>
          <w:sz w:val="16"/>
          <w:szCs w:val="16"/>
          <w:color w:val="auto"/>
        </w:rPr>
        <w:t>Corporate overhead represents unallocated expenses of Kaplan, Inc.’s corporate office, including a $6.5 million charge in the fourth quarter of 2003 for the Kaplan Educational Foundation.</w:t>
      </w:r>
    </w:p>
    <w:p>
      <w:pPr>
        <w:spacing w:after="0" w:line="6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Other expense comprises accrued charges for stock-based incentive compensation arising from a stock option plan established for certain members of Kaplan’s management (the general provisions of which are discussed in Note G to the Consolidated Financial Statements) and amortization of certain intangibles. Under the stock-based incentive plan, the amount of compensation expense varies directly with the estimated fair value of Kaplan’s common stock and the number of options outstanding. The Company recorded expense of $32.5 million and $119.1 million for 2004 and 2003, respectively, related to this plan. The stock compensation expense for 2003 included the impact of the third quarter 2003 buyout offer for approximately 55% of the stock options outstanding at Kaplan. The stock compensation expense in 2004 is based on the remaining Kaplan stock options held by a small number of Kaplan executives after the 2003 buyout.</w:t>
      </w:r>
    </w:p>
    <w:p>
      <w:pPr>
        <w:spacing w:after="0" w:line="78"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The corporate office operating expenses increased to $32.8 million in 2004, from $30.3 million in 2003. The increase is primarily due to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share of increased compliance costs in connection with Section 404 of the Sarbanes–Oxley Act of 2002.</w:t>
      </w:r>
    </w:p>
    <w:p>
      <w:pPr>
        <w:spacing w:after="0" w:line="56"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2004 was $2.3 million, compared to losses of $9.8 million for 2003. The Company’s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at the end of 2004 consisted of a 49% interest in BrassRing LLC and a 49% interest in Bowater Mersey Paper Company Limited. The reduction in affiliate losses for 2004 is attributable to improved operating results at both BrassRing and Bowater.</w:t>
      </w:r>
    </w:p>
    <w:p>
      <w:pPr>
        <w:spacing w:after="0" w:line="74"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On January 1, 2003, the Company sold its 50% interest in the International Herald Tribune for $65 million and recorded an after-tax non-operating gain of $32.3 million in the first quarter of 2003.</w:t>
      </w:r>
    </w:p>
    <w:p>
      <w:pPr>
        <w:spacing w:after="0" w:line="60"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b w:val="1"/>
          <w:bCs w:val="1"/>
          <w:color w:val="auto"/>
        </w:rPr>
        <w:t xml:space="preserve">Non-Operating Items. </w:t>
      </w:r>
      <w:r>
        <w:rPr>
          <w:rFonts w:ascii="Arial" w:cs="Arial" w:eastAsia="Arial" w:hAnsi="Arial"/>
          <w:sz w:val="16"/>
          <w:szCs w:val="16"/>
          <w:color w:val="auto"/>
        </w:rPr>
        <w:t>The Company recorded other non-operating income, net, of $8.1 million in 2004, compared to $55.4 million in 2003. The 2004 non-operating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net, is primarily from foreign currency gains. The 2003 non-operating income, net, mostly comprises a $49.8 million pre-tax gain from the sale of the Company’s 50% interest in the International Herald Tribune.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years ended January 2, 2005 and December 28, 2003,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4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869"/>
              <w:spacing w:after="0"/>
              <w:rPr>
                <w:sz w:val="20"/>
                <w:szCs w:val="20"/>
                <w:color w:val="auto"/>
              </w:rPr>
            </w:pPr>
            <w:r>
              <w:rPr>
                <w:rFonts w:ascii="Arial" w:cs="Arial" w:eastAsia="Arial" w:hAnsi="Arial"/>
                <w:sz w:val="13"/>
                <w:szCs w:val="13"/>
                <w:b w:val="1"/>
                <w:bCs w:val="1"/>
                <w:color w:val="auto"/>
              </w:rPr>
              <w:t>2004</w:t>
            </w:r>
          </w:p>
        </w:tc>
        <w:tc>
          <w:tcPr>
            <w:tcW w:w="9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w w:val="82"/>
              </w:rPr>
              <w:t>2003</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gains, net</w:t>
            </w:r>
          </w:p>
        </w:tc>
        <w:tc>
          <w:tcPr>
            <w:tcW w:w="2180" w:type="dxa"/>
            <w:vAlign w:val="bottom"/>
            <w:shd w:val="clear" w:color="auto" w:fill="CCEEFF"/>
          </w:tcPr>
          <w:p>
            <w:pPr>
              <w:jc w:val="right"/>
              <w:ind w:right="869"/>
              <w:spacing w:after="0" w:line="149" w:lineRule="exact"/>
              <w:rPr>
                <w:sz w:val="20"/>
                <w:szCs w:val="20"/>
                <w:color w:val="auto"/>
              </w:rPr>
            </w:pPr>
            <w:r>
              <w:rPr>
                <w:rFonts w:ascii="Arial" w:cs="Arial" w:eastAsia="Arial" w:hAnsi="Arial"/>
                <w:sz w:val="14"/>
                <w:szCs w:val="14"/>
                <w:b w:val="1"/>
                <w:bCs w:val="1"/>
                <w:color w:val="auto"/>
              </w:rPr>
              <w:t>$ 5.5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4.2</w:t>
            </w: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Gain on sale of interest in IHT</w:t>
            </w:r>
          </w:p>
        </w:tc>
        <w:tc>
          <w:tcPr>
            <w:tcW w:w="2180" w:type="dxa"/>
            <w:vAlign w:val="bottom"/>
          </w:tcPr>
          <w:p>
            <w:pPr>
              <w:jc w:val="right"/>
              <w:ind w:right="869"/>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2"/>
                <w:szCs w:val="12"/>
                <w:color w:val="auto"/>
              </w:rPr>
            </w:pPr>
          </w:p>
        </w:tc>
        <w:tc>
          <w:tcPr>
            <w:tcW w:w="820" w:type="dxa"/>
            <w:vAlign w:val="bottom"/>
          </w:tcPr>
          <w:p>
            <w:pPr>
              <w:jc w:val="right"/>
              <w:ind w:right="489"/>
              <w:spacing w:after="0" w:line="149" w:lineRule="exact"/>
              <w:rPr>
                <w:sz w:val="20"/>
                <w:szCs w:val="20"/>
                <w:color w:val="auto"/>
              </w:rPr>
            </w:pPr>
            <w:r>
              <w:rPr>
                <w:rFonts w:ascii="Arial" w:cs="Arial" w:eastAsia="Arial" w:hAnsi="Arial"/>
                <w:sz w:val="14"/>
                <w:szCs w:val="14"/>
                <w:color w:val="auto"/>
                <w:w w:val="87"/>
              </w:rPr>
              <w:t>49.8</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write-downs on cost method and other investments</w:t>
            </w:r>
          </w:p>
        </w:tc>
        <w:tc>
          <w:tcPr>
            <w:tcW w:w="2180" w:type="dxa"/>
            <w:vAlign w:val="bottom"/>
            <w:shd w:val="clear" w:color="auto" w:fill="CCEEFF"/>
          </w:tcPr>
          <w:p>
            <w:pPr>
              <w:jc w:val="right"/>
              <w:ind w:right="829"/>
              <w:spacing w:after="0" w:line="149" w:lineRule="exact"/>
              <w:rPr>
                <w:sz w:val="20"/>
                <w:szCs w:val="20"/>
                <w:color w:val="auto"/>
              </w:rPr>
            </w:pPr>
            <w:r>
              <w:rPr>
                <w:rFonts w:ascii="Arial" w:cs="Arial" w:eastAsia="Arial" w:hAnsi="Arial"/>
                <w:sz w:val="14"/>
                <w:szCs w:val="14"/>
                <w:b w:val="1"/>
                <w:bCs w:val="1"/>
                <w:color w:val="auto"/>
              </w:rPr>
              <w:t>(0.7)</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w w:val="97"/>
              </w:rPr>
              <w:t>(1.3)</w:t>
            </w: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Gain on exchange of cable system business</w:t>
            </w:r>
          </w:p>
        </w:tc>
        <w:tc>
          <w:tcPr>
            <w:tcW w:w="2180" w:type="dxa"/>
            <w:vAlign w:val="bottom"/>
          </w:tcPr>
          <w:p>
            <w:pPr>
              <w:jc w:val="right"/>
              <w:ind w:right="869"/>
              <w:spacing w:after="0" w:line="149" w:lineRule="exact"/>
              <w:rPr>
                <w:sz w:val="20"/>
                <w:szCs w:val="20"/>
                <w:color w:val="auto"/>
              </w:rPr>
            </w:pPr>
            <w:r>
              <w:rPr>
                <w:rFonts w:ascii="Arial" w:cs="Arial" w:eastAsia="Arial" w:hAnsi="Arial"/>
                <w:sz w:val="14"/>
                <w:szCs w:val="14"/>
                <w:b w:val="1"/>
                <w:bCs w:val="1"/>
                <w:color w:val="auto"/>
              </w:rPr>
              <w:t>0.5</w:t>
            </w:r>
          </w:p>
        </w:tc>
        <w:tc>
          <w:tcPr>
            <w:tcW w:w="980" w:type="dxa"/>
            <w:vAlign w:val="bottom"/>
          </w:tcPr>
          <w:p>
            <w:pPr>
              <w:spacing w:after="0"/>
              <w:rPr>
                <w:sz w:val="12"/>
                <w:szCs w:val="12"/>
                <w:color w:val="auto"/>
              </w:rPr>
            </w:pPr>
          </w:p>
        </w:tc>
        <w:tc>
          <w:tcPr>
            <w:tcW w:w="82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gains</w:t>
            </w:r>
          </w:p>
        </w:tc>
        <w:tc>
          <w:tcPr>
            <w:tcW w:w="2180" w:type="dxa"/>
            <w:vAlign w:val="bottom"/>
            <w:tcBorders>
              <w:bottom w:val="single" w:sz="8" w:color="auto"/>
            </w:tcBorders>
            <w:shd w:val="clear" w:color="auto" w:fill="CCEEFF"/>
          </w:tcPr>
          <w:p>
            <w:pPr>
              <w:jc w:val="right"/>
              <w:ind w:right="869"/>
              <w:spacing w:after="0" w:line="149" w:lineRule="exact"/>
              <w:rPr>
                <w:sz w:val="20"/>
                <w:szCs w:val="20"/>
                <w:color w:val="auto"/>
              </w:rPr>
            </w:pPr>
            <w:r>
              <w:rPr>
                <w:rFonts w:ascii="Arial" w:cs="Arial" w:eastAsia="Arial" w:hAnsi="Arial"/>
                <w:sz w:val="14"/>
                <w:szCs w:val="14"/>
                <w:b w:val="1"/>
                <w:bCs w:val="1"/>
                <w:color w:val="auto"/>
              </w:rPr>
              <w:t>2.8</w:t>
            </w:r>
          </w:p>
        </w:tc>
        <w:tc>
          <w:tcPr>
            <w:tcW w:w="9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2.7</w:t>
            </w:r>
          </w:p>
        </w:tc>
      </w:tr>
      <w:tr>
        <w:trPr>
          <w:trHeight w:val="156"/>
        </w:trPr>
        <w:tc>
          <w:tcPr>
            <w:tcW w:w="20" w:type="dxa"/>
            <w:vAlign w:val="bottom"/>
          </w:tcPr>
          <w:p>
            <w:pPr>
              <w:spacing w:after="0"/>
              <w:rPr>
                <w:sz w:val="13"/>
                <w:szCs w:val="13"/>
                <w:color w:val="auto"/>
              </w:rPr>
            </w:pPr>
          </w:p>
        </w:tc>
        <w:tc>
          <w:tcPr>
            <w:tcW w:w="7420" w:type="dxa"/>
            <w:vAlign w:val="bottom"/>
          </w:tcPr>
          <w:p>
            <w:pPr>
              <w:ind w:left="320"/>
              <w:spacing w:after="0" w:line="155" w:lineRule="exact"/>
              <w:rPr>
                <w:sz w:val="20"/>
                <w:szCs w:val="20"/>
                <w:color w:val="auto"/>
              </w:rPr>
            </w:pPr>
            <w:r>
              <w:rPr>
                <w:rFonts w:ascii="Arial" w:cs="Arial" w:eastAsia="Arial" w:hAnsi="Arial"/>
                <w:sz w:val="14"/>
                <w:szCs w:val="14"/>
                <w:color w:val="auto"/>
              </w:rPr>
              <w:t>Total</w:t>
            </w:r>
          </w:p>
        </w:tc>
        <w:tc>
          <w:tcPr>
            <w:tcW w:w="2180" w:type="dxa"/>
            <w:vAlign w:val="bottom"/>
            <w:tcBorders>
              <w:bottom w:val="single" w:sz="8" w:color="auto"/>
            </w:tcBorders>
          </w:tcPr>
          <w:p>
            <w:pPr>
              <w:jc w:val="right"/>
              <w:ind w:right="869"/>
              <w:spacing w:after="0" w:line="155" w:lineRule="exact"/>
              <w:rPr>
                <w:sz w:val="20"/>
                <w:szCs w:val="20"/>
                <w:color w:val="auto"/>
              </w:rPr>
            </w:pPr>
            <w:r>
              <w:rPr>
                <w:rFonts w:ascii="Arial" w:cs="Arial" w:eastAsia="Arial" w:hAnsi="Arial"/>
                <w:sz w:val="14"/>
                <w:szCs w:val="14"/>
                <w:b w:val="1"/>
                <w:bCs w:val="1"/>
                <w:color w:val="auto"/>
              </w:rPr>
              <w:t>$ 8.1</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9"/>
              <w:spacing w:after="0" w:line="155" w:lineRule="exact"/>
              <w:rPr>
                <w:sz w:val="20"/>
                <w:szCs w:val="20"/>
                <w:color w:val="auto"/>
              </w:rPr>
            </w:pPr>
            <w:r>
              <w:rPr>
                <w:rFonts w:ascii="Arial" w:cs="Arial" w:eastAsia="Arial" w:hAnsi="Arial"/>
                <w:sz w:val="14"/>
                <w:szCs w:val="14"/>
                <w:color w:val="auto"/>
                <w:w w:val="87"/>
              </w:rPr>
              <w:t>55.4</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 incurred net interest expense of $26.4 million in 2004, compared to $26.9 million in 2003. At January 2, 2005, the Company had $484.1 million in borrowings outstanding at an average interest rate of 5.1%; at December 28, 2003, the Company had $631.1 million in borrowings outstanding.</w:t>
      </w:r>
    </w:p>
    <w:p>
      <w:pPr>
        <w:spacing w:after="0" w:line="6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was 38.7% for 2004, compared to 37.0% for 2003. The 2003 effective tax rate benefited from the 35.1% effective tax rate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one-time gain arising from the sale of the Company’s interest in the International Herald Tribune. The Company expects an effective tax rate in 2005 of approximately 38.7%.</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2003 COMPARED TO 2002</w:t>
      </w:r>
    </w:p>
    <w:p>
      <w:pPr>
        <w:spacing w:after="0" w:line="108"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Net income was $241.1 million ($25.12 per share) for the fiscal year ended December 28, 2003, compared with net income of $204.3 million ($21.34 per share) for the fiscal year ended December 29, 2002. The Company’s 2003 results include a non-operating gain from the sale of the Company’s 50% interest in the International Herald Tribune (after-tax impact of $32.3 million, or $3.38 per share), an operating gain from the sale of land at The Washington Post newspaper (after-tax impact of $25.5 million, or $2.66 per share), early retirement program charges at The Washington Post newspaper (after-tax impact of $20.8 million, or $2.18 per share), Kaplan stock compensation expense for the 10% premium associated with the purchase of certain outstanding stock options announced in the third quarter (after-tax impact of $6.4 million, or $0.67 per share), and a charge in connection with the establishment of the Kaplan Educational Foundation (after-tax impact of $3.9 million, or $0.41 per share). The Company’s 2002 results included a net non-operating gain from the exchange of certain cable systems (after-tax impact of $16.7 million, or $1.75 per share), a transitional goodwill impairment loss (after-tax impact of $12.1 million, or $1.27 per share), charges from early retirement programs (after-tax impact of $11.3 million, or $1.18 per share), and a net non-operating loss from the write-down of certain of the Company’s investments (after-tax impact of $2.3 million, or $0.24 per share).</w:t>
      </w:r>
    </w:p>
    <w:p>
      <w:pPr>
        <w:spacing w:after="0" w:line="75"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Results for 2003 include $119.1 million in stock compensation expense at the Kaplan education division, which was significantly higher than the $34.5 million in Kaplan stock compensation expense in 2002. In September 2003, the Company announced an offer totaling $138 million for approximately 55% of the stock options outstanding at Kaplan. The Company’s offer included a 10% premium over the then current valuation price. The Company paid out $118.7 million in the fourth quarter of 2003, with the remainder of the payouts to be made from 2004 through 2008. A small number of key Kaplan executives will continue to hold the remaining 45% of outstanding Kaplan stock options, with roughly half of the remaining options expiring in 2007 and half expiring in 2011.</w:t>
      </w:r>
    </w:p>
    <w:p>
      <w:pPr>
        <w:spacing w:after="0" w:line="82" w:lineRule="exact"/>
        <w:rPr>
          <w:sz w:val="20"/>
          <w:szCs w:val="20"/>
          <w:color w:val="auto"/>
        </w:rPr>
      </w:pPr>
    </w:p>
    <w:p>
      <w:pPr>
        <w:ind w:right="160"/>
        <w:spacing w:after="0" w:line="329" w:lineRule="auto"/>
        <w:rPr>
          <w:sz w:val="20"/>
          <w:szCs w:val="20"/>
          <w:color w:val="auto"/>
        </w:rPr>
      </w:pPr>
      <w:r>
        <w:rPr>
          <w:rFonts w:ascii="Arial" w:cs="Arial" w:eastAsia="Arial" w:hAnsi="Arial"/>
          <w:sz w:val="15"/>
          <w:szCs w:val="15"/>
          <w:color w:val="auto"/>
        </w:rPr>
        <w:t>Revenue for 2003 was $2,838.9 million, up 10% compared to revenue of $2,584.2 million in 2002. The increase in revenue is due mostly to significant revenue growth at the education division, along with increases at the Company’s cable television, newspaper publishing, and magazine publishing divisions; revenues were down</w:t>
      </w:r>
    </w:p>
    <w:p>
      <w:pPr>
        <w:spacing w:after="0" w:line="200" w:lineRule="exact"/>
        <w:rPr>
          <w:sz w:val="20"/>
          <w:szCs w:val="20"/>
          <w:color w:val="auto"/>
        </w:rPr>
      </w:pPr>
    </w:p>
    <w:p>
      <w:pPr>
        <w:spacing w:after="0" w:line="275"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34" w:name="page35"/>
    <w:bookmarkEnd w:id="34"/>
    <w:p>
      <w:pPr>
        <w:spacing w:after="0" w:line="291" w:lineRule="auto"/>
        <w:rPr>
          <w:sz w:val="20"/>
          <w:szCs w:val="20"/>
          <w:color w:val="auto"/>
        </w:rPr>
      </w:pPr>
      <w:r>
        <w:rPr>
          <w:rFonts w:ascii="Arial" w:cs="Arial" w:eastAsia="Arial" w:hAnsi="Arial"/>
          <w:sz w:val="15"/>
          <w:szCs w:val="15"/>
          <w:color w:val="auto"/>
        </w:rPr>
        <w:t>at the television broadcasting division. Advertising revenue was essentially flat in 2003, and circulation and subscriber revenue increased 5%. Education revenue increased 35% in 2003, and other revenue was up 8%. The change in advertising revenue is due to increases at the newspaper publishing and magazine publishing divisions, offset by a decline at the television broadcasting division due primarily to significant political revenues in 2002. The increase in circulation and subscriber revenue is due to an 8% increase in subscriber revenue at the cable division from continued growth in cable modem and digital service revenues, a 1% increase in circulation revenue at The Post, and a slight increase in Newsweek circulation revenues due to increased newsstand sales for both the domestic and international editions of Newsweek. Revenue growth at Kaplan, Inc. (about 43% of which was from acquisitions) accounted for the increase in education revenue.</w:t>
      </w:r>
    </w:p>
    <w:p>
      <w:pPr>
        <w:spacing w:after="0" w:line="69"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Operating costs and expenses for the year increased 12% to $2,475.1 million, from $2,206.6 million in 2002. The increase is primarily due to a significant increase in stock-based compensation expense at Kaplan, higher expenses from operating growth at Kaplan, early retirement program charges, higher newsprint prices and a reduced pension credit, offset by a $41.7 million pre-tax gain on the sale of land at The Washington Post newspaper.</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Operating income declined 4% to $363.8 million, from $377.6 million in 2002, due largely to the $84.6 million increase in Kaplan stock compensation discussed above. Operating results for 2003 also include a $41.7 million pre-tax gain on the sale of land at The Washington Post newspaper, $34.1 million in pre-tax charges from early retirement programs at The Washington Post newspaper, and a $6.5 million charge for the Kaplan Educational Foundation. Operating results for 2002 included $19.0 million in pre-tax charges from early retirement programs. The Company’s year-to-date results were adversely impacted by a reduction in operating income at the television broadcasting division and a reduced net pension credit. Improved results at the Company’s newspaper publishing, magazine publishing and cable television divisions helped to offset these declines.</w:t>
      </w:r>
    </w:p>
    <w:p>
      <w:pPr>
        <w:spacing w:after="0" w:line="82"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 Company’s 2003 operating income includes $55.1 million of net pension credits, compared to $64.4 million in 2002. These amounts exclude $34.1 million and $19.0 million in charges related to early retirement programs in 2003 and 2002,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in 2003 increased 4% to $872.8 million, from $842.0 million in 2002. Division operating income for</w:t>
      </w:r>
      <w:r>
        <w:rPr>
          <w:rFonts w:ascii="Arial" w:cs="Arial" w:eastAsia="Arial" w:hAnsi="Arial"/>
          <w:sz w:val="16"/>
          <w:szCs w:val="16"/>
          <w:b w:val="1"/>
          <w:bCs w:val="1"/>
          <w:color w:val="auto"/>
        </w:rPr>
        <w:t xml:space="preserve"> </w:t>
      </w:r>
      <w:r>
        <w:rPr>
          <w:rFonts w:ascii="Arial" w:cs="Arial" w:eastAsia="Arial" w:hAnsi="Arial"/>
          <w:sz w:val="16"/>
          <w:szCs w:val="16"/>
          <w:color w:val="auto"/>
        </w:rPr>
        <w:t>2003 totaled $134.2 million, an increase of 23% from operating income of $109.0 million in 2002. Operating results for 2003 include a fourth quarter $41.7 million pre-tax gain on the sale of land at The Washington Post newspaper and $34.1 million in pre-tax charges from early retirement programs at The Washington Post newspaper. Operating results for 2002 included a $2.9 million charge from an early retirement program at The Washington Post newspaper. Improved operating results for 2003 are due to increased advertising revenue and cost control initiatives employed throughout the division, offset by a 3% increase in newsprint expense, incremental costs associated with the war in Iraq, a reduced pension credit, and a small loss from a new newspaper, Express, which was launched in August 2003. Operating margin at the newspaper publishing division was 15% for 2003 and 13% for 2002.</w:t>
      </w:r>
    </w:p>
    <w:p>
      <w:pPr>
        <w:spacing w:after="0" w:line="87"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Print advertising revenue at The Washington Post newspaper increased 3% to $572.2 million, from $555.7 million in 2002. The rise in print advertising revenue for 2003 was due to increases in general and preprint advertising revenue, which more than offset declines in classified and retail advertising revenue from volume declines. Classified recruitment advertising revenue decreased $6.1 million in 2003, due to a 14% volume decline. Classified recruitment advertising revenue increased by $0.8 million, or 6%, during the fourth quarter of 2003, with flat volume compared to 2002. This was the first quarter with an increase in classified recruitment advertising revenue since the third quarter of 2000.</w:t>
      </w:r>
    </w:p>
    <w:p>
      <w:pPr>
        <w:spacing w:after="0" w:line="82"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Circulation revenue at The Post was up 1% for 2003 due to an increase in home delivery prices. Daily circulation at The Post declined 2.0%, and Sunday circulation declined 1.8%. Single copy sales contributed to the decline, with a 9% daily decrease and a 6% Sunday decrease. For the year ended December 28, 2003, average daily circulation at The Post totaled 745,000 (unaudited), and average Sunday circulation totaled 1,035,000 (unaudited).</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During 2003, revenue generated by the Company’s online publishing activities, primarily washingtonpost.com, increased 30% to $46.9 million, from $35.9 million in 2002.</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Local and national online advertising revenues grew 59% and revenues at the Jobs section of washingtonpost.com increased 29%.</w:t>
      </w:r>
    </w:p>
    <w:p>
      <w:pPr>
        <w:spacing w:after="0" w:line="12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As previously discussed, the Post launched a new newspaper, Express, in August 2003. The new publication appears each morning, Monday through Friday, in tabloid form and is distributed free-of-charge in the Washington, D.C. area.</w:t>
      </w:r>
    </w:p>
    <w:p>
      <w:pPr>
        <w:spacing w:after="0" w:line="6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decreased 8% to $315.1 million in 2003, from $343.6 million in 2002,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$31.8 million in political advertising in 2002, $5.0 million in incremental Olympics-related advertising at the Company’s NBC affiliates in the first quarter of 2002, and several days of commercial-free coverage in connection with the Iraq war in March 2003.</w:t>
      </w:r>
    </w:p>
    <w:p>
      <w:pPr>
        <w:spacing w:after="0" w:line="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Operating income for 2003 decreased 17% to $139.7 million, from $168.8 million in 2002, primarily as a result of the revenue reductions discussed above. Operating margin at the broadcast division was 44% for 2003 and 49% for 2002.</w:t>
      </w:r>
    </w:p>
    <w:p>
      <w:pPr>
        <w:spacing w:after="0" w:line="64" w:lineRule="exact"/>
        <w:rPr>
          <w:sz w:val="20"/>
          <w:szCs w:val="20"/>
          <w:color w:val="auto"/>
        </w:rPr>
      </w:pPr>
    </w:p>
    <w:p>
      <w:pPr>
        <w:jc w:val="both"/>
        <w:ind w:right="280"/>
        <w:spacing w:after="0" w:line="278" w:lineRule="auto"/>
        <w:rPr>
          <w:sz w:val="20"/>
          <w:szCs w:val="20"/>
          <w:color w:val="auto"/>
        </w:rPr>
      </w:pPr>
      <w:r>
        <w:rPr>
          <w:rFonts w:ascii="Arial" w:cs="Arial" w:eastAsia="Arial" w:hAnsi="Arial"/>
          <w:sz w:val="16"/>
          <w:szCs w:val="16"/>
          <w:color w:val="auto"/>
        </w:rPr>
        <w:t>Competitive market position remained strong for the Company’s television stations. WDIV in Detroit and KSAT in San Antonio were ranked number one in the November 2003 ratings period, Monday through Friday, sign-on to sign-off; WJXT in Jacksonville ranked second; WKMG in Orlando was tied for second; KPRC in Houston ranked third; and WPLG was third among English-language stations in the Miami market.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0" w:right="2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In July 2002, WJXT in Jacksonville, Florida began operations as an independent station when its network affiliation with CBS ended.</w:t>
      </w:r>
    </w:p>
    <w:p>
      <w:pPr>
        <w:spacing w:after="0" w:line="123" w:lineRule="exact"/>
        <w:rPr>
          <w:sz w:val="20"/>
          <w:szCs w:val="20"/>
          <w:color w:val="auto"/>
        </w:rPr>
      </w:pPr>
    </w:p>
    <w:p>
      <w:pPr>
        <w:ind w:right="260"/>
        <w:spacing w:after="0" w:line="308" w:lineRule="auto"/>
        <w:rPr>
          <w:sz w:val="20"/>
          <w:szCs w:val="20"/>
          <w:color w:val="auto"/>
        </w:rPr>
      </w:pPr>
      <w:r>
        <w:rPr>
          <w:rFonts w:ascii="Arial" w:cs="Arial" w:eastAsia="Arial" w:hAnsi="Arial"/>
          <w:sz w:val="15"/>
          <w:szCs w:val="15"/>
          <w:b w:val="1"/>
          <w:bCs w:val="1"/>
          <w:color w:val="auto"/>
        </w:rPr>
        <w:t xml:space="preserve">Magazine Publishing Division. </w:t>
      </w:r>
      <w:r>
        <w:rPr>
          <w:rFonts w:ascii="Arial" w:cs="Arial" w:eastAsia="Arial" w:hAnsi="Arial"/>
          <w:sz w:val="15"/>
          <w:szCs w:val="15"/>
          <w:color w:val="auto"/>
        </w:rPr>
        <w:t>Revenue for the magazine publishing division totaled $353.6 million for 2003, a 1% increase from $349.1 million in 2002. The revenue</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 in 2003 is due to increases in ad pages at Newsweek’s domestic edition, Arthur Frommer’s Budget Travel magazine, and the Company’s trade magazines, offset by lower advertising revenue at the international editions of Newsweek, particularly travel-related advertising at the Pacific edition.</w:t>
      </w:r>
    </w:p>
    <w:p>
      <w:pPr>
        <w:spacing w:after="0" w:line="56"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Operating income totaled $43.5 million for 2003, an increase of 69% from $25.7 million in 2002. The improvement in operating results for 2003 is primarily attributable to $16.1 million in pre-tax charges in connection with early retirement programs at Newsweek in 2002, offset by a reduced pension credit.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at the magazine publishing division was 12% for 2003 and 7% for 2002.</w:t>
      </w:r>
    </w:p>
    <w:p>
      <w:pPr>
        <w:spacing w:after="0" w:line="123"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Cable division revenue of $459.4 million for 2003 represents a 7% increase from $428.5 million in 2002. The 2003 revenue increase is principally</w:t>
      </w:r>
      <w:r>
        <w:rPr>
          <w:rFonts w:ascii="Arial" w:cs="Arial" w:eastAsia="Arial" w:hAnsi="Arial"/>
          <w:sz w:val="16"/>
          <w:szCs w:val="16"/>
          <w:b w:val="1"/>
          <w:bCs w:val="1"/>
          <w:color w:val="auto"/>
        </w:rPr>
        <w:t xml:space="preserve"> </w:t>
      </w:r>
      <w:r>
        <w:rPr>
          <w:rFonts w:ascii="Arial" w:cs="Arial" w:eastAsia="Arial" w:hAnsi="Arial"/>
          <w:sz w:val="16"/>
          <w:szCs w:val="16"/>
          <w:color w:val="auto"/>
        </w:rPr>
        <w:t>due to rapid growth in the division’s cable modem and digital service revenues, offset by lower pay and basic revenues due to fewer average basic and pay subscribers during the year, and the lack of rate increases due to a decision to freeze most rates for Cable One subscribers in 2003.</w:t>
      </w:r>
    </w:p>
    <w:p>
      <w:pPr>
        <w:spacing w:after="0" w:line="74" w:lineRule="exact"/>
        <w:rPr>
          <w:sz w:val="20"/>
          <w:szCs w:val="20"/>
          <w:color w:val="auto"/>
        </w:rPr>
      </w:pPr>
    </w:p>
    <w:p>
      <w:pPr>
        <w:jc w:val="both"/>
        <w:ind w:right="120"/>
        <w:spacing w:after="0" w:line="278" w:lineRule="auto"/>
        <w:rPr>
          <w:sz w:val="20"/>
          <w:szCs w:val="20"/>
          <w:color w:val="auto"/>
        </w:rPr>
      </w:pPr>
      <w:r>
        <w:rPr>
          <w:rFonts w:ascii="Arial" w:cs="Arial" w:eastAsia="Arial" w:hAnsi="Arial"/>
          <w:sz w:val="16"/>
          <w:szCs w:val="16"/>
          <w:color w:val="auto"/>
        </w:rPr>
        <w:t>Cable division operating income increased 9% in 2003 to $88.4 million, from $80.9 million in 2002. The increase in operating income for 2003 is due mostly to the division’s revenue growth, offset by higher depreciation expense and an increase in technical, Internet, marketing and employee benefits costs. Operating margin at the cable television division was 19% in 2003 and 2002.</w:t>
      </w:r>
    </w:p>
    <w:p>
      <w:pPr>
        <w:spacing w:after="0" w:line="76"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Depreciation expense increased due to significant capital spending in recent years that has enabled the cable division to offer digital and broadband cable services to its subscribers. The cable division began its rollout plan for these services in the third quarter of 2000. Depreciation expense in 2002 included a $5.4 million charge for obsolete assets. At December 31, 2003, the cable division had approximately 222,900 digital cable subscribers, representing a 31% penetration of the subscriber base. Both digital and cable modem services are now offered in virtually all of the cable division’s markets.</w:t>
      </w:r>
    </w:p>
    <w:p>
      <w:pPr>
        <w:spacing w:after="0" w:line="81"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At December 31, 2003, the cable division had 720,800 basic subscribers, compared to 718,000 at the end of December 2002, with the increase due to significant marketing efforts in 2003 to stabilize the subscriber base. At December 31, 2003, the cable division had 133,800 CableONE.net service subscribers, compared to 79,400 at the end of December 2002, due to a large increase in the Company’s cable modem deployment and take-up rates. In 2003, the cable division launched a number of marketing initiatives, including door-to-door sales and bundled service offers with monthly discounts, which have resulted in increased customer subscription rates.</w:t>
      </w:r>
    </w:p>
    <w:p>
      <w:pPr>
        <w:spacing w:after="0" w:line="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At December 31, 2003, Revenue Generating Units (RGUs), the sum of basic video, digital video and cable modem subscribers, totaled 1,077,500, compared to 993,600 as of December 31, 2002. The increase is due to an increase in the number of digital cable and cable modem customers.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Below are details of cable division capital expenditures for 2003 and 2002, as defined by the NCTA Standard Reporting Categories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6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769"/>
              <w:spacing w:after="0"/>
              <w:rPr>
                <w:sz w:val="20"/>
                <w:szCs w:val="20"/>
                <w:color w:val="auto"/>
              </w:rPr>
            </w:pPr>
            <w:r>
              <w:rPr>
                <w:rFonts w:ascii="Arial" w:cs="Arial" w:eastAsia="Arial" w:hAnsi="Arial"/>
                <w:sz w:val="13"/>
                <w:szCs w:val="13"/>
                <w:b w:val="1"/>
                <w:bCs w:val="1"/>
                <w:color w:val="auto"/>
              </w:rPr>
              <w:t>2003</w:t>
            </w:r>
          </w:p>
        </w:tc>
        <w:tc>
          <w:tcPr>
            <w:tcW w:w="176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2002</w:t>
            </w: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premise equipment</w:t>
            </w:r>
          </w:p>
        </w:tc>
        <w:tc>
          <w:tcPr>
            <w:tcW w:w="2000" w:type="dxa"/>
            <w:vAlign w:val="bottom"/>
            <w:shd w:val="clear" w:color="auto" w:fill="CCEEFF"/>
          </w:tcPr>
          <w:p>
            <w:pPr>
              <w:jc w:val="right"/>
              <w:ind w:right="769"/>
              <w:spacing w:after="0" w:line="149" w:lineRule="exact"/>
              <w:rPr>
                <w:sz w:val="20"/>
                <w:szCs w:val="20"/>
                <w:color w:val="auto"/>
              </w:rPr>
            </w:pPr>
            <w:r>
              <w:rPr>
                <w:rFonts w:ascii="Arial" w:cs="Arial" w:eastAsia="Arial" w:hAnsi="Arial"/>
                <w:sz w:val="14"/>
                <w:szCs w:val="14"/>
                <w:b w:val="1"/>
                <w:bCs w:val="1"/>
                <w:color w:val="auto"/>
              </w:rPr>
              <w:t>$ 17.0</w:t>
            </w:r>
          </w:p>
        </w:tc>
        <w:tc>
          <w:tcPr>
            <w:tcW w:w="176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$ 27.2</w:t>
            </w: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2000" w:type="dxa"/>
            <w:vAlign w:val="bottom"/>
          </w:tcPr>
          <w:p>
            <w:pPr>
              <w:jc w:val="right"/>
              <w:ind w:right="769"/>
              <w:spacing w:after="0" w:line="149" w:lineRule="exact"/>
              <w:rPr>
                <w:sz w:val="20"/>
                <w:szCs w:val="20"/>
                <w:color w:val="auto"/>
              </w:rPr>
            </w:pPr>
            <w:r>
              <w:rPr>
                <w:rFonts w:ascii="Arial" w:cs="Arial" w:eastAsia="Arial" w:hAnsi="Arial"/>
                <w:sz w:val="14"/>
                <w:szCs w:val="14"/>
                <w:b w:val="1"/>
                <w:bCs w:val="1"/>
                <w:color w:val="auto"/>
              </w:rPr>
              <w:t>0.1</w:t>
            </w:r>
          </w:p>
        </w:tc>
        <w:tc>
          <w:tcPr>
            <w:tcW w:w="176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0.1</w:t>
            </w: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Scaleable infrastructure</w:t>
            </w:r>
          </w:p>
        </w:tc>
        <w:tc>
          <w:tcPr>
            <w:tcW w:w="2000" w:type="dxa"/>
            <w:vAlign w:val="bottom"/>
            <w:shd w:val="clear" w:color="auto" w:fill="CCEEFF"/>
          </w:tcPr>
          <w:p>
            <w:pPr>
              <w:jc w:val="right"/>
              <w:ind w:right="769"/>
              <w:spacing w:after="0" w:line="149" w:lineRule="exact"/>
              <w:rPr>
                <w:sz w:val="20"/>
                <w:szCs w:val="20"/>
                <w:color w:val="auto"/>
              </w:rPr>
            </w:pPr>
            <w:r>
              <w:rPr>
                <w:rFonts w:ascii="Arial" w:cs="Arial" w:eastAsia="Arial" w:hAnsi="Arial"/>
                <w:sz w:val="14"/>
                <w:szCs w:val="14"/>
                <w:b w:val="1"/>
                <w:bCs w:val="1"/>
                <w:color w:val="auto"/>
              </w:rPr>
              <w:t>5.3</w:t>
            </w:r>
          </w:p>
        </w:tc>
        <w:tc>
          <w:tcPr>
            <w:tcW w:w="176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6.8</w:t>
            </w: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Line extensions</w:t>
            </w:r>
          </w:p>
        </w:tc>
        <w:tc>
          <w:tcPr>
            <w:tcW w:w="2000" w:type="dxa"/>
            <w:vAlign w:val="bottom"/>
          </w:tcPr>
          <w:p>
            <w:pPr>
              <w:jc w:val="right"/>
              <w:ind w:right="769"/>
              <w:spacing w:after="0" w:line="149" w:lineRule="exact"/>
              <w:rPr>
                <w:sz w:val="20"/>
                <w:szCs w:val="20"/>
                <w:color w:val="auto"/>
              </w:rPr>
            </w:pPr>
            <w:r>
              <w:rPr>
                <w:rFonts w:ascii="Arial" w:cs="Arial" w:eastAsia="Arial" w:hAnsi="Arial"/>
                <w:sz w:val="14"/>
                <w:szCs w:val="14"/>
                <w:b w:val="1"/>
                <w:bCs w:val="1"/>
                <w:color w:val="auto"/>
              </w:rPr>
              <w:t>10.6</w:t>
            </w:r>
          </w:p>
        </w:tc>
        <w:tc>
          <w:tcPr>
            <w:tcW w:w="176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10.4</w:t>
            </w: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Upgrade/rebuild</w:t>
            </w:r>
          </w:p>
        </w:tc>
        <w:tc>
          <w:tcPr>
            <w:tcW w:w="2000" w:type="dxa"/>
            <w:vAlign w:val="bottom"/>
            <w:shd w:val="clear" w:color="auto" w:fill="CCEEFF"/>
          </w:tcPr>
          <w:p>
            <w:pPr>
              <w:jc w:val="right"/>
              <w:ind w:right="769"/>
              <w:spacing w:after="0" w:line="149" w:lineRule="exact"/>
              <w:rPr>
                <w:sz w:val="20"/>
                <w:szCs w:val="20"/>
                <w:color w:val="auto"/>
              </w:rPr>
            </w:pPr>
            <w:r>
              <w:rPr>
                <w:rFonts w:ascii="Arial" w:cs="Arial" w:eastAsia="Arial" w:hAnsi="Arial"/>
                <w:sz w:val="14"/>
                <w:szCs w:val="14"/>
                <w:b w:val="1"/>
                <w:bCs w:val="1"/>
                <w:color w:val="auto"/>
              </w:rPr>
              <w:t>21.4</w:t>
            </w:r>
          </w:p>
        </w:tc>
        <w:tc>
          <w:tcPr>
            <w:tcW w:w="176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37.4</w:t>
            </w:r>
          </w:p>
        </w:tc>
      </w:tr>
      <w:tr>
        <w:trPr>
          <w:trHeight w:val="156"/>
        </w:trPr>
        <w:tc>
          <w:tcPr>
            <w:tcW w:w="20" w:type="dxa"/>
            <w:vAlign w:val="bottom"/>
          </w:tcPr>
          <w:p>
            <w:pPr>
              <w:spacing w:after="0"/>
              <w:rPr>
                <w:sz w:val="13"/>
                <w:szCs w:val="13"/>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Support capital</w:t>
            </w:r>
          </w:p>
        </w:tc>
        <w:tc>
          <w:tcPr>
            <w:tcW w:w="2000" w:type="dxa"/>
            <w:vAlign w:val="bottom"/>
            <w:tcBorders>
              <w:bottom w:val="single" w:sz="8" w:color="auto"/>
            </w:tcBorders>
          </w:tcPr>
          <w:p>
            <w:pPr>
              <w:jc w:val="right"/>
              <w:ind w:right="769"/>
              <w:spacing w:after="0" w:line="149" w:lineRule="exact"/>
              <w:rPr>
                <w:sz w:val="20"/>
                <w:szCs w:val="20"/>
                <w:color w:val="auto"/>
              </w:rPr>
            </w:pPr>
            <w:r>
              <w:rPr>
                <w:rFonts w:ascii="Arial" w:cs="Arial" w:eastAsia="Arial" w:hAnsi="Arial"/>
                <w:sz w:val="14"/>
                <w:szCs w:val="14"/>
                <w:b w:val="1"/>
                <w:bCs w:val="1"/>
                <w:color w:val="auto"/>
              </w:rPr>
              <w:t>11.5</w:t>
            </w:r>
          </w:p>
        </w:tc>
        <w:tc>
          <w:tcPr>
            <w:tcW w:w="176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10.6</w:t>
            </w: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Total</w:t>
            </w:r>
          </w:p>
        </w:tc>
        <w:tc>
          <w:tcPr>
            <w:tcW w:w="2000" w:type="dxa"/>
            <w:vAlign w:val="bottom"/>
            <w:tcBorders>
              <w:bottom w:val="single" w:sz="8" w:color="auto"/>
            </w:tcBorders>
            <w:shd w:val="clear" w:color="auto" w:fill="CCEEFF"/>
          </w:tcPr>
          <w:p>
            <w:pPr>
              <w:jc w:val="right"/>
              <w:ind w:right="769"/>
              <w:spacing w:after="0" w:line="149" w:lineRule="exact"/>
              <w:rPr>
                <w:sz w:val="20"/>
                <w:szCs w:val="20"/>
                <w:color w:val="auto"/>
              </w:rPr>
            </w:pPr>
            <w:r>
              <w:rPr>
                <w:rFonts w:ascii="Arial" w:cs="Arial" w:eastAsia="Arial" w:hAnsi="Arial"/>
                <w:sz w:val="14"/>
                <w:szCs w:val="14"/>
                <w:b w:val="1"/>
                <w:bCs w:val="1"/>
                <w:color w:val="auto"/>
              </w:rPr>
              <w:t>$65.9</w:t>
            </w:r>
          </w:p>
        </w:tc>
        <w:tc>
          <w:tcPr>
            <w:tcW w:w="176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$92.5</w:t>
            </w: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b w:val="1"/>
          <w:bCs w:val="1"/>
          <w:color w:val="auto"/>
        </w:rPr>
        <w:t xml:space="preserve">Education Division. </w:t>
      </w:r>
      <w:r>
        <w:rPr>
          <w:rFonts w:ascii="Arial" w:cs="Arial" w:eastAsia="Arial" w:hAnsi="Arial"/>
          <w:sz w:val="15"/>
          <w:szCs w:val="15"/>
          <w:color w:val="auto"/>
        </w:rPr>
        <w:t>Education division revenue in 2003 increased 35% to $838.1 million, from $621.1 million in 2002. Kaplan reported an operating loss of $11.7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year, compared to operating income of $20.5 million in 2002. The decline is due to an $84.6 million increase in Kaplan stock compensation expense in 2003 and a</w:t>
      </w:r>
    </w:p>
    <w:p>
      <w:pPr>
        <w:ind w:right="20"/>
        <w:spacing w:after="0" w:line="276" w:lineRule="auto"/>
        <w:rPr>
          <w:sz w:val="20"/>
          <w:szCs w:val="20"/>
          <w:color w:val="auto"/>
        </w:rPr>
      </w:pPr>
      <w:r>
        <w:rPr>
          <w:rFonts w:ascii="Arial" w:cs="Arial" w:eastAsia="Arial" w:hAnsi="Arial"/>
          <w:sz w:val="16"/>
          <w:szCs w:val="16"/>
          <w:color w:val="auto"/>
        </w:rPr>
        <w:t>$6.5 million contribution to the Kaplan Educational Foundation in the fourth quarter of 2003, offset by significant revenue growth during the year. Approximately 43% of the increase in Kaplan revenue is from acquired businesses, primarily in the higher education division and the professional training schools that are part of supplemental education. A summary of operating results for 2003 compared to 2002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8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849"/>
              <w:spacing w:after="0"/>
              <w:rPr>
                <w:sz w:val="20"/>
                <w:szCs w:val="20"/>
                <w:color w:val="auto"/>
              </w:rPr>
            </w:pPr>
            <w:r>
              <w:rPr>
                <w:rFonts w:ascii="Arial" w:cs="Arial" w:eastAsia="Arial" w:hAnsi="Arial"/>
                <w:sz w:val="13"/>
                <w:szCs w:val="13"/>
                <w:b w:val="1"/>
                <w:bCs w:val="1"/>
                <w:color w:val="auto"/>
              </w:rPr>
              <w:t>2003</w:t>
            </w:r>
          </w:p>
        </w:tc>
        <w:tc>
          <w:tcPr>
            <w:tcW w:w="9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29"/>
              <w:spacing w:after="0"/>
              <w:rPr>
                <w:sz w:val="20"/>
                <w:szCs w:val="20"/>
                <w:color w:val="auto"/>
              </w:rPr>
            </w:pPr>
            <w:r>
              <w:rPr>
                <w:rFonts w:ascii="Arial" w:cs="Arial" w:eastAsia="Arial" w:hAnsi="Arial"/>
                <w:sz w:val="13"/>
                <w:szCs w:val="13"/>
                <w:color w:val="auto"/>
              </w:rPr>
              <w:t>2002</w:t>
            </w:r>
          </w:p>
        </w:tc>
        <w:tc>
          <w:tcPr>
            <w:tcW w:w="2100" w:type="dxa"/>
            <w:vAlign w:val="bottom"/>
            <w:tcBorders>
              <w:bottom w:val="single" w:sz="8" w:color="auto"/>
            </w:tcBorders>
          </w:tcPr>
          <w:p>
            <w:pPr>
              <w:jc w:val="right"/>
              <w:ind w:right="769"/>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8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80"/>
              <w:spacing w:after="0" w:line="149" w:lineRule="exact"/>
              <w:rPr>
                <w:sz w:val="20"/>
                <w:szCs w:val="20"/>
                <w:color w:val="auto"/>
              </w:rPr>
            </w:pPr>
            <w:r>
              <w:rPr>
                <w:rFonts w:ascii="Arial" w:cs="Arial" w:eastAsia="Arial" w:hAnsi="Arial"/>
                <w:sz w:val="14"/>
                <w:szCs w:val="14"/>
                <w:color w:val="auto"/>
              </w:rPr>
              <w:t>Supplemental education</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849"/>
              <w:spacing w:after="0" w:line="149" w:lineRule="exact"/>
              <w:rPr>
                <w:sz w:val="20"/>
                <w:szCs w:val="20"/>
                <w:color w:val="auto"/>
              </w:rPr>
            </w:pPr>
            <w:r>
              <w:rPr>
                <w:rFonts w:ascii="Arial" w:cs="Arial" w:eastAsia="Arial" w:hAnsi="Arial"/>
                <w:sz w:val="14"/>
                <w:szCs w:val="14"/>
                <w:b w:val="1"/>
                <w:bCs w:val="1"/>
                <w:color w:val="auto"/>
                <w:w w:val="98"/>
              </w:rPr>
              <w:t>469,757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729"/>
              <w:spacing w:after="0" w:line="149" w:lineRule="exact"/>
              <w:rPr>
                <w:sz w:val="20"/>
                <w:szCs w:val="20"/>
                <w:color w:val="auto"/>
              </w:rPr>
            </w:pPr>
            <w:r>
              <w:rPr>
                <w:rFonts w:ascii="Arial" w:cs="Arial" w:eastAsia="Arial" w:hAnsi="Arial"/>
                <w:sz w:val="14"/>
                <w:szCs w:val="14"/>
                <w:color w:val="auto"/>
                <w:w w:val="90"/>
              </w:rPr>
              <w:t>371,248</w:t>
            </w:r>
          </w:p>
        </w:tc>
        <w:tc>
          <w:tcPr>
            <w:tcW w:w="2100" w:type="dxa"/>
            <w:vAlign w:val="bottom"/>
          </w:tcPr>
          <w:p>
            <w:pPr>
              <w:jc w:val="right"/>
              <w:ind w:right="769"/>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Higher education</w:t>
            </w:r>
          </w:p>
        </w:tc>
        <w:tc>
          <w:tcPr>
            <w:tcW w:w="8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849"/>
              <w:spacing w:after="0" w:line="149" w:lineRule="exact"/>
              <w:rPr>
                <w:sz w:val="20"/>
                <w:szCs w:val="20"/>
                <w:color w:val="auto"/>
              </w:rPr>
            </w:pPr>
            <w:r>
              <w:rPr>
                <w:rFonts w:ascii="Arial" w:cs="Arial" w:eastAsia="Arial" w:hAnsi="Arial"/>
                <w:sz w:val="14"/>
                <w:szCs w:val="14"/>
                <w:b w:val="1"/>
                <w:bCs w:val="1"/>
                <w:color w:val="auto"/>
                <w:w w:val="98"/>
              </w:rPr>
              <w:t>368,320</w:t>
            </w:r>
          </w:p>
        </w:tc>
        <w:tc>
          <w:tcPr>
            <w:tcW w:w="9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w w:val="90"/>
              </w:rPr>
              <w:t>249,877</w:t>
            </w:r>
          </w:p>
        </w:tc>
        <w:tc>
          <w:tcPr>
            <w:tcW w:w="2100" w:type="dxa"/>
            <w:vAlign w:val="bottom"/>
            <w:tcBorders>
              <w:bottom w:val="single" w:sz="8" w:color="auto"/>
            </w:tcBorders>
            <w:shd w:val="clear" w:color="auto" w:fill="CCEEFF"/>
          </w:tcPr>
          <w:p>
            <w:pPr>
              <w:jc w:val="right"/>
              <w:ind w:right="769"/>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849"/>
              <w:spacing w:after="0" w:line="149" w:lineRule="exact"/>
              <w:rPr>
                <w:sz w:val="20"/>
                <w:szCs w:val="20"/>
                <w:color w:val="auto"/>
              </w:rPr>
            </w:pPr>
            <w:r>
              <w:rPr>
                <w:rFonts w:ascii="Arial" w:cs="Arial" w:eastAsia="Arial" w:hAnsi="Arial"/>
                <w:sz w:val="14"/>
                <w:szCs w:val="14"/>
                <w:b w:val="1"/>
                <w:bCs w:val="1"/>
                <w:color w:val="auto"/>
                <w:w w:val="98"/>
              </w:rPr>
              <w:t>838,077</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w w:val="90"/>
              </w:rPr>
              <w:t>621,125</w:t>
            </w:r>
          </w:p>
        </w:tc>
        <w:tc>
          <w:tcPr>
            <w:tcW w:w="2100" w:type="dxa"/>
            <w:vAlign w:val="bottom"/>
            <w:tcBorders>
              <w:bottom w:val="single" w:sz="8" w:color="auto"/>
            </w:tcBorders>
            <w:shd w:val="clear" w:color="auto" w:fill="CCEEFF"/>
          </w:tcPr>
          <w:p>
            <w:pPr>
              <w:jc w:val="right"/>
              <w:ind w:right="769"/>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Supplemental education</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849"/>
              <w:spacing w:after="0" w:line="149" w:lineRule="exact"/>
              <w:rPr>
                <w:sz w:val="20"/>
                <w:szCs w:val="20"/>
                <w:color w:val="auto"/>
              </w:rPr>
            </w:pPr>
            <w:r>
              <w:rPr>
                <w:rFonts w:ascii="Arial" w:cs="Arial" w:eastAsia="Arial" w:hAnsi="Arial"/>
                <w:sz w:val="14"/>
                <w:szCs w:val="14"/>
                <w:b w:val="1"/>
                <w:bCs w:val="1"/>
                <w:color w:val="auto"/>
              </w:rPr>
              <w:t>87,044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54,103</w:t>
            </w:r>
          </w:p>
        </w:tc>
        <w:tc>
          <w:tcPr>
            <w:tcW w:w="2100" w:type="dxa"/>
            <w:vAlign w:val="bottom"/>
            <w:shd w:val="clear" w:color="auto" w:fill="CCEEFF"/>
          </w:tcPr>
          <w:p>
            <w:pPr>
              <w:jc w:val="right"/>
              <w:ind w:right="769"/>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80"/>
              <w:spacing w:after="0" w:line="149" w:lineRule="exact"/>
              <w:rPr>
                <w:sz w:val="20"/>
                <w:szCs w:val="20"/>
                <w:color w:val="auto"/>
              </w:rPr>
            </w:pPr>
            <w:r>
              <w:rPr>
                <w:rFonts w:ascii="Arial" w:cs="Arial" w:eastAsia="Arial" w:hAnsi="Arial"/>
                <w:sz w:val="14"/>
                <w:szCs w:val="14"/>
                <w:color w:val="auto"/>
              </w:rPr>
              <w:t>Higher education</w:t>
            </w:r>
          </w:p>
        </w:tc>
        <w:tc>
          <w:tcPr>
            <w:tcW w:w="840" w:type="dxa"/>
            <w:vAlign w:val="bottom"/>
          </w:tcPr>
          <w:p>
            <w:pPr>
              <w:spacing w:after="0"/>
              <w:rPr>
                <w:sz w:val="12"/>
                <w:szCs w:val="12"/>
                <w:color w:val="auto"/>
              </w:rPr>
            </w:pPr>
          </w:p>
        </w:tc>
        <w:tc>
          <w:tcPr>
            <w:tcW w:w="1440" w:type="dxa"/>
            <w:vAlign w:val="bottom"/>
          </w:tcPr>
          <w:p>
            <w:pPr>
              <w:jc w:val="right"/>
              <w:ind w:right="849"/>
              <w:spacing w:after="0" w:line="149" w:lineRule="exact"/>
              <w:rPr>
                <w:sz w:val="20"/>
                <w:szCs w:val="20"/>
                <w:color w:val="auto"/>
              </w:rPr>
            </w:pPr>
            <w:r>
              <w:rPr>
                <w:rFonts w:ascii="Arial" w:cs="Arial" w:eastAsia="Arial" w:hAnsi="Arial"/>
                <w:sz w:val="14"/>
                <w:szCs w:val="14"/>
                <w:b w:val="1"/>
                <w:bCs w:val="1"/>
                <w:color w:val="auto"/>
              </w:rPr>
              <w:t>58,428</w:t>
            </w:r>
          </w:p>
        </w:tc>
        <w:tc>
          <w:tcPr>
            <w:tcW w:w="940" w:type="dxa"/>
            <w:vAlign w:val="bottom"/>
          </w:tcPr>
          <w:p>
            <w:pPr>
              <w:spacing w:after="0"/>
              <w:rPr>
                <w:sz w:val="12"/>
                <w:szCs w:val="12"/>
                <w:color w:val="auto"/>
              </w:rPr>
            </w:pPr>
          </w:p>
        </w:tc>
        <w:tc>
          <w:tcPr>
            <w:tcW w:w="1280" w:type="dxa"/>
            <w:vAlign w:val="bottom"/>
          </w:tcPr>
          <w:p>
            <w:pPr>
              <w:jc w:val="right"/>
              <w:ind w:right="729"/>
              <w:spacing w:after="0" w:line="149" w:lineRule="exact"/>
              <w:rPr>
                <w:sz w:val="20"/>
                <w:szCs w:val="20"/>
                <w:color w:val="auto"/>
              </w:rPr>
            </w:pPr>
            <w:r>
              <w:rPr>
                <w:rFonts w:ascii="Arial" w:cs="Arial" w:eastAsia="Arial" w:hAnsi="Arial"/>
                <w:sz w:val="14"/>
                <w:szCs w:val="14"/>
                <w:color w:val="auto"/>
              </w:rPr>
              <w:t>27,569</w:t>
            </w:r>
          </w:p>
        </w:tc>
        <w:tc>
          <w:tcPr>
            <w:tcW w:w="2100" w:type="dxa"/>
            <w:vAlign w:val="bottom"/>
          </w:tcPr>
          <w:p>
            <w:pPr>
              <w:jc w:val="right"/>
              <w:ind w:right="769"/>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Kaplan corporate overhead</w:t>
            </w:r>
          </w:p>
        </w:tc>
        <w:tc>
          <w:tcPr>
            <w:tcW w:w="8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809"/>
              <w:spacing w:after="0" w:line="149" w:lineRule="exact"/>
              <w:rPr>
                <w:sz w:val="20"/>
                <w:szCs w:val="20"/>
                <w:color w:val="auto"/>
              </w:rPr>
            </w:pPr>
            <w:r>
              <w:rPr>
                <w:rFonts w:ascii="Arial" w:cs="Arial" w:eastAsia="Arial" w:hAnsi="Arial"/>
                <w:sz w:val="14"/>
                <w:szCs w:val="14"/>
                <w:b w:val="1"/>
                <w:bCs w:val="1"/>
                <w:color w:val="auto"/>
              </w:rPr>
              <w:t>(36,782)</w:t>
            </w:r>
          </w:p>
        </w:tc>
        <w:tc>
          <w:tcPr>
            <w:tcW w:w="9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689"/>
              <w:spacing w:after="0" w:line="149" w:lineRule="exact"/>
              <w:rPr>
                <w:sz w:val="20"/>
                <w:szCs w:val="20"/>
                <w:color w:val="auto"/>
              </w:rPr>
            </w:pPr>
            <w:r>
              <w:rPr>
                <w:rFonts w:ascii="Arial" w:cs="Arial" w:eastAsia="Arial" w:hAnsi="Arial"/>
                <w:sz w:val="14"/>
                <w:szCs w:val="14"/>
                <w:color w:val="auto"/>
                <w:w w:val="95"/>
              </w:rPr>
              <w:t>(26,143)</w:t>
            </w:r>
          </w:p>
        </w:tc>
        <w:tc>
          <w:tcPr>
            <w:tcW w:w="210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8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09"/>
              <w:spacing w:after="0" w:line="149" w:lineRule="exact"/>
              <w:rPr>
                <w:sz w:val="20"/>
                <w:szCs w:val="20"/>
                <w:color w:val="auto"/>
              </w:rPr>
            </w:pPr>
            <w:r>
              <w:rPr>
                <w:rFonts w:ascii="Arial" w:cs="Arial" w:eastAsia="Arial" w:hAnsi="Arial"/>
                <w:sz w:val="14"/>
                <w:szCs w:val="14"/>
                <w:b w:val="1"/>
                <w:bCs w:val="1"/>
                <w:color w:val="auto"/>
                <w:w w:val="90"/>
              </w:rPr>
              <w:t>(120,399)</w:t>
            </w:r>
          </w:p>
        </w:tc>
        <w:tc>
          <w:tcPr>
            <w:tcW w:w="9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89"/>
              <w:spacing w:after="0" w:line="149" w:lineRule="exact"/>
              <w:rPr>
                <w:sz w:val="20"/>
                <w:szCs w:val="20"/>
                <w:color w:val="auto"/>
              </w:rPr>
            </w:pPr>
            <w:r>
              <w:rPr>
                <w:rFonts w:ascii="Arial" w:cs="Arial" w:eastAsia="Arial" w:hAnsi="Arial"/>
                <w:sz w:val="14"/>
                <w:szCs w:val="14"/>
                <w:color w:val="auto"/>
                <w:w w:val="95"/>
              </w:rPr>
              <w:t>(35,017)</w:t>
            </w:r>
          </w:p>
        </w:tc>
        <w:tc>
          <w:tcPr>
            <w:tcW w:w="210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809"/>
              <w:spacing w:after="0" w:line="149" w:lineRule="exact"/>
              <w:rPr>
                <w:sz w:val="20"/>
                <w:szCs w:val="20"/>
                <w:color w:val="auto"/>
              </w:rPr>
            </w:pPr>
            <w:r>
              <w:rPr>
                <w:rFonts w:ascii="Arial" w:cs="Arial" w:eastAsia="Arial" w:hAnsi="Arial"/>
                <w:sz w:val="14"/>
                <w:szCs w:val="14"/>
                <w:b w:val="1"/>
                <w:bCs w:val="1"/>
                <w:color w:val="auto"/>
              </w:rPr>
              <w:t>(11,709)</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20,512</w:t>
            </w:r>
          </w:p>
        </w:tc>
        <w:tc>
          <w:tcPr>
            <w:tcW w:w="2100" w:type="dxa"/>
            <w:vAlign w:val="bottom"/>
            <w:tcBorders>
              <w:bottom w:val="single" w:sz="8" w:color="auto"/>
            </w:tcBorders>
            <w:shd w:val="clear" w:color="auto" w:fill="CCEEFF"/>
          </w:tcPr>
          <w:p>
            <w:pPr>
              <w:jc w:val="right"/>
              <w:ind w:right="76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On March 31, 2003, Kaplan completed its acquisition of The Financial Training Company (FTC) for £55.3 million ($87.4 million), financed through cash and debt. Headquartered in London, FTC provides test preparation services for accountants and financial services professionals, with training centers in the United Kingdom and Asia. The improvement in supplemental education results for 2003 is due to increased enrollment at Kaplan’s traditional test preparation business, significant increases in the professional real estate courses, and the FTC acquisition. Score! also contributed to the improved results, with</w:t>
      </w:r>
    </w:p>
    <w:p>
      <w:pPr>
        <w:spacing w:after="0" w:line="200" w:lineRule="exact"/>
        <w:rPr>
          <w:sz w:val="20"/>
          <w:szCs w:val="20"/>
          <w:color w:val="auto"/>
        </w:rPr>
      </w:pPr>
    </w:p>
    <w:p>
      <w:pPr>
        <w:spacing w:after="0" w:line="31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increased enrollments at existing centers and the addition of 10 new centers compared to the previous year.</w:t>
      </w:r>
    </w:p>
    <w:p>
      <w:pPr>
        <w:spacing w:after="0" w:line="127" w:lineRule="exact"/>
        <w:rPr>
          <w:sz w:val="20"/>
          <w:szCs w:val="20"/>
          <w:color w:val="auto"/>
        </w:rPr>
      </w:pPr>
    </w:p>
    <w:p>
      <w:pPr>
        <w:jc w:val="both"/>
        <w:spacing w:after="0" w:line="369" w:lineRule="auto"/>
        <w:rPr>
          <w:sz w:val="20"/>
          <w:szCs w:val="20"/>
          <w:color w:val="auto"/>
        </w:rPr>
      </w:pPr>
      <w:r>
        <w:rPr>
          <w:rFonts w:ascii="Arial" w:cs="Arial" w:eastAsia="Arial" w:hAnsi="Arial"/>
          <w:sz w:val="14"/>
          <w:szCs w:val="14"/>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8" w:lineRule="exact"/>
        <w:rPr>
          <w:sz w:val="20"/>
          <w:szCs w:val="20"/>
          <w:color w:val="auto"/>
        </w:rPr>
      </w:pPr>
    </w:p>
    <w:p>
      <w:pPr>
        <w:ind w:right="380"/>
        <w:spacing w:after="0" w:line="369" w:lineRule="auto"/>
        <w:rPr>
          <w:sz w:val="20"/>
          <w:szCs w:val="20"/>
          <w:color w:val="auto"/>
        </w:rPr>
      </w:pPr>
      <w:r>
        <w:rPr>
          <w:rFonts w:ascii="Arial" w:cs="Arial" w:eastAsia="Arial" w:hAnsi="Arial"/>
          <w:sz w:val="14"/>
          <w:szCs w:val="14"/>
          <w:color w:val="auto"/>
        </w:rPr>
        <w:t>Corporate overhead represents unallocated expenses of Kaplan’s corporate office, including a $6.5 million charge in the fourth quarter of 2003 for the Kaplan Educational Foundation, and expenses associated with the design and development of educational software that, if successfully completed, will benefit all of Kaplan’s business units.</w:t>
      </w:r>
    </w:p>
    <w:p>
      <w:pPr>
        <w:spacing w:after="0" w:line="18"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Other expense comprises accrued charges for stock-based incentive compensation arising from a stock option plan established for certain members of Kaplan’s management (the general provisions of which are discussed in Note G to the Consolidated Financial Statements) and amortization of certain intangibles. Under the stock-based incentive plan, the amount of compensation expense varies directly with the estimated fair value of Kaplan’s common stock and the number of options outstanding. The Company recorded expense of $119.1 million and $34.5 million for 2003 and 2002, respectively, related to this plan. The increase for 2003 reflects a significant increase in the value of Kaplan due to its rapid earnings growth and the general rise in valuations of education companies. See additional discussion above regarding the Company’s announcement in September 2003 of its offer to purchase 55% of the outstanding Kaplan stock options.</w:t>
      </w:r>
    </w:p>
    <w:p>
      <w:pPr>
        <w:spacing w:after="0" w:line="6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The corporate office operating expenses increased to $30.3 million in 2003, from $27.4 million in 2002. The increase in expenses for 2003 is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several companywide technology projects.</w:t>
      </w:r>
    </w:p>
    <w:p>
      <w:pPr>
        <w:spacing w:after="0" w:line="56"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b w:val="1"/>
          <w:bCs w:val="1"/>
          <w:color w:val="auto"/>
        </w:rPr>
        <w:t xml:space="preserve">Equity in Losses of Affiliates. </w:t>
      </w:r>
      <w:r>
        <w:rPr>
          <w:rFonts w:ascii="Arial" w:cs="Arial" w:eastAsia="Arial" w:hAnsi="Arial"/>
          <w:sz w:val="15"/>
          <w:szCs w:val="15"/>
          <w:color w:val="auto"/>
        </w:rPr>
        <w:t>The Company’s equity in losses of affiliates for 2003 was $9.8 million, compared to losses of $19.3 million for 2002. The Company’s affiliate</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investments at the end of 2003 consisted of a 49% interest in BrassRing LLC and a 49% interest in Bowater Mersey Paper Company Limited. BrassRing results improved in 2003, despite a second quarter charge arising from the shutdown of one of the BrassRing businesses, which increased the Company’s equity in losses of BrassRing by $2.2 million. The Company’s equity in losses of BrassRing totaled $7.7 million for 2003, compared to $13.9 million for 2002.</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January 1, 2003, the Company sold its 50% interest in the International Herald Tribune for $65 million and recorded an after-tax non-operating gain of $32.3 million in the first quarter of 2003.</w:t>
      </w:r>
    </w:p>
    <w:p>
      <w:pPr>
        <w:spacing w:after="0" w:line="60"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 xml:space="preserve">Non-Operating Items. </w:t>
      </w:r>
      <w:r>
        <w:rPr>
          <w:rFonts w:ascii="Arial" w:cs="Arial" w:eastAsia="Arial" w:hAnsi="Arial"/>
          <w:sz w:val="16"/>
          <w:szCs w:val="16"/>
          <w:color w:val="auto"/>
        </w:rPr>
        <w:t>The Company recorded other non-operating income, net, of $55.4 million in 2003, compared to $28.9 million in 2002. The 2003 non-operating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net, mostly comprises a $49.8 million pre-tax gain from the sale of the Company’s 50% interest in the International Herald Tribune. The 2002 non-operating income, net, includes a pre-tax gain of $27.8 million on the exchange of certain cable systems in the fourth quarter of 2002 and a gain on the sale of marketable securities, offset by write-downs recorded on certain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years ended December 28, 2003 and December 29, 2002, follows (in millions):</w:t>
      </w:r>
    </w:p>
    <w:p>
      <w:pPr>
        <w:spacing w:after="0" w:line="186" w:lineRule="exact"/>
        <w:rPr>
          <w:sz w:val="20"/>
          <w:szCs w:val="20"/>
          <w:color w:val="auto"/>
        </w:rPr>
      </w:pPr>
    </w:p>
    <w:p>
      <w:pPr>
        <w:ind w:left="8520"/>
        <w:spacing w:after="0"/>
        <w:tabs>
          <w:tab w:leader="none" w:pos="10600" w:val="left"/>
        </w:tabs>
        <w:rPr>
          <w:sz w:val="20"/>
          <w:szCs w:val="20"/>
          <w:color w:val="auto"/>
        </w:rPr>
      </w:pPr>
      <w:r>
        <w:rPr>
          <w:rFonts w:ascii="Arial" w:cs="Arial" w:eastAsia="Arial" w:hAnsi="Arial"/>
          <w:sz w:val="13"/>
          <w:szCs w:val="13"/>
          <w:b w:val="1"/>
          <w:bCs w:val="1"/>
          <w:color w:val="auto"/>
        </w:rPr>
        <w:t>2003</w:t>
      </w:r>
      <w:r>
        <w:rPr>
          <w:sz w:val="20"/>
          <w:szCs w:val="20"/>
          <w:color w:val="auto"/>
        </w:rPr>
        <w:tab/>
      </w:r>
      <w:r>
        <w:rPr>
          <w:rFonts w:ascii="Arial" w:cs="Arial" w:eastAsia="Arial" w:hAnsi="Arial"/>
          <w:sz w:val="13"/>
          <w:szCs w:val="13"/>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Gain on sale of interest in IHT</w:t>
      </w:r>
    </w:p>
    <w:p>
      <w:pPr>
        <w:spacing w:after="0" w:line="221" w:lineRule="auto"/>
        <w:rPr>
          <w:sz w:val="20"/>
          <w:szCs w:val="20"/>
          <w:color w:val="auto"/>
        </w:rPr>
      </w:pPr>
      <w:r>
        <w:rPr>
          <w:rFonts w:ascii="Arial" w:cs="Arial" w:eastAsia="Arial" w:hAnsi="Arial"/>
          <w:sz w:val="14"/>
          <w:szCs w:val="14"/>
          <w:color w:val="auto"/>
        </w:rPr>
        <w:t>Foreign currency gains, net</w:t>
      </w:r>
    </w:p>
    <w:p>
      <w:pPr>
        <w:spacing w:after="0"/>
        <w:rPr>
          <w:sz w:val="20"/>
          <w:szCs w:val="20"/>
          <w:color w:val="auto"/>
        </w:rPr>
      </w:pPr>
      <w:r>
        <w:rPr>
          <w:rFonts w:ascii="Arial" w:cs="Arial" w:eastAsia="Arial" w:hAnsi="Arial"/>
          <w:sz w:val="13"/>
          <w:szCs w:val="13"/>
          <w:color w:val="auto"/>
        </w:rPr>
        <w:t>Impairment write-downs on cost method and other investments</w:t>
      </w:r>
    </w:p>
    <w:p>
      <w:pPr>
        <w:spacing w:after="0" w:line="221" w:lineRule="auto"/>
        <w:rPr>
          <w:sz w:val="20"/>
          <w:szCs w:val="20"/>
          <w:color w:val="auto"/>
        </w:rPr>
      </w:pPr>
      <w:r>
        <w:rPr>
          <w:rFonts w:ascii="Arial" w:cs="Arial" w:eastAsia="Arial" w:hAnsi="Arial"/>
          <w:sz w:val="14"/>
          <w:szCs w:val="14"/>
          <w:color w:val="auto"/>
        </w:rPr>
        <w:t>Gain on exchange of cable system business</w:t>
      </w:r>
    </w:p>
    <w:p>
      <w:pPr>
        <w:spacing w:after="0" w:line="221" w:lineRule="auto"/>
        <w:rPr>
          <w:sz w:val="20"/>
          <w:szCs w:val="20"/>
          <w:color w:val="auto"/>
        </w:rPr>
      </w:pPr>
      <w:r>
        <w:rPr>
          <w:rFonts w:ascii="Arial" w:cs="Arial" w:eastAsia="Arial" w:hAnsi="Arial"/>
          <w:sz w:val="14"/>
          <w:szCs w:val="14"/>
          <w:color w:val="auto"/>
        </w:rPr>
        <w:t>Gain on sale of marketable securities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gains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020" w:type="dxa"/>
            <w:vAlign w:val="bottom"/>
          </w:tcPr>
          <w:p>
            <w:pPr>
              <w:jc w:val="right"/>
              <w:ind w:right="808"/>
              <w:spacing w:after="0" w:line="157" w:lineRule="exact"/>
              <w:rPr>
                <w:sz w:val="20"/>
                <w:szCs w:val="20"/>
                <w:color w:val="auto"/>
              </w:rPr>
            </w:pPr>
            <w:r>
              <w:rPr>
                <w:rFonts w:ascii="Arial" w:cs="Arial" w:eastAsia="Arial" w:hAnsi="Arial"/>
                <w:sz w:val="14"/>
                <w:szCs w:val="14"/>
                <w:b w:val="1"/>
                <w:bCs w:val="1"/>
                <w:color w:val="auto"/>
              </w:rPr>
              <w:t>$49.8</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w:t>
            </w:r>
          </w:p>
        </w:tc>
      </w:tr>
      <w:tr>
        <w:trPr>
          <w:trHeight w:val="149"/>
        </w:trPr>
        <w:tc>
          <w:tcPr>
            <w:tcW w:w="2020" w:type="dxa"/>
            <w:vAlign w:val="bottom"/>
          </w:tcPr>
          <w:p>
            <w:pPr>
              <w:jc w:val="right"/>
              <w:ind w:right="808"/>
              <w:spacing w:after="0" w:line="149" w:lineRule="exact"/>
              <w:rPr>
                <w:sz w:val="20"/>
                <w:szCs w:val="20"/>
                <w:color w:val="auto"/>
              </w:rPr>
            </w:pPr>
            <w:r>
              <w:rPr>
                <w:rFonts w:ascii="Arial" w:cs="Arial" w:eastAsia="Arial" w:hAnsi="Arial"/>
                <w:sz w:val="14"/>
                <w:szCs w:val="14"/>
                <w:b w:val="1"/>
                <w:bCs w:val="1"/>
                <w:color w:val="auto"/>
              </w:rPr>
              <w:t>4.2</w:t>
            </w:r>
          </w:p>
        </w:tc>
        <w:tc>
          <w:tcPr>
            <w:tcW w:w="900" w:type="dxa"/>
            <w:vAlign w:val="bottom"/>
          </w:tcPr>
          <w:p>
            <w:pPr>
              <w:spacing w:after="0"/>
              <w:rPr>
                <w:sz w:val="12"/>
                <w:szCs w:val="12"/>
                <w:color w:val="auto"/>
              </w:rPr>
            </w:pPr>
          </w:p>
        </w:tc>
        <w:tc>
          <w:tcPr>
            <w:tcW w:w="8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r>
      <w:tr>
        <w:trPr>
          <w:trHeight w:val="149"/>
        </w:trPr>
        <w:tc>
          <w:tcPr>
            <w:tcW w:w="2020" w:type="dxa"/>
            <w:vAlign w:val="bottom"/>
          </w:tcPr>
          <w:p>
            <w:pPr>
              <w:jc w:val="right"/>
              <w:ind w:right="768"/>
              <w:spacing w:after="0" w:line="149" w:lineRule="exact"/>
              <w:rPr>
                <w:sz w:val="20"/>
                <w:szCs w:val="20"/>
                <w:color w:val="auto"/>
              </w:rPr>
            </w:pPr>
            <w:r>
              <w:rPr>
                <w:rFonts w:ascii="Arial" w:cs="Arial" w:eastAsia="Arial" w:hAnsi="Arial"/>
                <w:sz w:val="14"/>
                <w:szCs w:val="14"/>
                <w:b w:val="1"/>
                <w:bCs w:val="1"/>
                <w:color w:val="auto"/>
              </w:rPr>
              <w:t>(1.3)</w:t>
            </w:r>
          </w:p>
        </w:tc>
        <w:tc>
          <w:tcPr>
            <w:tcW w:w="900" w:type="dxa"/>
            <w:vAlign w:val="bottom"/>
          </w:tcPr>
          <w:p>
            <w:pPr>
              <w:spacing w:after="0"/>
              <w:rPr>
                <w:sz w:val="12"/>
                <w:szCs w:val="12"/>
                <w:color w:val="auto"/>
              </w:rPr>
            </w:pPr>
          </w:p>
        </w:tc>
        <w:tc>
          <w:tcPr>
            <w:tcW w:w="860" w:type="dxa"/>
            <w:vAlign w:val="bottom"/>
          </w:tcPr>
          <w:p>
            <w:pPr>
              <w:jc w:val="right"/>
              <w:ind w:right="428"/>
              <w:spacing w:after="0" w:line="149" w:lineRule="exact"/>
              <w:rPr>
                <w:sz w:val="20"/>
                <w:szCs w:val="20"/>
                <w:color w:val="auto"/>
              </w:rPr>
            </w:pPr>
            <w:r>
              <w:rPr>
                <w:rFonts w:ascii="Arial" w:cs="Arial" w:eastAsia="Arial" w:hAnsi="Arial"/>
                <w:sz w:val="14"/>
                <w:szCs w:val="14"/>
                <w:color w:val="auto"/>
                <w:w w:val="92"/>
              </w:rPr>
              <w:t>(21.2)</w:t>
            </w:r>
          </w:p>
        </w:tc>
      </w:tr>
      <w:tr>
        <w:trPr>
          <w:trHeight w:val="149"/>
        </w:trPr>
        <w:tc>
          <w:tcPr>
            <w:tcW w:w="2020" w:type="dxa"/>
            <w:vAlign w:val="bottom"/>
          </w:tcPr>
          <w:p>
            <w:pPr>
              <w:jc w:val="right"/>
              <w:ind w:right="808"/>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2"/>
                <w:szCs w:val="12"/>
                <w:color w:val="auto"/>
              </w:rPr>
            </w:pPr>
          </w:p>
        </w:tc>
        <w:tc>
          <w:tcPr>
            <w:tcW w:w="8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27.8</w:t>
            </w:r>
          </w:p>
        </w:tc>
      </w:tr>
      <w:tr>
        <w:trPr>
          <w:trHeight w:val="149"/>
        </w:trPr>
        <w:tc>
          <w:tcPr>
            <w:tcW w:w="2020" w:type="dxa"/>
            <w:vAlign w:val="bottom"/>
          </w:tcPr>
          <w:p>
            <w:pPr>
              <w:jc w:val="right"/>
              <w:ind w:right="808"/>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2"/>
                <w:szCs w:val="12"/>
                <w:color w:val="auto"/>
              </w:rPr>
            </w:pPr>
          </w:p>
        </w:tc>
        <w:tc>
          <w:tcPr>
            <w:tcW w:w="8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13.2</w:t>
            </w:r>
          </w:p>
        </w:tc>
      </w:tr>
      <w:tr>
        <w:trPr>
          <w:trHeight w:val="171"/>
        </w:trPr>
        <w:tc>
          <w:tcPr>
            <w:tcW w:w="202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2.7</w:t>
            </w:r>
          </w:p>
        </w:tc>
        <w:tc>
          <w:tcPr>
            <w:tcW w:w="9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9.1</w:t>
            </w:r>
          </w:p>
        </w:tc>
      </w:tr>
      <w:tr>
        <w:trPr>
          <w:trHeight w:val="156"/>
        </w:trPr>
        <w:tc>
          <w:tcPr>
            <w:tcW w:w="2020" w:type="dxa"/>
            <w:vAlign w:val="bottom"/>
            <w:tcBorders>
              <w:bottom w:val="single" w:sz="8" w:color="auto"/>
            </w:tcBorders>
          </w:tcPr>
          <w:p>
            <w:pPr>
              <w:jc w:val="right"/>
              <w:ind w:right="808"/>
              <w:spacing w:after="0" w:line="155" w:lineRule="exact"/>
              <w:rPr>
                <w:sz w:val="20"/>
                <w:szCs w:val="20"/>
                <w:color w:val="auto"/>
              </w:rPr>
            </w:pPr>
            <w:r>
              <w:rPr>
                <w:rFonts w:ascii="Arial" w:cs="Arial" w:eastAsia="Arial" w:hAnsi="Arial"/>
                <w:sz w:val="14"/>
                <w:szCs w:val="14"/>
                <w:b w:val="1"/>
                <w:bCs w:val="1"/>
                <w:color w:val="auto"/>
              </w:rPr>
              <w:t>$55.4</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28.9</w:t>
            </w:r>
          </w:p>
        </w:tc>
      </w:tr>
      <w:tr>
        <w:trPr>
          <w:trHeight w:val="21"/>
        </w:trPr>
        <w:tc>
          <w:tcPr>
            <w:tcW w:w="2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-711200</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-522605</wp:posOffset>
            </wp:positionV>
            <wp:extent cx="72466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-334010</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-128270</wp:posOffset>
            </wp:positionV>
            <wp:extent cx="724662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6920" w:space="720"/>
            <w:col w:w="3780"/>
          </w:cols>
          <w:pgMar w:left="240" w:top="940" w:right="239" w:bottom="1440" w:gutter="0" w:footer="0" w:header="0"/>
          <w:type w:val="continuous"/>
        </w:sectPr>
      </w:pPr>
    </w:p>
    <w:p>
      <w:pPr>
        <w:ind w:right="20"/>
        <w:spacing w:after="0" w:line="278" w:lineRule="auto"/>
        <w:rPr>
          <w:sz w:val="20"/>
          <w:szCs w:val="20"/>
          <w:color w:val="auto"/>
        </w:rPr>
      </w:pPr>
      <w:r>
        <w:rPr>
          <w:rFonts w:ascii="Arial" w:cs="Arial" w:eastAsia="Arial" w:hAnsi="Arial"/>
          <w:sz w:val="16"/>
          <w:szCs w:val="16"/>
          <w:color w:val="auto"/>
        </w:rPr>
        <w:t>The Company incurred net interest expense of $26.9 million in 2003, compared to $33.5 million in 2002, due to lower average borrowings during 2003 compared to 2002. At December 28, 2003, the Company had $631.1 million in borrowings outstanding at an average interest rate of 4.1%; at December 29, 2002, the Company had $664.8 million in borrowings outstanding.</w:t>
      </w:r>
    </w:p>
    <w:p>
      <w:pPr>
        <w:spacing w:after="0" w:line="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was 37.0% for 2003, compared to 38.8% for 2002. The 2003 effective tax rate benefited from the 35.1% effective tax rate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one-time gain arising from the sale of the Company’s interest in the International Herald Tribune.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CAPITAL RESOURCES AND LIQUIDITY</w:t>
      </w:r>
    </w:p>
    <w:p>
      <w:pPr>
        <w:spacing w:after="0" w:line="104" w:lineRule="exact"/>
        <w:rPr>
          <w:sz w:val="20"/>
          <w:szCs w:val="20"/>
          <w:color w:val="auto"/>
        </w:rPr>
      </w:pPr>
    </w:p>
    <w:p>
      <w:pPr>
        <w:ind w:right="60"/>
        <w:spacing w:after="0" w:line="338" w:lineRule="auto"/>
        <w:rPr>
          <w:sz w:val="20"/>
          <w:szCs w:val="20"/>
          <w:color w:val="auto"/>
        </w:rPr>
      </w:pPr>
      <w:r>
        <w:rPr>
          <w:rFonts w:ascii="Arial" w:cs="Arial" w:eastAsia="Arial" w:hAnsi="Arial"/>
          <w:sz w:val="14"/>
          <w:szCs w:val="14"/>
          <w:b w:val="1"/>
          <w:bCs w:val="1"/>
          <w:color w:val="auto"/>
        </w:rPr>
        <w:t xml:space="preserve">Acquisitions, Exchanges and Dispositions. </w:t>
      </w:r>
      <w:r>
        <w:rPr>
          <w:rFonts w:ascii="Arial" w:cs="Arial" w:eastAsia="Arial" w:hAnsi="Arial"/>
          <w:sz w:val="14"/>
          <w:szCs w:val="14"/>
          <w:color w:val="auto"/>
        </w:rPr>
        <w:t>During 2004, Kaplan acquired eight businesses in its higher education and professional divisions for a total of $59.6 million,</w:t>
      </w:r>
      <w:r>
        <w:rPr>
          <w:rFonts w:ascii="Arial" w:cs="Arial" w:eastAsia="Arial" w:hAnsi="Arial"/>
          <w:sz w:val="14"/>
          <w:szCs w:val="14"/>
          <w:b w:val="1"/>
          <w:bCs w:val="1"/>
          <w:color w:val="auto"/>
        </w:rPr>
        <w:t xml:space="preserve"> </w:t>
      </w:r>
      <w:r>
        <w:rPr>
          <w:rFonts w:ascii="Arial" w:cs="Arial" w:eastAsia="Arial" w:hAnsi="Arial"/>
          <w:sz w:val="14"/>
          <w:szCs w:val="14"/>
          <w:color w:val="auto"/>
        </w:rPr>
        <w:t>financed with cash and $8.7 million of debt. In addition, the cable division completed two small transactions. In May 2004, the Company acquired El Tiempo Latino, a leading Spanish-language weekly newspaper in the greater Washington area. Most of the purchase price for the 2004 acquisitions was allocated to goodwill and other intangibles.</w:t>
      </w:r>
    </w:p>
    <w:p>
      <w:pPr>
        <w:spacing w:after="0" w:line="40"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During 2003, Kaplan acquired 13 businesses in its higher education and professional divisions for a total of $166.8 million, financed with cash and $36.7 million of debt. The largest of these was the March 2003 acquisition of the stock of The Financial Training Company (FTC), for £55.3 million ($87.4 million). Headquartered in London, FTC provides test preparation services for accountants and financial services professionals, with 28 training centers in the United Kingdom as well as operations in Asia. This acquisition was financed with cash and $29.7 million of debt, primarily to employees of the business. In November 2003, Kaplan acquired Dublin Business School, Ireland’s largest private undergraduate institution. Most of the purchase price for the 2003 Kaplan acquisitions was allocated to goodwill and other intangibles and property, plant and equipment.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type w:val="continuous"/>
        </w:sectPr>
      </w:pPr>
    </w:p>
    <w:bookmarkStart w:id="37" w:name="page38"/>
    <w:bookmarkEnd w:id="37"/>
    <w:p>
      <w:pPr>
        <w:ind w:right="740"/>
        <w:spacing w:after="0" w:line="293" w:lineRule="auto"/>
        <w:rPr>
          <w:sz w:val="20"/>
          <w:szCs w:val="20"/>
          <w:color w:val="auto"/>
        </w:rPr>
      </w:pPr>
      <w:r>
        <w:rPr>
          <w:rFonts w:ascii="Arial" w:cs="Arial" w:eastAsia="Arial" w:hAnsi="Arial"/>
          <w:sz w:val="16"/>
          <w:szCs w:val="16"/>
          <w:color w:val="auto"/>
        </w:rPr>
        <w:t>In addition, the cable division acquired three additional systems in 2003 for $2.8 million. Most of the purchase price for these acquisitions was allocated to franchise agreements, an indefinite-lived intangible asset.</w:t>
      </w:r>
    </w:p>
    <w:p>
      <w:pPr>
        <w:spacing w:after="0" w:line="64"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On January 1, 2003, the Company sold its 50% interest in the International Herald Tribune for $65 million and the Company recorded an after-tax non-operating gain of $32.3 million ($3.38 per share) in the first quarter of 2003.</w:t>
      </w:r>
    </w:p>
    <w:p>
      <w:pPr>
        <w:spacing w:after="0" w:line="6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During 2002, Kaplan acquired several businesses in its higher education and test preparation divisions for approximately $42.2 million. In November 2002, the Company completed a cable system exchange transaction with Time Warner Cable which consisted of the exchange by the Company of its cable system in Akron, Ohio serving about 15,500 subscribers, and $5.2 million to Time Warner Cable, for cable systems serving about 20,300 subscribers in Kansas. The non-cash, non-operating gain resulting from the exchange transaction increased net income by $16.7 million, or $1.75 per share.</w:t>
      </w:r>
    </w:p>
    <w:p>
      <w:pPr>
        <w:spacing w:after="0" w:line="77" w:lineRule="exact"/>
        <w:rPr>
          <w:sz w:val="20"/>
          <w:szCs w:val="20"/>
          <w:color w:val="auto"/>
        </w:rPr>
      </w:pPr>
    </w:p>
    <w:p>
      <w:pPr>
        <w:ind w:right="20"/>
        <w:spacing w:after="0" w:line="375" w:lineRule="auto"/>
        <w:rPr>
          <w:sz w:val="20"/>
          <w:szCs w:val="20"/>
          <w:color w:val="auto"/>
        </w:rPr>
      </w:pPr>
      <w:r>
        <w:rPr>
          <w:rFonts w:ascii="Arial" w:cs="Arial" w:eastAsia="Arial" w:hAnsi="Arial"/>
          <w:sz w:val="14"/>
          <w:szCs w:val="14"/>
          <w:b w:val="1"/>
          <w:bCs w:val="1"/>
          <w:color w:val="auto"/>
        </w:rPr>
        <w:t xml:space="preserve">Capital Expenditures. </w:t>
      </w:r>
      <w:r>
        <w:rPr>
          <w:rFonts w:ascii="Arial" w:cs="Arial" w:eastAsia="Arial" w:hAnsi="Arial"/>
          <w:sz w:val="14"/>
          <w:szCs w:val="14"/>
          <w:color w:val="auto"/>
        </w:rPr>
        <w:t>During 2004, the Company’s capital expenditures totaled $204.6 million. The Company’s capital expenditures for 2004, 2003 and 2002 are disclosed in</w:t>
      </w:r>
      <w:r>
        <w:rPr>
          <w:rFonts w:ascii="Arial" w:cs="Arial" w:eastAsia="Arial" w:hAnsi="Arial"/>
          <w:sz w:val="14"/>
          <w:szCs w:val="14"/>
          <w:b w:val="1"/>
          <w:bCs w:val="1"/>
          <w:color w:val="auto"/>
        </w:rPr>
        <w:t xml:space="preserve"> </w:t>
      </w:r>
      <w:r>
        <w:rPr>
          <w:rFonts w:ascii="Arial" w:cs="Arial" w:eastAsia="Arial" w:hAnsi="Arial"/>
          <w:sz w:val="14"/>
          <w:szCs w:val="14"/>
          <w:color w:val="auto"/>
        </w:rPr>
        <w:t>Note N to the Consolidated Financial Statements. The Company estimates that its capital expenditures will be in the range of $250 million to $275 million in 2005.</w:t>
      </w:r>
    </w:p>
    <w:p>
      <w:pPr>
        <w:spacing w:after="0" w:line="10"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b w:val="1"/>
          <w:bCs w:val="1"/>
          <w:color w:val="auto"/>
        </w:rPr>
        <w:t xml:space="preserve">Investments in Marketable Equity Securities. </w:t>
      </w:r>
      <w:r>
        <w:rPr>
          <w:rFonts w:ascii="Arial" w:cs="Arial" w:eastAsia="Arial" w:hAnsi="Arial"/>
          <w:sz w:val="16"/>
          <w:szCs w:val="16"/>
          <w:color w:val="auto"/>
        </w:rPr>
        <w:t>At January 2, 2005, the fair value of the Company’s investments in marketable equity securities was $409.7 million,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$260.4 million in Berkshire Hathaway Inc. Class A and B common stock and $149.3 million of various common stocks of publicly traded companies with education and e-commerce business concentrations.</w:t>
      </w:r>
    </w:p>
    <w:p>
      <w:pPr>
        <w:spacing w:after="0" w:line="7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At January 2, 2005, the gross unrealized gain related to the Company’s Berkshire Hathaway Inc. stock investment totaled $75.5 million; the gross unrealized gain on this investment was $60.4 million at December 28, 2003. The Company presently intends to hold the Berkshire Hathaway stock long term. The gross unrealized gain related to the Company’s other marketable security investments at January 2, 2005 totaled $48.3 million.</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Common Stock Repurchases and Dividend Rate. </w:t>
      </w:r>
      <w:r>
        <w:rPr>
          <w:rFonts w:ascii="Arial" w:cs="Arial" w:eastAsia="Arial" w:hAnsi="Arial"/>
          <w:sz w:val="15"/>
          <w:szCs w:val="15"/>
          <w:color w:val="auto"/>
        </w:rPr>
        <w:t>During 2004, there were no share repurchases. During 2003 and 2002, the Company repurchased 910 shares and</w:t>
      </w:r>
    </w:p>
    <w:p>
      <w:pPr>
        <w:spacing w:after="0" w:line="38" w:lineRule="exact"/>
        <w:rPr>
          <w:sz w:val="20"/>
          <w:szCs w:val="20"/>
          <w:color w:val="auto"/>
        </w:rPr>
      </w:pPr>
    </w:p>
    <w:p>
      <w:pPr>
        <w:jc w:val="both"/>
        <w:ind w:right="240"/>
        <w:spacing w:after="0" w:line="276" w:lineRule="auto"/>
        <w:rPr>
          <w:sz w:val="20"/>
          <w:szCs w:val="20"/>
          <w:color w:val="auto"/>
        </w:rPr>
      </w:pPr>
      <w:r>
        <w:rPr>
          <w:rFonts w:ascii="Arial" w:cs="Arial" w:eastAsia="Arial" w:hAnsi="Arial"/>
          <w:sz w:val="16"/>
          <w:szCs w:val="16"/>
          <w:color w:val="auto"/>
        </w:rPr>
        <w:t>1,229 shares, respectively, of its Class B common stock at a cost of $0.7 million and $0.8 million, respectively. At January 2, 2005, the Company had authorization from the Board of Directors to purchase up to 542,800 shares of Class B common stock. The annual dividend rate for 2005 was increased to $7.40 per share, from $7.00 per share in 2004, and from $5.80 per share in 2003.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At January 2, 2005, the Company had $119.4 million in cash and cash equivalents, compared to $116.6 million at December 28, 2003.</w:t>
      </w:r>
    </w:p>
    <w:p>
      <w:pPr>
        <w:spacing w:after="0" w:line="131"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At January 2, 2005, the Company had $50.2 million in commercial paper borrowing outstanding at an average interest rate of 2.2% with various maturities through the first quarter of 2005. In addition, the Company had outstanding $398.9 million of 5.5%, 10-year unsecured notes due February 2009. These notes require semiannual interest payments of $11.0 million payable on February 15 and August 15. The Company also had $35.0 million in other debt.</w:t>
      </w:r>
    </w:p>
    <w:p>
      <w:pPr>
        <w:spacing w:after="0" w:line="76" w:lineRule="exact"/>
        <w:rPr>
          <w:sz w:val="20"/>
          <w:szCs w:val="20"/>
          <w:color w:val="auto"/>
        </w:rPr>
      </w:pPr>
    </w:p>
    <w:p>
      <w:pPr>
        <w:ind w:right="180"/>
        <w:spacing w:after="0" w:line="369" w:lineRule="auto"/>
        <w:rPr>
          <w:sz w:val="20"/>
          <w:szCs w:val="20"/>
          <w:color w:val="auto"/>
        </w:rPr>
      </w:pPr>
      <w:r>
        <w:rPr>
          <w:rFonts w:ascii="Arial" w:cs="Arial" w:eastAsia="Arial" w:hAnsi="Arial"/>
          <w:sz w:val="14"/>
          <w:szCs w:val="14"/>
          <w:color w:val="auto"/>
        </w:rPr>
        <w:t>During 2004, the Company’s borrowings, net of repayments, decreased by $147.0 million, with the decrease primarily due to cash flow from operations. While the Company paid down $157.4 million in commercial paper borrowings and other debt during 2004, the Company also partially financed several acquisitions during this period.</w:t>
      </w:r>
    </w:p>
    <w:p>
      <w:pPr>
        <w:spacing w:after="0" w:line="18"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During the third quarter of 2004, the Company replaced its expiring $250 million 364-day revolving credit facility with a new $250 million revolving credit facility on essentially the same terms. The new facility expires in August 2005. The Company’s five-year $350 million revolving credit facility, which expires in August 2007, remains in effect. These revolving credit facility agreements support the issuance of the Company’s short-term commercial paper and provide for general corporate purposes.</w:t>
      </w:r>
    </w:p>
    <w:p>
      <w:pPr>
        <w:spacing w:after="0" w:line="58"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During 2004 and 2003, the Company had average borrowings outstanding of approximately $516.0 million and $605.7 million, respectively, at average annual interest rates of approximately 4.8% and 4.2%, respectively. The Company incurred net interest costs on its borrowings of $26.4 million and $26.9 million during 2004 and 2003, respectively.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At January 2, 2005, the Company had working capital of $66.2 million and at December 28, 2003, the Company had a working capital deficit of $184.7 million.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improvement in working capital in 2004 is due primarily to short-term debt repayments and an increase in investments in marketable securities that are classified as current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assets. The Company maintains working capital levels consistent with its underlying business requirements and consistently generates cash from operations in excess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required interest or principal payments. The Company has classified all of its commercial paper borrowing obligations as a current liability at January 2, 2005 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December 28, 2003, as the Company intends to pay down commercial paper borrowings from operating cash flow. However, the Company continues to maintain the ability to</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refinance such obligations on a long-term basis through new debt issuance and/or its revolving credit facility agreements.</w:t>
      </w:r>
    </w:p>
    <w:p>
      <w:pPr>
        <w:spacing w:after="0" w:line="123"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The Company’s net cash provided by operating activities, as reported in the Company’s Consolidated Statements of Cash Flows, was $561.7 million in 2004, as compared to $337.7 million in 2003. The increase is primarily due to the Company’s significant increase in operating income in 2004 and significant payments for Kaplan stock options in 2003, offset by an increase in the company’s income tax payments in 2004.</w:t>
      </w:r>
    </w:p>
    <w:p>
      <w:pPr>
        <w:spacing w:after="0" w:line="76"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color w:val="auto"/>
        </w:rPr>
        <w:t>The Company expects to fund its estimated capital needs primarily through internally generated funds and, to a lesser extent, commercial paper borrowings. In management’s opinion, the Company will have ample liquidity to meet its various cash needs in 2005.</w:t>
      </w:r>
    </w:p>
    <w:p>
      <w:pPr>
        <w:spacing w:after="0" w:line="200" w:lineRule="exact"/>
        <w:rPr>
          <w:sz w:val="20"/>
          <w:szCs w:val="20"/>
          <w:color w:val="auto"/>
        </w:rPr>
      </w:pPr>
    </w:p>
    <w:p>
      <w:pPr>
        <w:spacing w:after="0" w:line="29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following reflects a summary of the Company’s contractual obligations and commercial commitments as of January 2, 2005:</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1"/>
                <w:szCs w:val="11"/>
                <w:color w:val="auto"/>
              </w:rPr>
              <w:t>2005</w:t>
            </w: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w w:val="89"/>
              </w:rPr>
              <w:t>2006</w:t>
            </w: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w w:val="89"/>
              </w:rPr>
              <w:t>2007</w:t>
            </w: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w w:val="89"/>
              </w:rPr>
              <w:t>2008</w:t>
            </w: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color w:val="auto"/>
                <w:w w:val="89"/>
              </w:rPr>
              <w:t>2009</w:t>
            </w:r>
          </w:p>
        </w:tc>
        <w:tc>
          <w:tcPr>
            <w:tcW w:w="164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1"/>
                <w:szCs w:val="11"/>
                <w:color w:val="auto"/>
              </w:rPr>
              <w:t>Thereafter</w:t>
            </w:r>
          </w:p>
        </w:tc>
        <w:tc>
          <w:tcPr>
            <w:tcW w:w="6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rPr>
              <w:t>Total</w:t>
            </w:r>
          </w:p>
        </w:tc>
      </w:tr>
      <w:tr>
        <w:trPr>
          <w:trHeight w:val="122"/>
        </w:trPr>
        <w:tc>
          <w:tcPr>
            <w:tcW w:w="20" w:type="dxa"/>
            <w:vAlign w:val="bottom"/>
          </w:tcPr>
          <w:p>
            <w:pPr>
              <w:spacing w:after="0"/>
              <w:rPr>
                <w:sz w:val="10"/>
                <w:szCs w:val="10"/>
                <w:color w:val="auto"/>
              </w:rPr>
            </w:pPr>
          </w:p>
        </w:tc>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Commercial paper</w:t>
            </w:r>
          </w:p>
        </w:tc>
        <w:tc>
          <w:tcPr>
            <w:tcW w:w="1140" w:type="dxa"/>
            <w:vAlign w:val="bottom"/>
            <w:gridSpan w:val="2"/>
            <w:shd w:val="clear" w:color="auto" w:fill="CCEEFF"/>
          </w:tcPr>
          <w:p>
            <w:pPr>
              <w:jc w:val="right"/>
              <w:ind w:right="420"/>
              <w:spacing w:after="0" w:line="122" w:lineRule="exact"/>
              <w:rPr>
                <w:sz w:val="20"/>
                <w:szCs w:val="20"/>
                <w:color w:val="auto"/>
              </w:rPr>
            </w:pPr>
            <w:r>
              <w:rPr>
                <w:rFonts w:ascii="Arial" w:cs="Arial" w:eastAsia="Arial" w:hAnsi="Arial"/>
                <w:sz w:val="11"/>
                <w:szCs w:val="11"/>
                <w:color w:val="auto"/>
              </w:rPr>
              <w:t>$ 50,201</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50,201</w:t>
            </w:r>
          </w:p>
        </w:tc>
      </w:tr>
      <w:tr>
        <w:trPr>
          <w:trHeight w:val="122"/>
        </w:trPr>
        <w:tc>
          <w:tcPr>
            <w:tcW w:w="20" w:type="dxa"/>
            <w:vAlign w:val="bottom"/>
          </w:tcPr>
          <w:p>
            <w:pPr>
              <w:spacing w:after="0"/>
              <w:rPr>
                <w:sz w:val="10"/>
                <w:szCs w:val="10"/>
                <w:color w:val="auto"/>
              </w:rPr>
            </w:pPr>
          </w:p>
        </w:tc>
        <w:tc>
          <w:tcPr>
            <w:tcW w:w="1840" w:type="dxa"/>
            <w:vAlign w:val="bottom"/>
          </w:tcPr>
          <w:p>
            <w:pPr>
              <w:spacing w:after="0" w:line="122" w:lineRule="exact"/>
              <w:rPr>
                <w:sz w:val="20"/>
                <w:szCs w:val="20"/>
                <w:color w:val="auto"/>
              </w:rPr>
            </w:pPr>
            <w:r>
              <w:rPr>
                <w:rFonts w:ascii="Arial" w:cs="Arial" w:eastAsia="Arial" w:hAnsi="Arial"/>
                <w:sz w:val="11"/>
                <w:szCs w:val="11"/>
                <w:color w:val="auto"/>
              </w:rPr>
              <w:t>Long-term debt</w:t>
            </w:r>
          </w:p>
        </w:tc>
        <w:tc>
          <w:tcPr>
            <w:tcW w:w="1140" w:type="dxa"/>
            <w:vAlign w:val="bottom"/>
            <w:gridSpan w:val="2"/>
          </w:tcPr>
          <w:p>
            <w:pPr>
              <w:jc w:val="right"/>
              <w:ind w:right="420"/>
              <w:spacing w:after="0" w:line="122" w:lineRule="exact"/>
              <w:rPr>
                <w:sz w:val="20"/>
                <w:szCs w:val="20"/>
                <w:color w:val="auto"/>
              </w:rPr>
            </w:pPr>
            <w:r>
              <w:rPr>
                <w:rFonts w:ascii="Arial" w:cs="Arial" w:eastAsia="Arial" w:hAnsi="Arial"/>
                <w:sz w:val="11"/>
                <w:szCs w:val="11"/>
                <w:color w:val="auto"/>
              </w:rPr>
              <w:t>8,035</w:t>
            </w:r>
          </w:p>
        </w:tc>
        <w:tc>
          <w:tcPr>
            <w:tcW w:w="500" w:type="dxa"/>
            <w:vAlign w:val="bottom"/>
          </w:tcPr>
          <w:p>
            <w:pPr>
              <w:spacing w:after="0"/>
              <w:rPr>
                <w:sz w:val="10"/>
                <w:szCs w:val="10"/>
                <w:color w:val="auto"/>
              </w:rPr>
            </w:pPr>
          </w:p>
        </w:tc>
        <w:tc>
          <w:tcPr>
            <w:tcW w:w="780" w:type="dxa"/>
            <w:vAlign w:val="bottom"/>
          </w:tcPr>
          <w:p>
            <w:pPr>
              <w:jc w:val="right"/>
              <w:ind w:right="386"/>
              <w:spacing w:after="0" w:line="122" w:lineRule="exact"/>
              <w:rPr>
                <w:sz w:val="20"/>
                <w:szCs w:val="20"/>
                <w:color w:val="auto"/>
              </w:rPr>
            </w:pPr>
            <w:r>
              <w:rPr>
                <w:rFonts w:ascii="Arial" w:cs="Arial" w:eastAsia="Arial" w:hAnsi="Arial"/>
                <w:sz w:val="11"/>
                <w:szCs w:val="11"/>
                <w:color w:val="auto"/>
                <w:w w:val="94"/>
              </w:rPr>
              <w:t>24,679</w:t>
            </w:r>
          </w:p>
        </w:tc>
        <w:tc>
          <w:tcPr>
            <w:tcW w:w="500" w:type="dxa"/>
            <w:vAlign w:val="bottom"/>
          </w:tcPr>
          <w:p>
            <w:pPr>
              <w:spacing w:after="0"/>
              <w:rPr>
                <w:sz w:val="10"/>
                <w:szCs w:val="10"/>
                <w:color w:val="auto"/>
              </w:rPr>
            </w:pPr>
          </w:p>
        </w:tc>
        <w:tc>
          <w:tcPr>
            <w:tcW w:w="800" w:type="dxa"/>
            <w:vAlign w:val="bottom"/>
          </w:tcPr>
          <w:p>
            <w:pPr>
              <w:jc w:val="right"/>
              <w:ind w:right="386"/>
              <w:spacing w:after="0" w:line="122" w:lineRule="exact"/>
              <w:rPr>
                <w:sz w:val="20"/>
                <w:szCs w:val="20"/>
                <w:color w:val="auto"/>
              </w:rPr>
            </w:pPr>
            <w:r>
              <w:rPr>
                <w:rFonts w:ascii="Arial" w:cs="Arial" w:eastAsia="Arial" w:hAnsi="Arial"/>
                <w:sz w:val="11"/>
                <w:szCs w:val="11"/>
                <w:color w:val="auto"/>
              </w:rPr>
              <w:t>1,479</w:t>
            </w:r>
          </w:p>
        </w:tc>
        <w:tc>
          <w:tcPr>
            <w:tcW w:w="500" w:type="dxa"/>
            <w:vAlign w:val="bottom"/>
          </w:tcPr>
          <w:p>
            <w:pPr>
              <w:spacing w:after="0"/>
              <w:rPr>
                <w:sz w:val="10"/>
                <w:szCs w:val="10"/>
                <w:color w:val="auto"/>
              </w:rPr>
            </w:pPr>
          </w:p>
        </w:tc>
        <w:tc>
          <w:tcPr>
            <w:tcW w:w="800" w:type="dxa"/>
            <w:vAlign w:val="bottom"/>
          </w:tcPr>
          <w:p>
            <w:pPr>
              <w:jc w:val="right"/>
              <w:ind w:right="386"/>
              <w:spacing w:after="0" w:line="122" w:lineRule="exact"/>
              <w:rPr>
                <w:sz w:val="20"/>
                <w:szCs w:val="20"/>
                <w:color w:val="auto"/>
              </w:rPr>
            </w:pPr>
            <w:r>
              <w:rPr>
                <w:rFonts w:ascii="Arial" w:cs="Arial" w:eastAsia="Arial" w:hAnsi="Arial"/>
                <w:sz w:val="11"/>
                <w:szCs w:val="11"/>
                <w:color w:val="auto"/>
              </w:rPr>
              <w:t>407</w:t>
            </w:r>
          </w:p>
        </w:tc>
        <w:tc>
          <w:tcPr>
            <w:tcW w:w="500" w:type="dxa"/>
            <w:vAlign w:val="bottom"/>
          </w:tcPr>
          <w:p>
            <w:pPr>
              <w:spacing w:after="0"/>
              <w:rPr>
                <w:sz w:val="10"/>
                <w:szCs w:val="10"/>
                <w:color w:val="auto"/>
              </w:rPr>
            </w:pPr>
          </w:p>
        </w:tc>
        <w:tc>
          <w:tcPr>
            <w:tcW w:w="940" w:type="dxa"/>
            <w:vAlign w:val="bottom"/>
          </w:tcPr>
          <w:p>
            <w:pPr>
              <w:jc w:val="right"/>
              <w:ind w:right="526"/>
              <w:spacing w:after="0" w:line="122" w:lineRule="exact"/>
              <w:rPr>
                <w:sz w:val="20"/>
                <w:szCs w:val="20"/>
                <w:color w:val="auto"/>
              </w:rPr>
            </w:pPr>
            <w:r>
              <w:rPr>
                <w:rFonts w:ascii="Arial" w:cs="Arial" w:eastAsia="Arial" w:hAnsi="Arial"/>
                <w:sz w:val="11"/>
                <w:szCs w:val="11"/>
                <w:color w:val="auto"/>
                <w:w w:val="85"/>
              </w:rPr>
              <w:t>400,224</w:t>
            </w:r>
          </w:p>
        </w:tc>
        <w:tc>
          <w:tcPr>
            <w:tcW w:w="680" w:type="dxa"/>
            <w:vAlign w:val="bottom"/>
          </w:tcPr>
          <w:p>
            <w:pPr>
              <w:spacing w:after="0"/>
              <w:rPr>
                <w:sz w:val="10"/>
                <w:szCs w:val="10"/>
                <w:color w:val="auto"/>
              </w:rPr>
            </w:pPr>
          </w:p>
        </w:tc>
        <w:tc>
          <w:tcPr>
            <w:tcW w:w="96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200</w:t>
            </w:r>
          </w:p>
        </w:tc>
        <w:tc>
          <w:tcPr>
            <w:tcW w:w="640" w:type="dxa"/>
            <w:vAlign w:val="bottom"/>
          </w:tcPr>
          <w:p>
            <w:pPr>
              <w:spacing w:after="0"/>
              <w:rPr>
                <w:sz w:val="10"/>
                <w:szCs w:val="10"/>
                <w:color w:val="auto"/>
              </w:rPr>
            </w:pPr>
          </w:p>
        </w:tc>
        <w:tc>
          <w:tcPr>
            <w:tcW w:w="8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435,024</w:t>
            </w:r>
          </w:p>
        </w:tc>
      </w:tr>
      <w:tr>
        <w:trPr>
          <w:trHeight w:val="112"/>
        </w:trPr>
        <w:tc>
          <w:tcPr>
            <w:tcW w:w="20" w:type="dxa"/>
            <w:vAlign w:val="bottom"/>
          </w:tcPr>
          <w:p>
            <w:pPr>
              <w:spacing w:after="0"/>
              <w:rPr>
                <w:sz w:val="9"/>
                <w:szCs w:val="9"/>
                <w:color w:val="auto"/>
              </w:rPr>
            </w:pPr>
          </w:p>
        </w:tc>
        <w:tc>
          <w:tcPr>
            <w:tcW w:w="18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Programming purchase</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 xml:space="preserve">commitments </w:t>
            </w:r>
            <w:r>
              <w:rPr>
                <w:rFonts w:ascii="Arial" w:cs="Arial" w:eastAsia="Arial" w:hAnsi="Arial"/>
                <w:sz w:val="9"/>
                <w:szCs w:val="9"/>
                <w:color w:val="auto"/>
              </w:rPr>
              <w:t>(1)</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126,848</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w w:val="80"/>
              </w:rPr>
              <w:t>115,076</w:t>
            </w: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w w:val="85"/>
              </w:rPr>
              <w:t>105,863</w:t>
            </w: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85,943</w:t>
            </w: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526"/>
              <w:spacing w:after="0"/>
              <w:rPr>
                <w:sz w:val="20"/>
                <w:szCs w:val="20"/>
                <w:color w:val="auto"/>
              </w:rPr>
            </w:pPr>
            <w:r>
              <w:rPr>
                <w:rFonts w:ascii="Arial" w:cs="Arial" w:eastAsia="Arial" w:hAnsi="Arial"/>
                <w:sz w:val="11"/>
                <w:szCs w:val="11"/>
                <w:color w:val="auto"/>
              </w:rPr>
              <w:t>58,008</w:t>
            </w: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46"/>
              <w:spacing w:after="0"/>
              <w:rPr>
                <w:sz w:val="20"/>
                <w:szCs w:val="20"/>
                <w:color w:val="auto"/>
              </w:rPr>
            </w:pPr>
            <w:r>
              <w:rPr>
                <w:rFonts w:ascii="Arial" w:cs="Arial" w:eastAsia="Arial" w:hAnsi="Arial"/>
                <w:sz w:val="11"/>
                <w:szCs w:val="11"/>
                <w:color w:val="auto"/>
                <w:w w:val="85"/>
              </w:rPr>
              <w:t>216,711</w:t>
            </w: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708,449</w:t>
            </w:r>
          </w:p>
        </w:tc>
      </w:tr>
      <w:tr>
        <w:trPr>
          <w:trHeight w:val="122"/>
        </w:trPr>
        <w:tc>
          <w:tcPr>
            <w:tcW w:w="20" w:type="dxa"/>
            <w:vAlign w:val="bottom"/>
          </w:tcPr>
          <w:p>
            <w:pPr>
              <w:spacing w:after="0"/>
              <w:rPr>
                <w:sz w:val="10"/>
                <w:szCs w:val="10"/>
                <w:color w:val="auto"/>
              </w:rPr>
            </w:pPr>
          </w:p>
        </w:tc>
        <w:tc>
          <w:tcPr>
            <w:tcW w:w="1840" w:type="dxa"/>
            <w:vAlign w:val="bottom"/>
          </w:tcPr>
          <w:p>
            <w:pPr>
              <w:spacing w:after="0" w:line="122" w:lineRule="exact"/>
              <w:rPr>
                <w:sz w:val="20"/>
                <w:szCs w:val="20"/>
                <w:color w:val="auto"/>
              </w:rPr>
            </w:pPr>
            <w:r>
              <w:rPr>
                <w:rFonts w:ascii="Arial" w:cs="Arial" w:eastAsia="Arial" w:hAnsi="Arial"/>
                <w:sz w:val="11"/>
                <w:szCs w:val="11"/>
                <w:color w:val="auto"/>
              </w:rPr>
              <w:t>Operating leases</w:t>
            </w:r>
          </w:p>
        </w:tc>
        <w:tc>
          <w:tcPr>
            <w:tcW w:w="1140" w:type="dxa"/>
            <w:vAlign w:val="bottom"/>
            <w:gridSpan w:val="2"/>
          </w:tcPr>
          <w:p>
            <w:pPr>
              <w:jc w:val="right"/>
              <w:ind w:right="420"/>
              <w:spacing w:after="0" w:line="122" w:lineRule="exact"/>
              <w:rPr>
                <w:sz w:val="20"/>
                <w:szCs w:val="20"/>
                <w:color w:val="auto"/>
              </w:rPr>
            </w:pPr>
            <w:r>
              <w:rPr>
                <w:rFonts w:ascii="Arial" w:cs="Arial" w:eastAsia="Arial" w:hAnsi="Arial"/>
                <w:sz w:val="11"/>
                <w:szCs w:val="11"/>
                <w:color w:val="auto"/>
              </w:rPr>
              <w:t>80,842</w:t>
            </w:r>
          </w:p>
        </w:tc>
        <w:tc>
          <w:tcPr>
            <w:tcW w:w="500" w:type="dxa"/>
            <w:vAlign w:val="bottom"/>
          </w:tcPr>
          <w:p>
            <w:pPr>
              <w:spacing w:after="0"/>
              <w:rPr>
                <w:sz w:val="10"/>
                <w:szCs w:val="10"/>
                <w:color w:val="auto"/>
              </w:rPr>
            </w:pPr>
          </w:p>
        </w:tc>
        <w:tc>
          <w:tcPr>
            <w:tcW w:w="780" w:type="dxa"/>
            <w:vAlign w:val="bottom"/>
          </w:tcPr>
          <w:p>
            <w:pPr>
              <w:jc w:val="right"/>
              <w:ind w:right="386"/>
              <w:spacing w:after="0" w:line="122" w:lineRule="exact"/>
              <w:rPr>
                <w:sz w:val="20"/>
                <w:szCs w:val="20"/>
                <w:color w:val="auto"/>
              </w:rPr>
            </w:pPr>
            <w:r>
              <w:rPr>
                <w:rFonts w:ascii="Arial" w:cs="Arial" w:eastAsia="Arial" w:hAnsi="Arial"/>
                <w:sz w:val="11"/>
                <w:szCs w:val="11"/>
                <w:color w:val="auto"/>
                <w:w w:val="94"/>
              </w:rPr>
              <w:t>75,974</w:t>
            </w:r>
          </w:p>
        </w:tc>
        <w:tc>
          <w:tcPr>
            <w:tcW w:w="500" w:type="dxa"/>
            <w:vAlign w:val="bottom"/>
          </w:tcPr>
          <w:p>
            <w:pPr>
              <w:spacing w:after="0"/>
              <w:rPr>
                <w:sz w:val="10"/>
                <w:szCs w:val="10"/>
                <w:color w:val="auto"/>
              </w:rPr>
            </w:pPr>
          </w:p>
        </w:tc>
        <w:tc>
          <w:tcPr>
            <w:tcW w:w="800" w:type="dxa"/>
            <w:vAlign w:val="bottom"/>
          </w:tcPr>
          <w:p>
            <w:pPr>
              <w:jc w:val="right"/>
              <w:ind w:right="386"/>
              <w:spacing w:after="0" w:line="122" w:lineRule="exact"/>
              <w:rPr>
                <w:sz w:val="20"/>
                <w:szCs w:val="20"/>
                <w:color w:val="auto"/>
              </w:rPr>
            </w:pPr>
            <w:r>
              <w:rPr>
                <w:rFonts w:ascii="Arial" w:cs="Arial" w:eastAsia="Arial" w:hAnsi="Arial"/>
                <w:sz w:val="11"/>
                <w:szCs w:val="11"/>
                <w:color w:val="auto"/>
              </w:rPr>
              <w:t>71,181</w:t>
            </w:r>
          </w:p>
        </w:tc>
        <w:tc>
          <w:tcPr>
            <w:tcW w:w="500" w:type="dxa"/>
            <w:vAlign w:val="bottom"/>
          </w:tcPr>
          <w:p>
            <w:pPr>
              <w:spacing w:after="0"/>
              <w:rPr>
                <w:sz w:val="10"/>
                <w:szCs w:val="10"/>
                <w:color w:val="auto"/>
              </w:rPr>
            </w:pPr>
          </w:p>
        </w:tc>
        <w:tc>
          <w:tcPr>
            <w:tcW w:w="800" w:type="dxa"/>
            <w:vAlign w:val="bottom"/>
          </w:tcPr>
          <w:p>
            <w:pPr>
              <w:jc w:val="right"/>
              <w:ind w:right="386"/>
              <w:spacing w:after="0" w:line="122" w:lineRule="exact"/>
              <w:rPr>
                <w:sz w:val="20"/>
                <w:szCs w:val="20"/>
                <w:color w:val="auto"/>
              </w:rPr>
            </w:pPr>
            <w:r>
              <w:rPr>
                <w:rFonts w:ascii="Arial" w:cs="Arial" w:eastAsia="Arial" w:hAnsi="Arial"/>
                <w:sz w:val="11"/>
                <w:szCs w:val="11"/>
                <w:color w:val="auto"/>
              </w:rPr>
              <w:t>61,767</w:t>
            </w:r>
          </w:p>
        </w:tc>
        <w:tc>
          <w:tcPr>
            <w:tcW w:w="500" w:type="dxa"/>
            <w:vAlign w:val="bottom"/>
          </w:tcPr>
          <w:p>
            <w:pPr>
              <w:spacing w:after="0"/>
              <w:rPr>
                <w:sz w:val="10"/>
                <w:szCs w:val="10"/>
                <w:color w:val="auto"/>
              </w:rPr>
            </w:pPr>
          </w:p>
        </w:tc>
        <w:tc>
          <w:tcPr>
            <w:tcW w:w="940" w:type="dxa"/>
            <w:vAlign w:val="bottom"/>
          </w:tcPr>
          <w:p>
            <w:pPr>
              <w:jc w:val="right"/>
              <w:ind w:right="526"/>
              <w:spacing w:after="0" w:line="122" w:lineRule="exact"/>
              <w:rPr>
                <w:sz w:val="20"/>
                <w:szCs w:val="20"/>
                <w:color w:val="auto"/>
              </w:rPr>
            </w:pPr>
            <w:r>
              <w:rPr>
                <w:rFonts w:ascii="Arial" w:cs="Arial" w:eastAsia="Arial" w:hAnsi="Arial"/>
                <w:sz w:val="11"/>
                <w:szCs w:val="11"/>
                <w:color w:val="auto"/>
              </w:rPr>
              <w:t>52,303</w:t>
            </w:r>
          </w:p>
        </w:tc>
        <w:tc>
          <w:tcPr>
            <w:tcW w:w="680" w:type="dxa"/>
            <w:vAlign w:val="bottom"/>
          </w:tcPr>
          <w:p>
            <w:pPr>
              <w:spacing w:after="0"/>
              <w:rPr>
                <w:sz w:val="10"/>
                <w:szCs w:val="10"/>
                <w:color w:val="auto"/>
              </w:rPr>
            </w:pPr>
          </w:p>
        </w:tc>
        <w:tc>
          <w:tcPr>
            <w:tcW w:w="960" w:type="dxa"/>
            <w:vAlign w:val="bottom"/>
          </w:tcPr>
          <w:p>
            <w:pPr>
              <w:jc w:val="right"/>
              <w:ind w:right="546"/>
              <w:spacing w:after="0" w:line="122" w:lineRule="exact"/>
              <w:rPr>
                <w:sz w:val="20"/>
                <w:szCs w:val="20"/>
                <w:color w:val="auto"/>
              </w:rPr>
            </w:pPr>
            <w:r>
              <w:rPr>
                <w:rFonts w:ascii="Arial" w:cs="Arial" w:eastAsia="Arial" w:hAnsi="Arial"/>
                <w:sz w:val="11"/>
                <w:szCs w:val="11"/>
                <w:color w:val="auto"/>
                <w:w w:val="85"/>
              </w:rPr>
              <w:t>154,541</w:t>
            </w:r>
          </w:p>
        </w:tc>
        <w:tc>
          <w:tcPr>
            <w:tcW w:w="640" w:type="dxa"/>
            <w:vAlign w:val="bottom"/>
          </w:tcPr>
          <w:p>
            <w:pPr>
              <w:spacing w:after="0"/>
              <w:rPr>
                <w:sz w:val="10"/>
                <w:szCs w:val="10"/>
                <w:color w:val="auto"/>
              </w:rPr>
            </w:pPr>
          </w:p>
        </w:tc>
        <w:tc>
          <w:tcPr>
            <w:tcW w:w="8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496,608</w:t>
            </w:r>
          </w:p>
        </w:tc>
      </w:tr>
      <w:tr>
        <w:trPr>
          <w:trHeight w:val="122"/>
        </w:trPr>
        <w:tc>
          <w:tcPr>
            <w:tcW w:w="20" w:type="dxa"/>
            <w:vAlign w:val="bottom"/>
          </w:tcPr>
          <w:p>
            <w:pPr>
              <w:spacing w:after="0"/>
              <w:rPr>
                <w:sz w:val="10"/>
                <w:szCs w:val="10"/>
                <w:color w:val="auto"/>
              </w:rPr>
            </w:pPr>
          </w:p>
        </w:tc>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 xml:space="preserve">Other purchase obligations </w:t>
            </w:r>
            <w:r>
              <w:rPr>
                <w:rFonts w:ascii="Arial" w:cs="Arial" w:eastAsia="Arial" w:hAnsi="Arial"/>
                <w:sz w:val="9"/>
                <w:szCs w:val="9"/>
                <w:color w:val="auto"/>
              </w:rPr>
              <w:t>(2)</w:t>
            </w:r>
          </w:p>
        </w:tc>
        <w:tc>
          <w:tcPr>
            <w:tcW w:w="1140" w:type="dxa"/>
            <w:vAlign w:val="bottom"/>
            <w:gridSpan w:val="2"/>
            <w:shd w:val="clear" w:color="auto" w:fill="CCEEFF"/>
          </w:tcPr>
          <w:p>
            <w:pPr>
              <w:jc w:val="right"/>
              <w:ind w:right="420"/>
              <w:spacing w:after="0" w:line="122" w:lineRule="exact"/>
              <w:rPr>
                <w:sz w:val="20"/>
                <w:szCs w:val="20"/>
                <w:color w:val="auto"/>
              </w:rPr>
            </w:pPr>
            <w:r>
              <w:rPr>
                <w:rFonts w:ascii="Arial" w:cs="Arial" w:eastAsia="Arial" w:hAnsi="Arial"/>
                <w:sz w:val="11"/>
                <w:szCs w:val="11"/>
                <w:color w:val="auto"/>
              </w:rPr>
              <w:t>371,973</w:t>
            </w:r>
          </w:p>
        </w:tc>
        <w:tc>
          <w:tcPr>
            <w:tcW w:w="5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80"/>
              </w:rPr>
              <w:t>117,614</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rPr>
              <w:t>94,653</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rPr>
              <w:t>78,058</w:t>
            </w: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71,615</w:t>
            </w:r>
          </w:p>
        </w:tc>
        <w:tc>
          <w:tcPr>
            <w:tcW w:w="6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w w:val="85"/>
              </w:rPr>
              <w:t>145,003</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878,916</w:t>
            </w:r>
          </w:p>
        </w:tc>
      </w:tr>
      <w:tr>
        <w:trPr>
          <w:trHeight w:val="129"/>
        </w:trPr>
        <w:tc>
          <w:tcPr>
            <w:tcW w:w="20" w:type="dxa"/>
            <w:vAlign w:val="bottom"/>
          </w:tcPr>
          <w:p>
            <w:pPr>
              <w:spacing w:after="0"/>
              <w:rPr>
                <w:sz w:val="11"/>
                <w:szCs w:val="11"/>
                <w:color w:val="auto"/>
              </w:rPr>
            </w:pPr>
          </w:p>
        </w:tc>
        <w:tc>
          <w:tcPr>
            <w:tcW w:w="1840" w:type="dxa"/>
            <w:vAlign w:val="bottom"/>
          </w:tcPr>
          <w:p>
            <w:pPr>
              <w:spacing w:after="0" w:line="122" w:lineRule="exact"/>
              <w:rPr>
                <w:sz w:val="20"/>
                <w:szCs w:val="20"/>
                <w:color w:val="auto"/>
              </w:rPr>
            </w:pPr>
            <w:r>
              <w:rPr>
                <w:rFonts w:ascii="Arial" w:cs="Arial" w:eastAsia="Arial" w:hAnsi="Arial"/>
                <w:sz w:val="11"/>
                <w:szCs w:val="11"/>
                <w:color w:val="auto"/>
              </w:rPr>
              <w:t xml:space="preserve">Long-term liabilities </w:t>
            </w:r>
            <w:r>
              <w:rPr>
                <w:rFonts w:ascii="Arial" w:cs="Arial" w:eastAsia="Arial" w:hAnsi="Arial"/>
                <w:sz w:val="9"/>
                <w:szCs w:val="9"/>
                <w:color w:val="auto"/>
              </w:rPr>
              <w:t>(3)</w:t>
            </w:r>
          </w:p>
        </w:tc>
        <w:tc>
          <w:tcPr>
            <w:tcW w:w="1140" w:type="dxa"/>
            <w:vAlign w:val="bottom"/>
            <w:tcBorders>
              <w:bottom w:val="single" w:sz="8" w:color="auto"/>
            </w:tcBorders>
            <w:gridSpan w:val="2"/>
          </w:tcPr>
          <w:p>
            <w:pPr>
              <w:jc w:val="right"/>
              <w:ind w:right="420"/>
              <w:spacing w:after="0" w:line="122" w:lineRule="exact"/>
              <w:rPr>
                <w:sz w:val="20"/>
                <w:szCs w:val="20"/>
                <w:color w:val="auto"/>
              </w:rPr>
            </w:pPr>
            <w:r>
              <w:rPr>
                <w:rFonts w:ascii="Arial" w:cs="Arial" w:eastAsia="Arial" w:hAnsi="Arial"/>
                <w:sz w:val="11"/>
                <w:szCs w:val="11"/>
                <w:color w:val="auto"/>
              </w:rPr>
              <w:t>7,300</w:t>
            </w: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86"/>
              <w:spacing w:after="0" w:line="122" w:lineRule="exact"/>
              <w:rPr>
                <w:sz w:val="20"/>
                <w:szCs w:val="20"/>
                <w:color w:val="auto"/>
              </w:rPr>
            </w:pPr>
            <w:r>
              <w:rPr>
                <w:rFonts w:ascii="Arial" w:cs="Arial" w:eastAsia="Arial" w:hAnsi="Arial"/>
                <w:sz w:val="11"/>
                <w:szCs w:val="11"/>
                <w:color w:val="auto"/>
              </w:rPr>
              <w:t>8,000</w:t>
            </w: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6"/>
              <w:spacing w:after="0" w:line="122" w:lineRule="exact"/>
              <w:rPr>
                <w:sz w:val="20"/>
                <w:szCs w:val="20"/>
                <w:color w:val="auto"/>
              </w:rPr>
            </w:pPr>
            <w:r>
              <w:rPr>
                <w:rFonts w:ascii="Arial" w:cs="Arial" w:eastAsia="Arial" w:hAnsi="Arial"/>
                <w:sz w:val="11"/>
                <w:szCs w:val="11"/>
                <w:color w:val="auto"/>
              </w:rPr>
              <w:t>8,700</w:t>
            </w: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6"/>
              <w:spacing w:after="0" w:line="122" w:lineRule="exact"/>
              <w:rPr>
                <w:sz w:val="20"/>
                <w:szCs w:val="20"/>
                <w:color w:val="auto"/>
              </w:rPr>
            </w:pPr>
            <w:r>
              <w:rPr>
                <w:rFonts w:ascii="Arial" w:cs="Arial" w:eastAsia="Arial" w:hAnsi="Arial"/>
                <w:sz w:val="11"/>
                <w:szCs w:val="11"/>
                <w:color w:val="auto"/>
              </w:rPr>
              <w:t>9,500</w:t>
            </w: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6"/>
              <w:spacing w:after="0" w:line="122" w:lineRule="exact"/>
              <w:rPr>
                <w:sz w:val="20"/>
                <w:szCs w:val="20"/>
                <w:color w:val="auto"/>
              </w:rPr>
            </w:pPr>
            <w:r>
              <w:rPr>
                <w:rFonts w:ascii="Arial" w:cs="Arial" w:eastAsia="Arial" w:hAnsi="Arial"/>
                <w:sz w:val="11"/>
                <w:szCs w:val="11"/>
                <w:color w:val="auto"/>
              </w:rPr>
              <w:t>10,400</w:t>
            </w: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46"/>
              <w:spacing w:after="0" w:line="122" w:lineRule="exact"/>
              <w:rPr>
                <w:sz w:val="20"/>
                <w:szCs w:val="20"/>
                <w:color w:val="auto"/>
              </w:rPr>
            </w:pPr>
            <w:r>
              <w:rPr>
                <w:rFonts w:ascii="Arial" w:cs="Arial" w:eastAsia="Arial" w:hAnsi="Arial"/>
                <w:sz w:val="11"/>
                <w:szCs w:val="11"/>
                <w:color w:val="auto"/>
                <w:w w:val="85"/>
              </w:rPr>
              <w:t>111,098</w:t>
            </w:r>
          </w:p>
        </w:tc>
        <w:tc>
          <w:tcPr>
            <w:tcW w:w="6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6"/>
              <w:spacing w:after="0" w:line="122" w:lineRule="exact"/>
              <w:rPr>
                <w:sz w:val="20"/>
                <w:szCs w:val="20"/>
                <w:color w:val="auto"/>
              </w:rPr>
            </w:pPr>
            <w:r>
              <w:rPr>
                <w:rFonts w:ascii="Arial" w:cs="Arial" w:eastAsia="Arial" w:hAnsi="Arial"/>
                <w:sz w:val="11"/>
                <w:szCs w:val="11"/>
                <w:color w:val="auto"/>
              </w:rPr>
              <w:t>154,998</w:t>
            </w:r>
          </w:p>
        </w:tc>
      </w:tr>
      <w:tr>
        <w:trPr>
          <w:trHeight w:val="122"/>
        </w:trPr>
        <w:tc>
          <w:tcPr>
            <w:tcW w:w="20" w:type="dxa"/>
            <w:vAlign w:val="bottom"/>
          </w:tcPr>
          <w:p>
            <w:pPr>
              <w:spacing w:after="0"/>
              <w:rPr>
                <w:sz w:val="10"/>
                <w:szCs w:val="10"/>
                <w:color w:val="auto"/>
              </w:rPr>
            </w:pPr>
          </w:p>
        </w:tc>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Total</w:t>
            </w:r>
          </w:p>
        </w:tc>
        <w:tc>
          <w:tcPr>
            <w:tcW w:w="1140" w:type="dxa"/>
            <w:vAlign w:val="bottom"/>
            <w:tcBorders>
              <w:bottom w:val="single" w:sz="8" w:color="auto"/>
            </w:tcBorders>
            <w:gridSpan w:val="2"/>
            <w:shd w:val="clear" w:color="auto" w:fill="CCEEFF"/>
          </w:tcPr>
          <w:p>
            <w:pPr>
              <w:jc w:val="right"/>
              <w:ind w:right="420"/>
              <w:spacing w:after="0" w:line="122" w:lineRule="exact"/>
              <w:rPr>
                <w:sz w:val="20"/>
                <w:szCs w:val="20"/>
                <w:color w:val="auto"/>
              </w:rPr>
            </w:pPr>
            <w:r>
              <w:rPr>
                <w:rFonts w:ascii="Arial" w:cs="Arial" w:eastAsia="Arial" w:hAnsi="Arial"/>
                <w:sz w:val="11"/>
                <w:szCs w:val="11"/>
                <w:color w:val="auto"/>
              </w:rPr>
              <w:t>$645,199</w:t>
            </w:r>
          </w:p>
        </w:tc>
        <w:tc>
          <w:tcPr>
            <w:tcW w:w="5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80"/>
              </w:rPr>
              <w:t>341,343</w:t>
            </w:r>
          </w:p>
        </w:tc>
        <w:tc>
          <w:tcPr>
            <w:tcW w:w="5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85"/>
              </w:rPr>
              <w:t>281,876</w:t>
            </w:r>
          </w:p>
        </w:tc>
        <w:tc>
          <w:tcPr>
            <w:tcW w:w="5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85"/>
              </w:rPr>
              <w:t>235,675</w:t>
            </w:r>
          </w:p>
        </w:tc>
        <w:tc>
          <w:tcPr>
            <w:tcW w:w="5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w w:val="85"/>
              </w:rPr>
              <w:t>592,550</w:t>
            </w: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w w:val="85"/>
              </w:rPr>
              <w:t>627,553</w:t>
            </w:r>
          </w:p>
        </w:tc>
        <w:tc>
          <w:tcPr>
            <w:tcW w:w="6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w w:val="85"/>
              </w:rPr>
              <w:t>2,724,196</w:t>
            </w: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71" w:lineRule="exact"/>
        <w:rPr>
          <w:sz w:val="20"/>
          <w:szCs w:val="20"/>
          <w:color w:val="auto"/>
        </w:rPr>
      </w:pPr>
    </w:p>
    <w:p>
      <w:pPr>
        <w:ind w:left="460" w:right="200" w:hanging="452"/>
        <w:spacing w:after="0" w:line="29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commitments for the Company’s television broadcasting and cable television businesses that are reflected in the Company’s Consolidated Balance Sheet and commitments to purchase programming to be produced in future years.</w:t>
      </w:r>
    </w:p>
    <w:p>
      <w:pPr>
        <w:spacing w:after="0" w:line="23" w:lineRule="exact"/>
        <w:rPr>
          <w:rFonts w:ascii="Arial" w:cs="Arial" w:eastAsia="Arial" w:hAnsi="Arial"/>
          <w:sz w:val="16"/>
          <w:szCs w:val="16"/>
          <w:color w:val="auto"/>
        </w:rPr>
      </w:pPr>
    </w:p>
    <w:p>
      <w:pPr>
        <w:ind w:left="460" w:right="20" w:hanging="452"/>
        <w:spacing w:after="0" w:line="305"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purchase obligations related to newsprint contracts, printing contracts, employment agreements, circulation distribution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 as “Accounts payable and accrued liabilities.”</w:t>
      </w:r>
    </w:p>
    <w:p>
      <w:pPr>
        <w:spacing w:after="0" w:line="17" w:lineRule="exact"/>
        <w:rPr>
          <w:rFonts w:ascii="Arial" w:cs="Arial" w:eastAsia="Arial" w:hAnsi="Arial"/>
          <w:sz w:val="15"/>
          <w:szCs w:val="15"/>
          <w:color w:val="auto"/>
        </w:rPr>
      </w:pPr>
    </w:p>
    <w:p>
      <w:pPr>
        <w:ind w:left="460" w:right="380" w:hanging="452"/>
        <w:spacing w:after="0" w:line="29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Commercial Commitments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60" w:type="dxa"/>
            <w:vAlign w:val="bottom"/>
            <w:gridSpan w:val="2"/>
          </w:tcPr>
          <w:p>
            <w:pPr>
              <w:jc w:val="center"/>
              <w:ind w:right="780"/>
              <w:spacing w:after="0"/>
              <w:rPr>
                <w:sz w:val="20"/>
                <w:szCs w:val="20"/>
                <w:color w:val="auto"/>
              </w:rPr>
            </w:pPr>
            <w:r>
              <w:rPr>
                <w:rFonts w:ascii="Arial" w:cs="Arial" w:eastAsia="Arial" w:hAnsi="Arial"/>
                <w:sz w:val="13"/>
                <w:szCs w:val="13"/>
                <w:color w:val="auto"/>
                <w:w w:val="87"/>
              </w:rPr>
              <w:t>Lines of</w:t>
            </w:r>
          </w:p>
        </w:tc>
        <w:tc>
          <w:tcPr>
            <w:tcW w:w="0" w:type="dxa"/>
            <w:vAlign w:val="bottom"/>
          </w:tcPr>
          <w:p>
            <w:pPr>
              <w:spacing w:after="0"/>
              <w:rPr>
                <w:sz w:val="1"/>
                <w:szCs w:val="1"/>
                <w:color w:val="auto"/>
              </w:rPr>
            </w:pPr>
          </w:p>
        </w:tc>
      </w:tr>
      <w:tr>
        <w:trPr>
          <w:trHeight w:val="156"/>
        </w:trPr>
        <w:tc>
          <w:tcPr>
            <w:tcW w:w="5360" w:type="dxa"/>
            <w:vAlign w:val="bottom"/>
            <w:gridSpan w:val="2"/>
          </w:tcPr>
          <w:p>
            <w:pPr>
              <w:spacing w:after="0"/>
              <w:rPr>
                <w:sz w:val="20"/>
                <w:szCs w:val="20"/>
                <w:color w:val="auto"/>
              </w:rPr>
            </w:pPr>
            <w:r>
              <w:rPr>
                <w:rFonts w:ascii="Arial" w:cs="Arial" w:eastAsia="Arial" w:hAnsi="Arial"/>
                <w:sz w:val="13"/>
                <w:szCs w:val="13"/>
                <w:color w:val="auto"/>
              </w:rPr>
              <w:t>Fiscal Year</w:t>
            </w:r>
          </w:p>
        </w:tc>
        <w:tc>
          <w:tcPr>
            <w:tcW w:w="4800" w:type="dxa"/>
            <w:vAlign w:val="bottom"/>
          </w:tcPr>
          <w:p>
            <w:pPr>
              <w:spacing w:after="0"/>
              <w:rPr>
                <w:sz w:val="13"/>
                <w:szCs w:val="13"/>
                <w:color w:val="auto"/>
              </w:rPr>
            </w:pPr>
          </w:p>
        </w:tc>
        <w:tc>
          <w:tcPr>
            <w:tcW w:w="1260" w:type="dxa"/>
            <w:vAlign w:val="bottom"/>
            <w:gridSpan w:val="2"/>
          </w:tcPr>
          <w:p>
            <w:pPr>
              <w:jc w:val="center"/>
              <w:ind w:right="780"/>
              <w:spacing w:after="0"/>
              <w:rPr>
                <w:sz w:val="20"/>
                <w:szCs w:val="20"/>
                <w:color w:val="auto"/>
              </w:rPr>
            </w:pPr>
            <w:r>
              <w:rPr>
                <w:rFonts w:ascii="Arial" w:cs="Arial" w:eastAsia="Arial" w:hAnsi="Arial"/>
                <w:sz w:val="13"/>
                <w:szCs w:val="13"/>
                <w:color w:val="auto"/>
                <w:w w:val="92"/>
              </w:rPr>
              <w:t>Credit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Borders>
              <w:top w:val="single" w:sz="8" w:color="auto"/>
            </w:tcBorders>
            <w:shd w:val="clear" w:color="auto" w:fill="CCEEFF"/>
          </w:tcPr>
          <w:p>
            <w:pPr>
              <w:jc w:val="right"/>
              <w:ind w:right="4668"/>
              <w:spacing w:after="0" w:line="149" w:lineRule="exact"/>
              <w:rPr>
                <w:sz w:val="20"/>
                <w:szCs w:val="20"/>
                <w:color w:val="auto"/>
              </w:rPr>
            </w:pPr>
            <w:r>
              <w:rPr>
                <w:rFonts w:ascii="Arial" w:cs="Arial" w:eastAsia="Arial" w:hAnsi="Arial"/>
                <w:sz w:val="14"/>
                <w:szCs w:val="14"/>
                <w:color w:val="auto"/>
              </w:rPr>
              <w:t>2005</w:t>
            </w:r>
          </w:p>
        </w:tc>
        <w:tc>
          <w:tcPr>
            <w:tcW w:w="6060" w:type="dxa"/>
            <w:vAlign w:val="bottom"/>
            <w:tcBorders>
              <w:top w:val="single" w:sz="8" w:color="auto"/>
            </w:tcBorders>
            <w:gridSpan w:val="3"/>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$ 250,000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right"/>
              <w:ind w:right="4668"/>
              <w:spacing w:after="0" w:line="149" w:lineRule="exact"/>
              <w:rPr>
                <w:sz w:val="20"/>
                <w:szCs w:val="20"/>
                <w:color w:val="auto"/>
              </w:rPr>
            </w:pPr>
            <w:r>
              <w:rPr>
                <w:rFonts w:ascii="Arial" w:cs="Arial" w:eastAsia="Arial" w:hAnsi="Arial"/>
                <w:sz w:val="14"/>
                <w:szCs w:val="14"/>
                <w:color w:val="auto"/>
              </w:rPr>
              <w:t>2006</w:t>
            </w:r>
          </w:p>
        </w:tc>
        <w:tc>
          <w:tcPr>
            <w:tcW w:w="4800" w:type="dxa"/>
            <w:vAlign w:val="bottom"/>
          </w:tcPr>
          <w:p>
            <w:pPr>
              <w:spacing w:after="0"/>
              <w:rPr>
                <w:sz w:val="12"/>
                <w:szCs w:val="12"/>
                <w:color w:val="auto"/>
              </w:rPr>
            </w:pPr>
          </w:p>
        </w:tc>
        <w:tc>
          <w:tcPr>
            <w:tcW w:w="12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jc w:val="right"/>
              <w:ind w:right="4668"/>
              <w:spacing w:after="0" w:line="149" w:lineRule="exact"/>
              <w:rPr>
                <w:sz w:val="20"/>
                <w:szCs w:val="20"/>
                <w:color w:val="auto"/>
              </w:rPr>
            </w:pPr>
            <w:r>
              <w:rPr>
                <w:rFonts w:ascii="Arial" w:cs="Arial" w:eastAsia="Arial" w:hAnsi="Arial"/>
                <w:sz w:val="14"/>
                <w:szCs w:val="14"/>
                <w:color w:val="auto"/>
              </w:rPr>
              <w:t>2007</w:t>
            </w:r>
          </w:p>
        </w:tc>
        <w:tc>
          <w:tcPr>
            <w:tcW w:w="6060" w:type="dxa"/>
            <w:vAlign w:val="bottom"/>
            <w:gridSpan w:val="3"/>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right"/>
              <w:ind w:right="4668"/>
              <w:spacing w:after="0" w:line="149" w:lineRule="exact"/>
              <w:rPr>
                <w:sz w:val="20"/>
                <w:szCs w:val="20"/>
                <w:color w:val="auto"/>
              </w:rPr>
            </w:pPr>
            <w:r>
              <w:rPr>
                <w:rFonts w:ascii="Arial" w:cs="Arial" w:eastAsia="Arial" w:hAnsi="Arial"/>
                <w:sz w:val="14"/>
                <w:szCs w:val="14"/>
                <w:color w:val="auto"/>
              </w:rPr>
              <w:t>2008</w:t>
            </w:r>
          </w:p>
        </w:tc>
        <w:tc>
          <w:tcPr>
            <w:tcW w:w="4800" w:type="dxa"/>
            <w:vAlign w:val="bottom"/>
          </w:tcPr>
          <w:p>
            <w:pPr>
              <w:spacing w:after="0"/>
              <w:rPr>
                <w:sz w:val="12"/>
                <w:szCs w:val="12"/>
                <w:color w:val="auto"/>
              </w:rPr>
            </w:pPr>
          </w:p>
        </w:tc>
        <w:tc>
          <w:tcPr>
            <w:tcW w:w="12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jc w:val="right"/>
              <w:ind w:right="4668"/>
              <w:spacing w:after="0" w:line="149" w:lineRule="exact"/>
              <w:rPr>
                <w:sz w:val="20"/>
                <w:szCs w:val="20"/>
                <w:color w:val="auto"/>
              </w:rPr>
            </w:pPr>
            <w:r>
              <w:rPr>
                <w:rFonts w:ascii="Arial" w:cs="Arial" w:eastAsia="Arial" w:hAnsi="Arial"/>
                <w:sz w:val="14"/>
                <w:szCs w:val="14"/>
                <w:color w:val="auto"/>
              </w:rPr>
              <w:t>2009</w:t>
            </w:r>
          </w:p>
        </w:tc>
        <w:tc>
          <w:tcPr>
            <w:tcW w:w="48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4800" w:type="dxa"/>
            <w:vAlign w:val="bottom"/>
          </w:tcPr>
          <w:p>
            <w:pPr>
              <w:spacing w:after="0"/>
              <w:rPr>
                <w:sz w:val="12"/>
                <w:szCs w:val="12"/>
                <w:color w:val="auto"/>
              </w:rPr>
            </w:pPr>
          </w:p>
        </w:tc>
        <w:tc>
          <w:tcPr>
            <w:tcW w:w="12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060" w:type="dxa"/>
            <w:vAlign w:val="bottom"/>
            <w:gridSpan w:val="3"/>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500"/>
        <w:spacing w:after="0" w:line="334"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The Company does not have any off-balance sheet arrangements or financing activities with special-purpose entities (SPEs). Transactions with related parties, as</w:t>
      </w:r>
      <w:r>
        <w:rPr>
          <w:rFonts w:ascii="Arial" w:cs="Arial" w:eastAsia="Arial" w:hAnsi="Arial"/>
          <w:sz w:val="15"/>
          <w:szCs w:val="15"/>
          <w:b w:val="1"/>
          <w:bCs w:val="1"/>
          <w:color w:val="auto"/>
        </w:rPr>
        <w:t xml:space="preserve"> </w:t>
      </w:r>
      <w:r>
        <w:rPr>
          <w:rFonts w:ascii="Arial" w:cs="Arial" w:eastAsia="Arial" w:hAnsi="Arial"/>
          <w:sz w:val="15"/>
          <w:szCs w:val="15"/>
          <w:color w:val="auto"/>
        </w:rPr>
        <w:t>discussed in Note C to the Consolidated Financial Statements, are in the ordinary course of business and are conducted on an arm’s-length basis.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08"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In preparing these financial statements, management has made their best estimates and judgments of certain amounts included in the financial statements. Actual results will inevitably differ to some extent from these estimates.</w:t>
      </w:r>
    </w:p>
    <w:p>
      <w:pPr>
        <w:spacing w:after="0" w:line="7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The following are accounting policies that management believes are the most important to the Company’s portrayal of the Company’s financial condition and results and require management’s most difficult, subjective or complex judgments.</w:t>
      </w:r>
    </w:p>
    <w:p>
      <w:pPr>
        <w:spacing w:after="0" w:line="60"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b w:val="1"/>
          <w:bCs w:val="1"/>
          <w:color w:val="auto"/>
        </w:rPr>
        <w:t xml:space="preserve">Revenue Recognition and Trade Accounts Receivable, Less Estimated Returns, Doubtful Accounts and Allowances. </w:t>
      </w:r>
      <w:r>
        <w:rPr>
          <w:rFonts w:ascii="Arial" w:cs="Arial" w:eastAsia="Arial" w:hAnsi="Arial"/>
          <w:sz w:val="16"/>
          <w:szCs w:val="16"/>
          <w:color w:val="auto"/>
        </w:rPr>
        <w:t>The Company’s revenue recognition policies are</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Note A to the Consolidated Financial Statements. Education revenue is generally recognized ratably over the period during which educational services are delivered. For example, at Kaplan’s test preparation division,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expanded, including distance-learning businesses, and contracts with school districts as part of its K12 business, the complexity and significance of management estimates have increased. Revenues from magazine retail sales are recognized on the later of delivery or the cover date, with adequate provision made for anticipated sales returns. The Company bases its estimates for sales returns on historical experience and has not experienced significant fluctuations between estimated and actual return activity.</w:t>
      </w:r>
    </w:p>
    <w:p>
      <w:pPr>
        <w:spacing w:after="0" w:line="83" w:lineRule="exact"/>
        <w:rPr>
          <w:sz w:val="20"/>
          <w:szCs w:val="20"/>
          <w:color w:val="auto"/>
        </w:rPr>
      </w:pPr>
    </w:p>
    <w:p>
      <w:pPr>
        <w:ind w:right="20"/>
        <w:spacing w:after="0" w:line="335" w:lineRule="auto"/>
        <w:rPr>
          <w:sz w:val="20"/>
          <w:szCs w:val="20"/>
          <w:color w:val="auto"/>
        </w:rPr>
      </w:pPr>
      <w:r>
        <w:rPr>
          <w:rFonts w:ascii="Arial" w:cs="Arial" w:eastAsia="Arial" w:hAnsi="Arial"/>
          <w:sz w:val="14"/>
          <w:szCs w:val="14"/>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Pension Costs. </w:t>
      </w:r>
      <w:r>
        <w:rPr>
          <w:rFonts w:ascii="Arial" w:cs="Arial" w:eastAsia="Arial" w:hAnsi="Arial"/>
          <w:sz w:val="15"/>
          <w:szCs w:val="15"/>
          <w:color w:val="auto"/>
        </w:rPr>
        <w:t>Excluding special termination benefits related to early retirement programs, the Company’s net pension credit was $42.0 million, $55.1 million and</w:t>
      </w:r>
    </w:p>
    <w:p>
      <w:pPr>
        <w:spacing w:after="0" w:line="3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$64.4 million for 2004, 2003 and 2002, respectively. The Company’s pension benefit costs are actuarially determined and are impacted significantly by the Company’s assumptions related to future events, including the discount rate, expected return on plan assets and rate of compensation increases. At December 29, 2002, the Company reduced its discount rate assumption to 6.75%. Due to the reduction in the discount rate, lower than expected investment returns in 2002, and an amendment to the pension retirement program for certain employees at the Post effective June 1, 2003, the pension credit for 2003 declined by $9.3 million compared to 2002. At December 28, 2003, the Company reduced its discount rate assumption to 6.25%. Due to the reduction in the discount rate, the plan amendment from June 2003, and a reduction in the estimated actuarial gain amortization, offset by higher than expected investment returns in 2003, the pension credit for 2004 declined by $13.2 million compared to 2003. At January 2, 2005, the Compa-</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39" w:name="page40"/>
    <w:bookmarkEnd w:id="39"/>
    <w:p>
      <w:pPr>
        <w:ind w:right="60"/>
        <w:spacing w:after="0" w:line="271" w:lineRule="auto"/>
        <w:rPr>
          <w:sz w:val="20"/>
          <w:szCs w:val="20"/>
          <w:color w:val="auto"/>
        </w:rPr>
      </w:pPr>
      <w:r>
        <w:rPr>
          <w:rFonts w:ascii="Arial" w:cs="Arial" w:eastAsia="Arial" w:hAnsi="Arial"/>
          <w:sz w:val="16"/>
          <w:szCs w:val="16"/>
          <w:color w:val="auto"/>
        </w:rPr>
        <w:t>ny further reduced its discount rate assumption to 5.75%, and the pension credit for 2005 is expected to be down by about $4 million. For each one-half percent increase or decrease to the Company’s assumed expected return on plan assets, the pension credit increases or decreases by approximately $6.5 million. For each one-half percent increase or decrease to the Company’s assumed discount rate, the pension credit increases or decreases by approximately $5 million. The Company’s actual rate of return on plan assets was 4.3% in 2004, 16.7% in 2003, and (2.3%) in 2002, based on plan assets at the beginning of each year. Note H to the Consolidated Financial Statements provides additional details surrounding pension costs and related assumptions.</w:t>
      </w:r>
    </w:p>
    <w:p>
      <w:pPr>
        <w:spacing w:after="0" w:line="78"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b w:val="1"/>
          <w:bCs w:val="1"/>
          <w:color w:val="auto"/>
        </w:rPr>
        <w:t xml:space="preserve">Kaplan Stock Option Plan. </w:t>
      </w:r>
      <w:r>
        <w:rPr>
          <w:rFonts w:ascii="Arial" w:cs="Arial" w:eastAsia="Arial" w:hAnsi="Arial"/>
          <w:sz w:val="15"/>
          <w:szCs w:val="15"/>
          <w:color w:val="auto"/>
        </w:rPr>
        <w:t>The Kaplan stock option plan was adopted in 1997 and initially reserved 15%, or 150,000 shares of Kaplan’s common stock, for options to be</w:t>
      </w:r>
      <w:r>
        <w:rPr>
          <w:rFonts w:ascii="Arial" w:cs="Arial" w:eastAsia="Arial" w:hAnsi="Arial"/>
          <w:sz w:val="15"/>
          <w:szCs w:val="15"/>
          <w:b w:val="1"/>
          <w:bCs w:val="1"/>
          <w:color w:val="auto"/>
        </w:rPr>
        <w:t xml:space="preserve"> </w:t>
      </w:r>
      <w:r>
        <w:rPr>
          <w:rFonts w:ascii="Arial" w:cs="Arial" w:eastAsia="Arial" w:hAnsi="Arial"/>
          <w:sz w:val="15"/>
          <w:szCs w:val="15"/>
          <w:color w:val="auto"/>
        </w:rPr>
        <w:t>granted under the plan to certain members of Kaplan management. Under the provisions of this plan, options are issued with an exercise price equal to the estimated fair value of Kaplan’s common stock, and options vest ratably over the number of years specified (generally 4 to 5 years) at the time of the grant. Upon exercise, an option holder receives cash equal to the difference between the exercise price and the then fair value. The amount of compensation expense varies directly with the estimated fair value of Kaplan’s common stock and the number of options outstanding. The estimated fair value of Kaplan’s common stock is based upon a comparison of operating results and public market values of other education companies and is determined by the Company’s compensation committee of the Board of Directors, with input from management and an independent outside valuation firm. Over the past several years, the value of education companies has fluctuated significantly, and consequently, there has been significant volatility in the amounts recorded as expense each year as well as on a quarterly basis.</w:t>
      </w:r>
    </w:p>
    <w:p>
      <w:pPr>
        <w:spacing w:after="0" w:line="7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September 2003, the committee set the fair value price of Kaplan common stock at $1,625 per share, which was determined after deducting intercompany debt from Kaplan’s enterprise value. Also in September 2003, the Company announced an offer totaling $138 million for approximately 55% of the stock options outstanding at Kaplan. The Company’s offer included a 10% premium over the then current valuation price of Kaplan common stock of $1,625 per share and 100% of the eligible stock options were tendered. The Company paid out $118.7 million in the fourth quarter of 2003 and $10.3 million in 2004. The remainder of the payouts will be made at the time of their scheduled vesting, from 2005 to 2008, if the option holder is still employed at Kaplan. Additionally, stock compensation expense will be recorded on these remaining exercised stock options over the remaining vesting periods of 2005 to 2008. A small number of key Kaplan executives continue to hold the remaining 68,000 outstanding Kaplan stock options (representing about 4.8% of Kaplan’s common stock), with roughly half of these options expiring in 2007 and half expiring in 2011. In January 2005, the committee set the fair value price at $2,080 per share. Also in January 2005, 15,353 Kaplan stock options were exercised, and 10,582 Kaplan stock options were awarded at an option price of $2,080.</w:t>
      </w:r>
    </w:p>
    <w:p>
      <w:pPr>
        <w:spacing w:after="0" w:line="8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For 2004, 2003 and 2002, the Company recorded expense of $32.5 million, $119.1 million and $34.5 million, respectively, related to this plan. In 2004 and 2003, payouts from option exercises totaled $10.3 million and $119.6 million, respectively. At December 31, 2004, the Company’s stock-based compensation accrual balance totaled $96.2 million. If Kaplan’s profits increase and the value of education companies remains relatively high in 2005, there will be significant Kaplan stock-based compensation expense again in 2005. Note G to the Consolidated Financial Statements provides additional details surrounding the Kaplan stock option plan.</w:t>
      </w:r>
    </w:p>
    <w:p>
      <w:pPr>
        <w:spacing w:after="0" w:line="61"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b w:val="1"/>
          <w:bCs w:val="1"/>
          <w:color w:val="auto"/>
        </w:rPr>
        <w:t xml:space="preserve">Goodwill and Other Intangibles. </w:t>
      </w:r>
      <w:r>
        <w:rPr>
          <w:rFonts w:ascii="Arial" w:cs="Arial" w:eastAsia="Arial" w:hAnsi="Arial"/>
          <w:sz w:val="14"/>
          <w:szCs w:val="14"/>
          <w:color w:val="auto"/>
        </w:rPr>
        <w:t>The Company reviews the carrying value of goodwill and indefinite-lived intangible assets at least annually, utilizing a discounted cash flow</w:t>
      </w:r>
      <w:r>
        <w:rPr>
          <w:rFonts w:ascii="Arial" w:cs="Arial" w:eastAsia="Arial" w:hAnsi="Arial"/>
          <w:sz w:val="14"/>
          <w:szCs w:val="14"/>
          <w:b w:val="1"/>
          <w:bCs w:val="1"/>
          <w:color w:val="auto"/>
        </w:rPr>
        <w:t xml:space="preserve"> </w:t>
      </w:r>
      <w:r>
        <w:rPr>
          <w:rFonts w:ascii="Arial" w:cs="Arial" w:eastAsia="Arial" w:hAnsi="Arial"/>
          <w:sz w:val="14"/>
          <w:szCs w:val="14"/>
          <w:color w:val="auto"/>
        </w:rPr>
        <w:t>model (in the case of the Company’s cable systems, both a discounted cash flow model and an estimated fair market value per cable subscriber approach are considered). The Company must make assumptions regarding estimated future cash flows and market values to determine a reporting unit’s estimated fair value. In reviewing the carrying value of goodwill and indefinite-lived intangible assets at the cable division, the Company aggregates its cable systems on a regional basis. If these estimates or related assumptions change in the future, the Company may be required to record an impairment charge. At January 2, 2005, the Company has $1,524.2 million in goodwill and other intangibles.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104"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color w:val="auto"/>
        </w:rPr>
        <w:t>In December 2004, Statement of Financial Accounting Standards No. 123R (SFAS 123R), “Share-Based Payment” was issued,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companies to record the cost of employee services in exchange for stock options based on the grant-date fair value of the award. Because the Company adopted the fair-value-based method of accounting for Company stock options in 2002, SFAS 123R will have a minimal impact on the Company’s results of operations when adopted in the third quarter of 2005.</w:t>
      </w:r>
    </w:p>
    <w:p>
      <w:pPr>
        <w:spacing w:after="0" w:line="7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EITF Topic D-108, “Use of the Residual Method to Value Acquired Assets Other than Goodwill,” requires companies that have applied the residual method to value intangible assets to perform an impairment test on those intangible assets using the direct value method by the end of the first quarter of 2005. The Company is in the process of performing such an impairment test at its cable division.</w:t>
      </w:r>
    </w:p>
    <w:p>
      <w:pPr>
        <w:spacing w:after="0" w:line="200" w:lineRule="exact"/>
        <w:rPr>
          <w:sz w:val="20"/>
          <w:szCs w:val="20"/>
          <w:color w:val="auto"/>
        </w:rPr>
      </w:pPr>
    </w:p>
    <w:p>
      <w:pPr>
        <w:spacing w:after="0" w:line="311"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w:t>
      </w:r>
    </w:p>
    <w:p>
      <w:pPr>
        <w:spacing w:after="0"/>
        <w:rPr>
          <w:sz w:val="20"/>
          <w:szCs w:val="20"/>
          <w:color w:val="auto"/>
        </w:rPr>
      </w:pPr>
      <w:r>
        <w:rPr>
          <w:rFonts w:ascii="Arial" w:cs="Arial" w:eastAsia="Arial" w:hAnsi="Arial"/>
          <w:sz w:val="14"/>
          <w:szCs w:val="14"/>
          <w:color w:val="auto"/>
        </w:rPr>
        <w:t>Shareholders of The Washington Post Company</w:t>
      </w:r>
    </w:p>
    <w:p>
      <w:pPr>
        <w:spacing w:after="0" w:line="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completed an integrated audit of The Washington Post Company’s 2004 consolidated financial statements referred to under Item 15(1) on page 25 and listed on the index on page 27 and of its internal control over financial reporting as of January 2, 2005 and audits of its December 28, 2003 and December 29, 2002 consolidated financial statements in accordance with the standards of the Public Company Accounting Oversight Board (United States). Our opinions, based on our audits, are presented below.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statements and financial statement schedule</w:t>
      </w:r>
    </w:p>
    <w:p>
      <w:pPr>
        <w:spacing w:after="0" w:line="10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our opinion, the consolidated financial statements referred to under Item 15(1) on page 25 and listed on the index on page 27 present fairly, in all material respects, the financial position of The Washington Post Company and its subsidiaries at January 2, 2005 and December 28, 2003, and the results of their operations and their cash flows for each of the three years in the period ended January 2, 2005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Also, in our opinion, management’s assessment, included in Management’s Report on Internal Control over Financial Reporting appearing under Item 9A, that the Company maintained effective internal control over financial reporting as of January 2, 2005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is fairly stated, in all material respects,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those criteria. Furthermore, in our opinion, the Company maintained, in all material respects, effective internal control over financial reporting as of January 2, 2005,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Washington, D.C.</w:t>
      </w:r>
    </w:p>
    <w:p>
      <w:pPr>
        <w:spacing w:after="0"/>
        <w:rPr>
          <w:sz w:val="20"/>
          <w:szCs w:val="20"/>
          <w:color w:val="auto"/>
        </w:rPr>
      </w:pPr>
      <w:r>
        <w:rPr>
          <w:rFonts w:ascii="Arial" w:cs="Arial" w:eastAsia="Arial" w:hAnsi="Arial"/>
          <w:sz w:val="14"/>
          <w:szCs w:val="14"/>
          <w:color w:val="auto"/>
        </w:rPr>
        <w:t>March 1, 2005</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jc w:val="right"/>
              <w:ind w:right="889"/>
              <w:spacing w:after="0"/>
              <w:rPr>
                <w:sz w:val="20"/>
                <w:szCs w:val="20"/>
                <w:color w:val="auto"/>
              </w:rPr>
            </w:pPr>
            <w:r>
              <w:rPr>
                <w:rFonts w:ascii="Arial" w:cs="Arial" w:eastAsia="Arial" w:hAnsi="Arial"/>
                <w:sz w:val="13"/>
                <w:szCs w:val="13"/>
                <w:color w:val="auto"/>
              </w:rPr>
              <w:t>Fiscal year ended</w:t>
            </w: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2"/>
          </w:tcPr>
          <w:p>
            <w:pPr>
              <w:jc w:val="right"/>
              <w:ind w:right="769"/>
              <w:spacing w:after="0" w:line="124" w:lineRule="exact"/>
              <w:rPr>
                <w:sz w:val="20"/>
                <w:szCs w:val="20"/>
                <w:color w:val="auto"/>
              </w:rPr>
            </w:pPr>
            <w:r>
              <w:rPr>
                <w:rFonts w:ascii="Arial" w:cs="Arial" w:eastAsia="Arial" w:hAnsi="Arial"/>
                <w:sz w:val="13"/>
                <w:szCs w:val="13"/>
                <w:b w:val="1"/>
                <w:bCs w:val="1"/>
                <w:color w:val="auto"/>
              </w:rPr>
              <w:t>January 2,</w:t>
            </w:r>
          </w:p>
        </w:tc>
        <w:tc>
          <w:tcPr>
            <w:tcW w:w="2560" w:type="dxa"/>
            <w:vAlign w:val="bottom"/>
            <w:gridSpan w:val="2"/>
          </w:tcPr>
          <w:p>
            <w:pPr>
              <w:jc w:val="right"/>
              <w:ind w:right="729"/>
              <w:spacing w:after="0" w:line="124" w:lineRule="exact"/>
              <w:rPr>
                <w:sz w:val="20"/>
                <w:szCs w:val="20"/>
                <w:color w:val="auto"/>
              </w:rPr>
            </w:pPr>
            <w:r>
              <w:rPr>
                <w:rFonts w:ascii="Arial" w:cs="Arial" w:eastAsia="Arial" w:hAnsi="Arial"/>
                <w:sz w:val="13"/>
                <w:szCs w:val="13"/>
                <w:color w:val="auto"/>
              </w:rPr>
              <w:t>December 28,</w:t>
            </w:r>
          </w:p>
        </w:tc>
        <w:tc>
          <w:tcPr>
            <w:tcW w:w="2000" w:type="dxa"/>
            <w:vAlign w:val="bottom"/>
            <w:gridSpan w:val="2"/>
          </w:tcPr>
          <w:p>
            <w:pPr>
              <w:ind w:left="780"/>
              <w:spacing w:after="0" w:line="124" w:lineRule="exact"/>
              <w:rPr>
                <w:sz w:val="20"/>
                <w:szCs w:val="20"/>
                <w:color w:val="auto"/>
              </w:rPr>
            </w:pPr>
            <w:r>
              <w:rPr>
                <w:rFonts w:ascii="Arial" w:cs="Arial" w:eastAsia="Arial" w:hAnsi="Arial"/>
                <w:sz w:val="13"/>
                <w:szCs w:val="13"/>
                <w:color w:val="auto"/>
              </w:rPr>
              <w:t>December 29,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20" w:type="dxa"/>
            <w:vAlign w:val="bottom"/>
            <w:tcBorders>
              <w:bottom w:val="single" w:sz="8" w:color="auto"/>
            </w:tcBorders>
            <w:gridSpan w:val="2"/>
          </w:tcPr>
          <w:p>
            <w:pPr>
              <w:ind w:left="1040"/>
              <w:spacing w:after="0"/>
              <w:rPr>
                <w:sz w:val="20"/>
                <w:szCs w:val="20"/>
                <w:color w:val="auto"/>
              </w:rPr>
            </w:pPr>
            <w:r>
              <w:rPr>
                <w:rFonts w:ascii="Arial" w:cs="Arial" w:eastAsia="Arial" w:hAnsi="Arial"/>
                <w:sz w:val="13"/>
                <w:szCs w:val="13"/>
                <w:b w:val="1"/>
                <w:bCs w:val="1"/>
                <w:color w:val="auto"/>
              </w:rPr>
              <w:t>(in thousands, except per share amounts)</w:t>
            </w:r>
          </w:p>
        </w:tc>
        <w:tc>
          <w:tcPr>
            <w:tcW w:w="8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929"/>
              <w:spacing w:after="0"/>
              <w:rPr>
                <w:sz w:val="20"/>
                <w:szCs w:val="20"/>
                <w:color w:val="auto"/>
              </w:rPr>
            </w:pPr>
            <w:r>
              <w:rPr>
                <w:rFonts w:ascii="Arial" w:cs="Arial" w:eastAsia="Arial" w:hAnsi="Arial"/>
                <w:sz w:val="13"/>
                <w:szCs w:val="13"/>
                <w:b w:val="1"/>
                <w:bCs w:val="1"/>
                <w:color w:val="auto"/>
              </w:rPr>
              <w:t>2005</w:t>
            </w:r>
          </w:p>
        </w:tc>
        <w:tc>
          <w:tcPr>
            <w:tcW w:w="1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49"/>
              <w:spacing w:after="0"/>
              <w:rPr>
                <w:sz w:val="20"/>
                <w:szCs w:val="20"/>
                <w:color w:val="auto"/>
              </w:rPr>
            </w:pPr>
            <w:r>
              <w:rPr>
                <w:rFonts w:ascii="Arial" w:cs="Arial" w:eastAsia="Arial" w:hAnsi="Arial"/>
                <w:sz w:val="13"/>
                <w:szCs w:val="13"/>
                <w:color w:val="auto"/>
              </w:rPr>
              <w:t>2003</w:t>
            </w: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69"/>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Revenues</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Advertising</w:t>
            </w:r>
          </w:p>
        </w:tc>
        <w:tc>
          <w:tcPr>
            <w:tcW w:w="2220" w:type="dxa"/>
            <w:vAlign w:val="bottom"/>
            <w:gridSpan w:val="2"/>
          </w:tcPr>
          <w:p>
            <w:pPr>
              <w:jc w:val="right"/>
              <w:ind w:right="709"/>
              <w:spacing w:after="0" w:line="149" w:lineRule="exact"/>
              <w:rPr>
                <w:sz w:val="20"/>
                <w:szCs w:val="20"/>
                <w:color w:val="auto"/>
              </w:rPr>
            </w:pPr>
            <w:r>
              <w:rPr>
                <w:rFonts w:ascii="Arial" w:cs="Arial" w:eastAsia="Arial" w:hAnsi="Arial"/>
                <w:sz w:val="14"/>
                <w:szCs w:val="14"/>
                <w:b w:val="1"/>
                <w:bCs w:val="1"/>
                <w:color w:val="auto"/>
              </w:rPr>
              <w:t>$ 1,346,870</w:t>
            </w:r>
          </w:p>
        </w:tc>
        <w:tc>
          <w:tcPr>
            <w:tcW w:w="2560" w:type="dxa"/>
            <w:vAlign w:val="bottom"/>
            <w:gridSpan w:val="2"/>
          </w:tcPr>
          <w:p>
            <w:pPr>
              <w:jc w:val="right"/>
              <w:ind w:right="729"/>
              <w:spacing w:after="0" w:line="149" w:lineRule="exact"/>
              <w:rPr>
                <w:sz w:val="20"/>
                <w:szCs w:val="20"/>
                <w:color w:val="auto"/>
              </w:rPr>
            </w:pPr>
            <w:r>
              <w:rPr>
                <w:rFonts w:ascii="Arial" w:cs="Arial" w:eastAsia="Arial" w:hAnsi="Arial"/>
                <w:sz w:val="14"/>
                <w:szCs w:val="14"/>
                <w:color w:val="auto"/>
              </w:rPr>
              <w:t>$ 1,222,324</w:t>
            </w:r>
          </w:p>
        </w:tc>
        <w:tc>
          <w:tcPr>
            <w:tcW w:w="2000" w:type="dxa"/>
            <w:vAlign w:val="bottom"/>
            <w:gridSpan w:val="2"/>
          </w:tcPr>
          <w:p>
            <w:pPr>
              <w:jc w:val="right"/>
              <w:ind w:right="509"/>
              <w:spacing w:after="0" w:line="149" w:lineRule="exact"/>
              <w:rPr>
                <w:sz w:val="20"/>
                <w:szCs w:val="20"/>
                <w:color w:val="auto"/>
              </w:rPr>
            </w:pPr>
            <w:r>
              <w:rPr>
                <w:rFonts w:ascii="Arial" w:cs="Arial" w:eastAsia="Arial" w:hAnsi="Arial"/>
                <w:sz w:val="14"/>
                <w:szCs w:val="14"/>
                <w:color w:val="auto"/>
              </w:rPr>
              <w:t>$ 1,221,180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Circulation and subscriber</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741,810</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706,248</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675,136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Education</w:t>
            </w:r>
          </w:p>
        </w:tc>
        <w:tc>
          <w:tcPr>
            <w:tcW w:w="860" w:type="dxa"/>
            <w:vAlign w:val="bottom"/>
          </w:tcPr>
          <w:p>
            <w:pPr>
              <w:spacing w:after="0"/>
              <w:rPr>
                <w:sz w:val="12"/>
                <w:szCs w:val="12"/>
                <w:color w:val="auto"/>
              </w:rPr>
            </w:pPr>
          </w:p>
        </w:tc>
        <w:tc>
          <w:tcPr>
            <w:tcW w:w="1360" w:type="dxa"/>
            <w:vAlign w:val="bottom"/>
          </w:tcPr>
          <w:p>
            <w:pPr>
              <w:jc w:val="right"/>
              <w:ind w:right="709"/>
              <w:spacing w:after="0" w:line="149" w:lineRule="exact"/>
              <w:rPr>
                <w:sz w:val="20"/>
                <w:szCs w:val="20"/>
                <w:color w:val="auto"/>
              </w:rPr>
            </w:pPr>
            <w:r>
              <w:rPr>
                <w:rFonts w:ascii="Arial" w:cs="Arial" w:eastAsia="Arial" w:hAnsi="Arial"/>
                <w:sz w:val="14"/>
                <w:szCs w:val="14"/>
                <w:b w:val="1"/>
                <w:bCs w:val="1"/>
                <w:color w:val="auto"/>
                <w:w w:val="89"/>
              </w:rPr>
              <w:t>1,134,891</w:t>
            </w:r>
          </w:p>
        </w:tc>
        <w:tc>
          <w:tcPr>
            <w:tcW w:w="1180" w:type="dxa"/>
            <w:vAlign w:val="bottom"/>
          </w:tcPr>
          <w:p>
            <w:pPr>
              <w:spacing w:after="0"/>
              <w:rPr>
                <w:sz w:val="12"/>
                <w:szCs w:val="12"/>
                <w:color w:val="auto"/>
              </w:rPr>
            </w:pPr>
          </w:p>
        </w:tc>
        <w:tc>
          <w:tcPr>
            <w:tcW w:w="1380" w:type="dxa"/>
            <w:vAlign w:val="bottom"/>
          </w:tcPr>
          <w:p>
            <w:pPr>
              <w:jc w:val="right"/>
              <w:ind w:right="729"/>
              <w:spacing w:after="0" w:line="149" w:lineRule="exact"/>
              <w:rPr>
                <w:sz w:val="20"/>
                <w:szCs w:val="20"/>
                <w:color w:val="auto"/>
              </w:rPr>
            </w:pPr>
            <w:r>
              <w:rPr>
                <w:rFonts w:ascii="Arial" w:cs="Arial" w:eastAsia="Arial" w:hAnsi="Arial"/>
                <w:sz w:val="14"/>
                <w:szCs w:val="14"/>
                <w:color w:val="auto"/>
              </w:rPr>
              <w:t>838,077</w:t>
            </w:r>
          </w:p>
        </w:tc>
        <w:tc>
          <w:tcPr>
            <w:tcW w:w="840" w:type="dxa"/>
            <w:vAlign w:val="bottom"/>
          </w:tcPr>
          <w:p>
            <w:pPr>
              <w:spacing w:after="0"/>
              <w:rPr>
                <w:sz w:val="12"/>
                <w:szCs w:val="12"/>
                <w:color w:val="auto"/>
              </w:rPr>
            </w:pPr>
          </w:p>
        </w:tc>
        <w:tc>
          <w:tcPr>
            <w:tcW w:w="116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621,125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76,533</w:t>
            </w:r>
          </w:p>
        </w:tc>
        <w:tc>
          <w:tcPr>
            <w:tcW w:w="11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72,262</w:t>
            </w:r>
          </w:p>
        </w:tc>
        <w:tc>
          <w:tcPr>
            <w:tcW w:w="8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66,762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w w:val="89"/>
              </w:rPr>
              <w:t>3,300,104</w:t>
            </w:r>
          </w:p>
        </w:tc>
        <w:tc>
          <w:tcPr>
            <w:tcW w:w="11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w w:val="89"/>
              </w:rPr>
              <w:t>2,838,911</w:t>
            </w:r>
          </w:p>
        </w:tc>
        <w:tc>
          <w:tcPr>
            <w:tcW w:w="8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w w:val="89"/>
              </w:rPr>
              <w:t>2,584,203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 Expenses</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12"/>
                <w:szCs w:val="12"/>
                <w:color w:val="auto"/>
              </w:rPr>
            </w:pPr>
          </w:p>
        </w:tc>
        <w:tc>
          <w:tcPr>
            <w:tcW w:w="1360" w:type="dxa"/>
            <w:vAlign w:val="bottom"/>
          </w:tcPr>
          <w:p>
            <w:pPr>
              <w:jc w:val="right"/>
              <w:ind w:right="709"/>
              <w:spacing w:after="0" w:line="149" w:lineRule="exact"/>
              <w:rPr>
                <w:sz w:val="20"/>
                <w:szCs w:val="20"/>
                <w:color w:val="auto"/>
              </w:rPr>
            </w:pPr>
            <w:r>
              <w:rPr>
                <w:rFonts w:ascii="Arial" w:cs="Arial" w:eastAsia="Arial" w:hAnsi="Arial"/>
                <w:sz w:val="14"/>
                <w:szCs w:val="14"/>
                <w:b w:val="1"/>
                <w:bCs w:val="1"/>
                <w:color w:val="auto"/>
                <w:w w:val="89"/>
              </w:rPr>
              <w:t>1,717,059</w:t>
            </w:r>
          </w:p>
        </w:tc>
        <w:tc>
          <w:tcPr>
            <w:tcW w:w="1180" w:type="dxa"/>
            <w:vAlign w:val="bottom"/>
          </w:tcPr>
          <w:p>
            <w:pPr>
              <w:spacing w:after="0"/>
              <w:rPr>
                <w:sz w:val="12"/>
                <w:szCs w:val="12"/>
                <w:color w:val="auto"/>
              </w:rPr>
            </w:pPr>
          </w:p>
        </w:tc>
        <w:tc>
          <w:tcPr>
            <w:tcW w:w="1380" w:type="dxa"/>
            <w:vAlign w:val="bottom"/>
          </w:tcPr>
          <w:p>
            <w:pPr>
              <w:jc w:val="right"/>
              <w:ind w:right="729"/>
              <w:spacing w:after="0" w:line="149" w:lineRule="exact"/>
              <w:rPr>
                <w:sz w:val="20"/>
                <w:szCs w:val="20"/>
                <w:color w:val="auto"/>
              </w:rPr>
            </w:pPr>
            <w:r>
              <w:rPr>
                <w:rFonts w:ascii="Arial" w:cs="Arial" w:eastAsia="Arial" w:hAnsi="Arial"/>
                <w:sz w:val="14"/>
                <w:szCs w:val="14"/>
                <w:color w:val="auto"/>
                <w:w w:val="89"/>
              </w:rPr>
              <w:t>1,549,262</w:t>
            </w:r>
          </w:p>
        </w:tc>
        <w:tc>
          <w:tcPr>
            <w:tcW w:w="840" w:type="dxa"/>
            <w:vAlign w:val="bottom"/>
          </w:tcPr>
          <w:p>
            <w:pPr>
              <w:spacing w:after="0"/>
              <w:rPr>
                <w:sz w:val="12"/>
                <w:szCs w:val="12"/>
                <w:color w:val="auto"/>
              </w:rPr>
            </w:pPr>
          </w:p>
        </w:tc>
        <w:tc>
          <w:tcPr>
            <w:tcW w:w="1160" w:type="dxa"/>
            <w:vAlign w:val="bottom"/>
          </w:tcPr>
          <w:p>
            <w:pPr>
              <w:jc w:val="right"/>
              <w:ind w:right="509"/>
              <w:spacing w:after="0" w:line="149" w:lineRule="exact"/>
              <w:rPr>
                <w:sz w:val="20"/>
                <w:szCs w:val="20"/>
                <w:color w:val="auto"/>
              </w:rPr>
            </w:pPr>
            <w:r>
              <w:rPr>
                <w:rFonts w:ascii="Arial" w:cs="Arial" w:eastAsia="Arial" w:hAnsi="Arial"/>
                <w:sz w:val="14"/>
                <w:szCs w:val="14"/>
                <w:color w:val="auto"/>
                <w:w w:val="89"/>
              </w:rPr>
              <w:t>1,369,955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Selling, general and administrative</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835,367</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792,292</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664,095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Gain on sale of land</w:t>
            </w:r>
          </w:p>
        </w:tc>
        <w:tc>
          <w:tcPr>
            <w:tcW w:w="860" w:type="dxa"/>
            <w:vAlign w:val="bottom"/>
          </w:tcPr>
          <w:p>
            <w:pPr>
              <w:spacing w:after="0"/>
              <w:rPr>
                <w:sz w:val="12"/>
                <w:szCs w:val="12"/>
                <w:color w:val="auto"/>
              </w:rPr>
            </w:pPr>
          </w:p>
        </w:tc>
        <w:tc>
          <w:tcPr>
            <w:tcW w:w="1360" w:type="dxa"/>
            <w:vAlign w:val="bottom"/>
          </w:tcPr>
          <w:p>
            <w:pPr>
              <w:jc w:val="right"/>
              <w:ind w:right="709"/>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2"/>
                <w:szCs w:val="12"/>
                <w:color w:val="auto"/>
              </w:rPr>
            </w:pPr>
          </w:p>
        </w:tc>
        <w:tc>
          <w:tcPr>
            <w:tcW w:w="1380" w:type="dxa"/>
            <w:vAlign w:val="bottom"/>
          </w:tcPr>
          <w:p>
            <w:pPr>
              <w:jc w:val="right"/>
              <w:ind w:right="689"/>
              <w:spacing w:after="0" w:line="149" w:lineRule="exact"/>
              <w:rPr>
                <w:sz w:val="20"/>
                <w:szCs w:val="20"/>
                <w:color w:val="auto"/>
              </w:rPr>
            </w:pPr>
            <w:r>
              <w:rPr>
                <w:rFonts w:ascii="Arial" w:cs="Arial" w:eastAsia="Arial" w:hAnsi="Arial"/>
                <w:sz w:val="14"/>
                <w:szCs w:val="14"/>
                <w:color w:val="auto"/>
              </w:rPr>
              <w:t>(41,747)</w:t>
            </w:r>
          </w:p>
        </w:tc>
        <w:tc>
          <w:tcPr>
            <w:tcW w:w="840" w:type="dxa"/>
            <w:vAlign w:val="bottom"/>
          </w:tcPr>
          <w:p>
            <w:pPr>
              <w:spacing w:after="0"/>
              <w:rPr>
                <w:sz w:val="12"/>
                <w:szCs w:val="12"/>
                <w:color w:val="auto"/>
              </w:rPr>
            </w:pPr>
          </w:p>
        </w:tc>
        <w:tc>
          <w:tcPr>
            <w:tcW w:w="116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175,338</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173,848</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171,908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8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b w:val="1"/>
                <w:bCs w:val="1"/>
                <w:color w:val="auto"/>
              </w:rPr>
              <w:t>9,334</w:t>
            </w:r>
          </w:p>
        </w:tc>
        <w:tc>
          <w:tcPr>
            <w:tcW w:w="1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9"/>
              <w:spacing w:after="0" w:line="149" w:lineRule="exact"/>
              <w:rPr>
                <w:sz w:val="20"/>
                <w:szCs w:val="20"/>
                <w:color w:val="auto"/>
              </w:rPr>
            </w:pPr>
            <w:r>
              <w:rPr>
                <w:rFonts w:ascii="Arial" w:cs="Arial" w:eastAsia="Arial" w:hAnsi="Arial"/>
                <w:sz w:val="14"/>
                <w:szCs w:val="14"/>
                <w:color w:val="auto"/>
              </w:rPr>
              <w:t>1,436</w:t>
            </w:r>
          </w:p>
        </w:tc>
        <w:tc>
          <w:tcPr>
            <w:tcW w:w="8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w w:val="89"/>
              </w:rPr>
              <w:t>2,737,098</w:t>
            </w:r>
          </w:p>
        </w:tc>
        <w:tc>
          <w:tcPr>
            <w:tcW w:w="11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w w:val="89"/>
              </w:rPr>
              <w:t>2,475,091</w:t>
            </w:r>
          </w:p>
        </w:tc>
        <w:tc>
          <w:tcPr>
            <w:tcW w:w="8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w w:val="89"/>
              </w:rPr>
              <w:t>2,206,613</w:t>
            </w:r>
          </w:p>
        </w:tc>
        <w:tc>
          <w:tcPr>
            <w:tcW w:w="0" w:type="dxa"/>
            <w:vAlign w:val="bottom"/>
          </w:tcPr>
          <w:p>
            <w:pPr>
              <w:spacing w:after="0"/>
              <w:rPr>
                <w:sz w:val="1"/>
                <w:szCs w:val="1"/>
                <w:color w:val="auto"/>
              </w:rPr>
            </w:pPr>
          </w:p>
        </w:tc>
      </w:tr>
      <w:tr>
        <w:trPr>
          <w:trHeight w:val="156"/>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Income from Operations</w:t>
            </w:r>
          </w:p>
        </w:tc>
        <w:tc>
          <w:tcPr>
            <w:tcW w:w="860" w:type="dxa"/>
            <w:vAlign w:val="bottom"/>
          </w:tcPr>
          <w:p>
            <w:pPr>
              <w:spacing w:after="0"/>
              <w:rPr>
                <w:sz w:val="13"/>
                <w:szCs w:val="13"/>
                <w:color w:val="auto"/>
              </w:rPr>
            </w:pPr>
          </w:p>
        </w:tc>
        <w:tc>
          <w:tcPr>
            <w:tcW w:w="1360" w:type="dxa"/>
            <w:vAlign w:val="bottom"/>
          </w:tcPr>
          <w:p>
            <w:pPr>
              <w:jc w:val="right"/>
              <w:ind w:right="709"/>
              <w:spacing w:after="0" w:line="155" w:lineRule="exact"/>
              <w:rPr>
                <w:sz w:val="20"/>
                <w:szCs w:val="20"/>
                <w:color w:val="auto"/>
              </w:rPr>
            </w:pPr>
            <w:r>
              <w:rPr>
                <w:rFonts w:ascii="Arial" w:cs="Arial" w:eastAsia="Arial" w:hAnsi="Arial"/>
                <w:sz w:val="14"/>
                <w:szCs w:val="14"/>
                <w:b w:val="1"/>
                <w:bCs w:val="1"/>
                <w:color w:val="auto"/>
              </w:rPr>
              <w:t>563,006</w:t>
            </w:r>
          </w:p>
        </w:tc>
        <w:tc>
          <w:tcPr>
            <w:tcW w:w="1180" w:type="dxa"/>
            <w:vAlign w:val="bottom"/>
          </w:tcPr>
          <w:p>
            <w:pPr>
              <w:spacing w:after="0"/>
              <w:rPr>
                <w:sz w:val="13"/>
                <w:szCs w:val="13"/>
                <w:color w:val="auto"/>
              </w:rPr>
            </w:pPr>
          </w:p>
        </w:tc>
        <w:tc>
          <w:tcPr>
            <w:tcW w:w="1380" w:type="dxa"/>
            <w:vAlign w:val="bottom"/>
          </w:tcPr>
          <w:p>
            <w:pPr>
              <w:jc w:val="right"/>
              <w:ind w:right="729"/>
              <w:spacing w:after="0" w:line="155" w:lineRule="exact"/>
              <w:rPr>
                <w:sz w:val="20"/>
                <w:szCs w:val="20"/>
                <w:color w:val="auto"/>
              </w:rPr>
            </w:pPr>
            <w:r>
              <w:rPr>
                <w:rFonts w:ascii="Arial" w:cs="Arial" w:eastAsia="Arial" w:hAnsi="Arial"/>
                <w:sz w:val="14"/>
                <w:szCs w:val="14"/>
                <w:color w:val="auto"/>
              </w:rPr>
              <w:t>363,820</w:t>
            </w:r>
          </w:p>
        </w:tc>
        <w:tc>
          <w:tcPr>
            <w:tcW w:w="840" w:type="dxa"/>
            <w:vAlign w:val="bottom"/>
          </w:tcPr>
          <w:p>
            <w:pPr>
              <w:spacing w:after="0"/>
              <w:rPr>
                <w:sz w:val="13"/>
                <w:szCs w:val="13"/>
                <w:color w:val="auto"/>
              </w:rPr>
            </w:pPr>
          </w:p>
        </w:tc>
        <w:tc>
          <w:tcPr>
            <w:tcW w:w="1160" w:type="dxa"/>
            <w:vAlign w:val="bottom"/>
          </w:tcPr>
          <w:p>
            <w:pPr>
              <w:jc w:val="right"/>
              <w:ind w:right="509"/>
              <w:spacing w:after="0" w:line="155" w:lineRule="exact"/>
              <w:rPr>
                <w:sz w:val="20"/>
                <w:szCs w:val="20"/>
                <w:color w:val="auto"/>
              </w:rPr>
            </w:pPr>
            <w:r>
              <w:rPr>
                <w:rFonts w:ascii="Arial" w:cs="Arial" w:eastAsia="Arial" w:hAnsi="Arial"/>
                <w:sz w:val="14"/>
                <w:szCs w:val="14"/>
                <w:color w:val="auto"/>
              </w:rPr>
              <w:t>377,590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in losses of affiliates</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(2,291)</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689"/>
              <w:spacing w:after="0" w:line="149" w:lineRule="exact"/>
              <w:rPr>
                <w:sz w:val="20"/>
                <w:szCs w:val="20"/>
                <w:color w:val="auto"/>
              </w:rPr>
            </w:pPr>
            <w:r>
              <w:rPr>
                <w:rFonts w:ascii="Arial" w:cs="Arial" w:eastAsia="Arial" w:hAnsi="Arial"/>
                <w:sz w:val="14"/>
                <w:szCs w:val="14"/>
                <w:color w:val="auto"/>
              </w:rPr>
              <w:t>(9,766)</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(19,308)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860" w:type="dxa"/>
            <w:vAlign w:val="bottom"/>
          </w:tcPr>
          <w:p>
            <w:pPr>
              <w:spacing w:after="0"/>
              <w:rPr>
                <w:sz w:val="12"/>
                <w:szCs w:val="12"/>
                <w:color w:val="auto"/>
              </w:rPr>
            </w:pPr>
          </w:p>
        </w:tc>
        <w:tc>
          <w:tcPr>
            <w:tcW w:w="1360" w:type="dxa"/>
            <w:vAlign w:val="bottom"/>
          </w:tcPr>
          <w:p>
            <w:pPr>
              <w:jc w:val="right"/>
              <w:ind w:right="709"/>
              <w:spacing w:after="0" w:line="149" w:lineRule="exact"/>
              <w:rPr>
                <w:sz w:val="20"/>
                <w:szCs w:val="20"/>
                <w:color w:val="auto"/>
              </w:rPr>
            </w:pPr>
            <w:r>
              <w:rPr>
                <w:rFonts w:ascii="Arial" w:cs="Arial" w:eastAsia="Arial" w:hAnsi="Arial"/>
                <w:sz w:val="14"/>
                <w:szCs w:val="14"/>
                <w:b w:val="1"/>
                <w:bCs w:val="1"/>
                <w:color w:val="auto"/>
              </w:rPr>
              <w:t>1,622</w:t>
            </w:r>
          </w:p>
        </w:tc>
        <w:tc>
          <w:tcPr>
            <w:tcW w:w="1180" w:type="dxa"/>
            <w:vAlign w:val="bottom"/>
          </w:tcPr>
          <w:p>
            <w:pPr>
              <w:spacing w:after="0"/>
              <w:rPr>
                <w:sz w:val="12"/>
                <w:szCs w:val="12"/>
                <w:color w:val="auto"/>
              </w:rPr>
            </w:pPr>
          </w:p>
        </w:tc>
        <w:tc>
          <w:tcPr>
            <w:tcW w:w="1380" w:type="dxa"/>
            <w:vAlign w:val="bottom"/>
          </w:tcPr>
          <w:p>
            <w:pPr>
              <w:jc w:val="right"/>
              <w:ind w:right="729"/>
              <w:spacing w:after="0" w:line="149" w:lineRule="exact"/>
              <w:rPr>
                <w:sz w:val="20"/>
                <w:szCs w:val="20"/>
                <w:color w:val="auto"/>
              </w:rPr>
            </w:pPr>
            <w:r>
              <w:rPr>
                <w:rFonts w:ascii="Arial" w:cs="Arial" w:eastAsia="Arial" w:hAnsi="Arial"/>
                <w:sz w:val="14"/>
                <w:szCs w:val="14"/>
                <w:color w:val="auto"/>
              </w:rPr>
              <w:t>953</w:t>
            </w:r>
          </w:p>
        </w:tc>
        <w:tc>
          <w:tcPr>
            <w:tcW w:w="840" w:type="dxa"/>
            <w:vAlign w:val="bottom"/>
          </w:tcPr>
          <w:p>
            <w:pPr>
              <w:spacing w:after="0"/>
              <w:rPr>
                <w:sz w:val="12"/>
                <w:szCs w:val="12"/>
                <w:color w:val="auto"/>
              </w:rPr>
            </w:pPr>
          </w:p>
        </w:tc>
        <w:tc>
          <w:tcPr>
            <w:tcW w:w="116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(28,032)</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689"/>
              <w:spacing w:after="0" w:line="149" w:lineRule="exact"/>
              <w:rPr>
                <w:sz w:val="20"/>
                <w:szCs w:val="20"/>
                <w:color w:val="auto"/>
              </w:rPr>
            </w:pPr>
            <w:r>
              <w:rPr>
                <w:rFonts w:ascii="Arial" w:cs="Arial" w:eastAsia="Arial" w:hAnsi="Arial"/>
                <w:sz w:val="14"/>
                <w:szCs w:val="14"/>
                <w:color w:val="auto"/>
              </w:rPr>
              <w:t>(27,804)</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(33,819)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Other income (expense), net</w:t>
            </w:r>
          </w:p>
        </w:tc>
        <w:tc>
          <w:tcPr>
            <w:tcW w:w="8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b w:val="1"/>
                <w:bCs w:val="1"/>
                <w:color w:val="auto"/>
              </w:rPr>
              <w:t>8,127</w:t>
            </w:r>
          </w:p>
        </w:tc>
        <w:tc>
          <w:tcPr>
            <w:tcW w:w="1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9"/>
              <w:spacing w:after="0" w:line="149" w:lineRule="exact"/>
              <w:rPr>
                <w:sz w:val="20"/>
                <w:szCs w:val="20"/>
                <w:color w:val="auto"/>
              </w:rPr>
            </w:pPr>
            <w:r>
              <w:rPr>
                <w:rFonts w:ascii="Arial" w:cs="Arial" w:eastAsia="Arial" w:hAnsi="Arial"/>
                <w:sz w:val="14"/>
                <w:szCs w:val="14"/>
                <w:color w:val="auto"/>
              </w:rPr>
              <w:t>55,385</w:t>
            </w: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28,873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Income Before Income Taxes and Cumulative Effect of Change in</w:t>
            </w:r>
          </w:p>
        </w:tc>
        <w:tc>
          <w:tcPr>
            <w:tcW w:w="86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ind w:right="709"/>
              <w:spacing w:after="0"/>
              <w:rPr>
                <w:sz w:val="20"/>
                <w:szCs w:val="20"/>
                <w:color w:val="auto"/>
              </w:rPr>
            </w:pPr>
            <w:r>
              <w:rPr>
                <w:rFonts w:ascii="Arial" w:cs="Arial" w:eastAsia="Arial" w:hAnsi="Arial"/>
                <w:sz w:val="14"/>
                <w:szCs w:val="14"/>
                <w:b w:val="1"/>
                <w:bCs w:val="1"/>
                <w:color w:val="auto"/>
              </w:rPr>
              <w:t>542,432</w:t>
            </w:r>
          </w:p>
        </w:tc>
        <w:tc>
          <w:tcPr>
            <w:tcW w:w="11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Accounting Principle</w:t>
            </w:r>
          </w:p>
        </w:tc>
        <w:tc>
          <w:tcPr>
            <w:tcW w:w="86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rPr>
              <w:t>382,588</w:t>
            </w:r>
          </w:p>
        </w:tc>
        <w:tc>
          <w:tcPr>
            <w:tcW w:w="8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353,668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Provision for Income Taxes</w:t>
            </w:r>
          </w:p>
        </w:tc>
        <w:tc>
          <w:tcPr>
            <w:tcW w:w="8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b w:val="1"/>
                <w:bCs w:val="1"/>
                <w:color w:val="auto"/>
              </w:rPr>
              <w:t>209,700</w:t>
            </w:r>
          </w:p>
        </w:tc>
        <w:tc>
          <w:tcPr>
            <w:tcW w:w="1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9"/>
              <w:spacing w:after="0" w:line="149" w:lineRule="exact"/>
              <w:rPr>
                <w:sz w:val="20"/>
                <w:szCs w:val="20"/>
                <w:color w:val="auto"/>
              </w:rPr>
            </w:pPr>
            <w:r>
              <w:rPr>
                <w:rFonts w:ascii="Arial" w:cs="Arial" w:eastAsia="Arial" w:hAnsi="Arial"/>
                <w:sz w:val="14"/>
                <w:szCs w:val="14"/>
                <w:color w:val="auto"/>
              </w:rPr>
              <w:t>141,500</w:t>
            </w: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137,300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Cumulative Effect of Change in Accounting Principle</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332,732</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241,088</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216,368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Cumulative Effect of Change in Method of Accounting for Goodwill</w:t>
            </w:r>
          </w:p>
        </w:tc>
        <w:tc>
          <w:tcPr>
            <w:tcW w:w="860" w:type="dxa"/>
            <w:vAlign w:val="bottom"/>
          </w:tcPr>
          <w:p>
            <w:pPr>
              <w:spacing w:after="0"/>
              <w:rPr>
                <w:sz w:val="10"/>
                <w:szCs w:val="10"/>
                <w:color w:val="auto"/>
              </w:rPr>
            </w:pPr>
          </w:p>
        </w:tc>
        <w:tc>
          <w:tcPr>
            <w:tcW w:w="1360" w:type="dxa"/>
            <w:vAlign w:val="bottom"/>
            <w:vMerge w:val="restart"/>
          </w:tcPr>
          <w:p>
            <w:pPr>
              <w:jc w:val="right"/>
              <w:ind w:right="70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and Other Intangible Assets, Net of Taxes</w:t>
            </w:r>
          </w:p>
        </w:tc>
        <w:tc>
          <w:tcPr>
            <w:tcW w:w="8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332,732</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241,088</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204,268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Redeemable Preferred Stock Dividends</w:t>
            </w:r>
          </w:p>
        </w:tc>
        <w:tc>
          <w:tcPr>
            <w:tcW w:w="8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49"/>
              <w:spacing w:after="0" w:line="149" w:lineRule="exact"/>
              <w:rPr>
                <w:sz w:val="20"/>
                <w:szCs w:val="20"/>
                <w:color w:val="auto"/>
              </w:rPr>
            </w:pPr>
            <w:r>
              <w:rPr>
                <w:rFonts w:ascii="Arial" w:cs="Arial" w:eastAsia="Arial" w:hAnsi="Arial"/>
                <w:sz w:val="14"/>
                <w:szCs w:val="14"/>
                <w:b w:val="1"/>
                <w:bCs w:val="1"/>
                <w:color w:val="auto"/>
              </w:rPr>
              <w:t>(992)</w:t>
            </w:r>
          </w:p>
        </w:tc>
        <w:tc>
          <w:tcPr>
            <w:tcW w:w="1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9"/>
              <w:spacing w:after="0" w:line="149" w:lineRule="exact"/>
              <w:rPr>
                <w:sz w:val="20"/>
                <w:szCs w:val="20"/>
                <w:color w:val="auto"/>
              </w:rPr>
            </w:pPr>
            <w:r>
              <w:rPr>
                <w:rFonts w:ascii="Arial" w:cs="Arial" w:eastAsia="Arial" w:hAnsi="Arial"/>
                <w:sz w:val="14"/>
                <w:szCs w:val="14"/>
                <w:color w:val="auto"/>
              </w:rPr>
              <w:t>(1,027)</w:t>
            </w: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69"/>
              <w:spacing w:after="0" w:line="149" w:lineRule="exact"/>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Available for Common Shares</w:t>
            </w:r>
          </w:p>
        </w:tc>
        <w:tc>
          <w:tcPr>
            <w:tcW w:w="8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331,740</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240,061</w:t>
            </w:r>
          </w:p>
        </w:tc>
        <w:tc>
          <w:tcPr>
            <w:tcW w:w="840" w:type="dxa"/>
            <w:vAlign w:val="bottom"/>
            <w:tcBorders>
              <w:bottom w:val="single" w:sz="8" w:color="auto"/>
            </w:tcBorders>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203,235</w:t>
            </w: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Basic Earnings per Common Share:</w:t>
            </w: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6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Before Cumulative Effect of Change in Accounting Principle</w:t>
            </w:r>
          </w:p>
        </w:tc>
        <w:tc>
          <w:tcPr>
            <w:tcW w:w="86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w w:val="71"/>
              </w:rPr>
              <w:t>$</w:t>
            </w:r>
          </w:p>
        </w:tc>
        <w:tc>
          <w:tcPr>
            <w:tcW w:w="136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34.69</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25.19</w:t>
            </w:r>
          </w:p>
        </w:tc>
        <w:tc>
          <w:tcPr>
            <w:tcW w:w="84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Cumulative Effect of Change in Accounting Principle</w:t>
            </w:r>
          </w:p>
        </w:tc>
        <w:tc>
          <w:tcPr>
            <w:tcW w:w="8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9"/>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69"/>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Available for Common Shares</w:t>
            </w:r>
          </w:p>
        </w:tc>
        <w:tc>
          <w:tcPr>
            <w:tcW w:w="8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34.69</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25.19</w:t>
            </w:r>
          </w:p>
        </w:tc>
        <w:tc>
          <w:tcPr>
            <w:tcW w:w="840" w:type="dxa"/>
            <w:vAlign w:val="bottom"/>
            <w:tcBorders>
              <w:bottom w:val="single" w:sz="8" w:color="auto"/>
            </w:tcBorders>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6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Before Cumulative Effect of Change in Accounting Principle</w:t>
            </w:r>
          </w:p>
        </w:tc>
        <w:tc>
          <w:tcPr>
            <w:tcW w:w="86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w w:val="71"/>
              </w:rPr>
              <w:t>$</w:t>
            </w:r>
          </w:p>
        </w:tc>
        <w:tc>
          <w:tcPr>
            <w:tcW w:w="136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34.59</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25.12</w:t>
            </w:r>
          </w:p>
        </w:tc>
        <w:tc>
          <w:tcPr>
            <w:tcW w:w="84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Cumulative Effect of Change in Accounting Principle</w:t>
            </w:r>
          </w:p>
        </w:tc>
        <w:tc>
          <w:tcPr>
            <w:tcW w:w="8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9"/>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69"/>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Available for Common Shares</w:t>
            </w:r>
          </w:p>
        </w:tc>
        <w:tc>
          <w:tcPr>
            <w:tcW w:w="8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CEEFF"/>
          </w:tcPr>
          <w:p>
            <w:pPr>
              <w:jc w:val="right"/>
              <w:ind w:right="709"/>
              <w:spacing w:after="0" w:line="149" w:lineRule="exact"/>
              <w:rPr>
                <w:sz w:val="20"/>
                <w:szCs w:val="20"/>
                <w:color w:val="auto"/>
              </w:rPr>
            </w:pPr>
            <w:r>
              <w:rPr>
                <w:rFonts w:ascii="Arial" w:cs="Arial" w:eastAsia="Arial" w:hAnsi="Arial"/>
                <w:sz w:val="14"/>
                <w:szCs w:val="14"/>
                <w:b w:val="1"/>
                <w:bCs w:val="1"/>
                <w:color w:val="auto"/>
              </w:rPr>
              <w:t>34.59</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729"/>
              <w:spacing w:after="0" w:line="149" w:lineRule="exact"/>
              <w:rPr>
                <w:sz w:val="20"/>
                <w:szCs w:val="20"/>
                <w:color w:val="auto"/>
              </w:rPr>
            </w:pPr>
            <w:r>
              <w:rPr>
                <w:rFonts w:ascii="Arial" w:cs="Arial" w:eastAsia="Arial" w:hAnsi="Arial"/>
                <w:sz w:val="14"/>
                <w:szCs w:val="14"/>
                <w:color w:val="auto"/>
              </w:rPr>
              <w:t>25.12</w:t>
            </w:r>
          </w:p>
        </w:tc>
        <w:tc>
          <w:tcPr>
            <w:tcW w:w="840" w:type="dxa"/>
            <w:vAlign w:val="bottom"/>
            <w:tcBorders>
              <w:bottom w:val="single" w:sz="8" w:color="auto"/>
            </w:tcBorders>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Borders>
              <w:bottom w:val="single" w:sz="8" w:color="auto"/>
            </w:tcBorders>
            <w:gridSpan w:val="3"/>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8020" w:type="dxa"/>
            <w:vAlign w:val="bottom"/>
            <w:gridSpan w:val="5"/>
          </w:tcPr>
          <w:p>
            <w:pPr>
              <w:ind w:left="3520"/>
              <w:spacing w:after="0"/>
              <w:rPr>
                <w:sz w:val="20"/>
                <w:szCs w:val="20"/>
                <w:color w:val="auto"/>
              </w:rPr>
            </w:pPr>
            <w:r>
              <w:rPr>
                <w:rFonts w:ascii="Arial" w:cs="Arial" w:eastAsia="Arial" w:hAnsi="Arial"/>
                <w:sz w:val="14"/>
                <w:szCs w:val="14"/>
                <w:b w:val="1"/>
                <w:bCs w:val="1"/>
                <w:color w:val="auto"/>
              </w:rPr>
              <w:t>CONSOLIDATED STATEMENTS OF COMPREHENSIVE INCOME</w:t>
            </w: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889"/>
              <w:spacing w:after="0"/>
              <w:rPr>
                <w:sz w:val="20"/>
                <w:szCs w:val="20"/>
                <w:color w:val="auto"/>
              </w:rPr>
            </w:pPr>
            <w:r>
              <w:rPr>
                <w:rFonts w:ascii="Arial" w:cs="Arial" w:eastAsia="Arial" w:hAnsi="Arial"/>
                <w:sz w:val="13"/>
                <w:szCs w:val="13"/>
                <w:color w:val="auto"/>
              </w:rPr>
              <w:t>Fiscal year ended</w:t>
            </w: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2"/>
          </w:tcPr>
          <w:p>
            <w:pPr>
              <w:ind w:left="780"/>
              <w:spacing w:after="0" w:line="124" w:lineRule="exact"/>
              <w:rPr>
                <w:sz w:val="20"/>
                <w:szCs w:val="20"/>
                <w:color w:val="auto"/>
              </w:rPr>
            </w:pPr>
            <w:r>
              <w:rPr>
                <w:rFonts w:ascii="Arial" w:cs="Arial" w:eastAsia="Arial" w:hAnsi="Arial"/>
                <w:sz w:val="13"/>
                <w:szCs w:val="13"/>
                <w:b w:val="1"/>
                <w:bCs w:val="1"/>
                <w:color w:val="auto"/>
              </w:rPr>
              <w:t>January 2,</w:t>
            </w:r>
          </w:p>
        </w:tc>
        <w:tc>
          <w:tcPr>
            <w:tcW w:w="2560" w:type="dxa"/>
            <w:vAlign w:val="bottom"/>
            <w:gridSpan w:val="2"/>
          </w:tcPr>
          <w:p>
            <w:pPr>
              <w:jc w:val="right"/>
              <w:ind w:right="749"/>
              <w:spacing w:after="0" w:line="124" w:lineRule="exact"/>
              <w:rPr>
                <w:sz w:val="20"/>
                <w:szCs w:val="20"/>
                <w:color w:val="auto"/>
              </w:rPr>
            </w:pPr>
            <w:r>
              <w:rPr>
                <w:rFonts w:ascii="Arial" w:cs="Arial" w:eastAsia="Arial" w:hAnsi="Arial"/>
                <w:sz w:val="13"/>
                <w:szCs w:val="13"/>
                <w:color w:val="auto"/>
              </w:rPr>
              <w:t>December 28,</w:t>
            </w:r>
          </w:p>
        </w:tc>
        <w:tc>
          <w:tcPr>
            <w:tcW w:w="2000" w:type="dxa"/>
            <w:vAlign w:val="bottom"/>
            <w:gridSpan w:val="2"/>
          </w:tcPr>
          <w:p>
            <w:pPr>
              <w:ind w:left="780"/>
              <w:spacing w:after="0" w:line="124" w:lineRule="exact"/>
              <w:rPr>
                <w:sz w:val="20"/>
                <w:szCs w:val="20"/>
                <w:color w:val="auto"/>
              </w:rPr>
            </w:pPr>
            <w:r>
              <w:rPr>
                <w:rFonts w:ascii="Arial" w:cs="Arial" w:eastAsia="Arial" w:hAnsi="Arial"/>
                <w:sz w:val="13"/>
                <w:szCs w:val="13"/>
                <w:color w:val="auto"/>
              </w:rPr>
              <w:t>December 29,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20" w:type="dxa"/>
            <w:vAlign w:val="bottom"/>
            <w:tcBorders>
              <w:bottom w:val="single" w:sz="8" w:color="auto"/>
            </w:tcBorders>
            <w:gridSpan w:val="2"/>
          </w:tcPr>
          <w:p>
            <w:pPr>
              <w:ind w:left="1760"/>
              <w:spacing w:after="0"/>
              <w:rPr>
                <w:sz w:val="20"/>
                <w:szCs w:val="20"/>
                <w:color w:val="auto"/>
              </w:rPr>
            </w:pPr>
            <w:r>
              <w:rPr>
                <w:rFonts w:ascii="Arial" w:cs="Arial" w:eastAsia="Arial" w:hAnsi="Arial"/>
                <w:sz w:val="13"/>
                <w:szCs w:val="13"/>
                <w:b w:val="1"/>
                <w:bCs w:val="1"/>
                <w:color w:val="auto"/>
              </w:rPr>
              <w:t>(in thousands)</w:t>
            </w:r>
          </w:p>
        </w:tc>
        <w:tc>
          <w:tcPr>
            <w:tcW w:w="8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949"/>
              <w:spacing w:after="0"/>
              <w:rPr>
                <w:sz w:val="20"/>
                <w:szCs w:val="20"/>
                <w:color w:val="auto"/>
              </w:rPr>
            </w:pPr>
            <w:r>
              <w:rPr>
                <w:rFonts w:ascii="Arial" w:cs="Arial" w:eastAsia="Arial" w:hAnsi="Arial"/>
                <w:sz w:val="13"/>
                <w:szCs w:val="13"/>
                <w:b w:val="1"/>
                <w:bCs w:val="1"/>
                <w:color w:val="auto"/>
              </w:rPr>
              <w:t>2005</w:t>
            </w:r>
          </w:p>
        </w:tc>
        <w:tc>
          <w:tcPr>
            <w:tcW w:w="1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89"/>
              <w:spacing w:after="0"/>
              <w:rPr>
                <w:sz w:val="20"/>
                <w:szCs w:val="20"/>
                <w:color w:val="auto"/>
              </w:rPr>
            </w:pPr>
            <w:r>
              <w:rPr>
                <w:rFonts w:ascii="Arial" w:cs="Arial" w:eastAsia="Arial" w:hAnsi="Arial"/>
                <w:sz w:val="13"/>
                <w:szCs w:val="13"/>
                <w:color w:val="auto"/>
              </w:rPr>
              <w:t>2003</w:t>
            </w: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69"/>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220" w:type="dxa"/>
            <w:vAlign w:val="bottom"/>
            <w:gridSpan w:val="2"/>
            <w:shd w:val="clear" w:color="auto" w:fill="CCEEFF"/>
          </w:tcPr>
          <w:p>
            <w:pPr>
              <w:jc w:val="right"/>
              <w:ind w:right="789"/>
              <w:spacing w:after="0" w:line="149" w:lineRule="exact"/>
              <w:rPr>
                <w:sz w:val="20"/>
                <w:szCs w:val="20"/>
                <w:color w:val="auto"/>
              </w:rPr>
            </w:pPr>
            <w:r>
              <w:rPr>
                <w:rFonts w:ascii="Arial" w:cs="Arial" w:eastAsia="Arial" w:hAnsi="Arial"/>
                <w:sz w:val="14"/>
                <w:szCs w:val="14"/>
                <w:b w:val="1"/>
                <w:bCs w:val="1"/>
                <w:color w:val="auto"/>
              </w:rPr>
              <w:t>$ 332,732</w:t>
            </w:r>
          </w:p>
        </w:tc>
        <w:tc>
          <w:tcPr>
            <w:tcW w:w="2560" w:type="dxa"/>
            <w:vAlign w:val="bottom"/>
            <w:gridSpan w:val="2"/>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$ 241,088</w:t>
            </w:r>
          </w:p>
        </w:tc>
        <w:tc>
          <w:tcPr>
            <w:tcW w:w="2000" w:type="dxa"/>
            <w:vAlign w:val="bottom"/>
            <w:gridSpan w:val="2"/>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$ 204,268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currency translation adjustments</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89"/>
              <w:spacing w:after="0" w:line="149" w:lineRule="exact"/>
              <w:rPr>
                <w:sz w:val="20"/>
                <w:szCs w:val="20"/>
                <w:color w:val="auto"/>
              </w:rPr>
            </w:pPr>
            <w:r>
              <w:rPr>
                <w:rFonts w:ascii="Arial" w:cs="Arial" w:eastAsia="Arial" w:hAnsi="Arial"/>
                <w:sz w:val="14"/>
                <w:szCs w:val="14"/>
                <w:b w:val="1"/>
                <w:bCs w:val="1"/>
                <w:color w:val="auto"/>
              </w:rPr>
              <w:t>9,601</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13,416</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Reclassification adjustment on sale of affiliate investment</w:t>
            </w:r>
          </w:p>
        </w:tc>
        <w:tc>
          <w:tcPr>
            <w:tcW w:w="860" w:type="dxa"/>
            <w:vAlign w:val="bottom"/>
          </w:tcPr>
          <w:p>
            <w:pPr>
              <w:spacing w:after="0"/>
              <w:rPr>
                <w:sz w:val="12"/>
                <w:szCs w:val="12"/>
                <w:color w:val="auto"/>
              </w:rPr>
            </w:pPr>
          </w:p>
        </w:tc>
        <w:tc>
          <w:tcPr>
            <w:tcW w:w="1360" w:type="dxa"/>
            <w:vAlign w:val="bottom"/>
          </w:tcPr>
          <w:p>
            <w:pPr>
              <w:jc w:val="right"/>
              <w:ind w:right="789"/>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2"/>
                <w:szCs w:val="12"/>
                <w:color w:val="auto"/>
              </w:rPr>
            </w:pPr>
          </w:p>
        </w:tc>
        <w:tc>
          <w:tcPr>
            <w:tcW w:w="1380" w:type="dxa"/>
            <w:vAlign w:val="bottom"/>
          </w:tcPr>
          <w:p>
            <w:pPr>
              <w:jc w:val="right"/>
              <w:ind w:right="769"/>
              <w:spacing w:after="0" w:line="149" w:lineRule="exact"/>
              <w:rPr>
                <w:sz w:val="20"/>
                <w:szCs w:val="20"/>
                <w:color w:val="auto"/>
              </w:rPr>
            </w:pPr>
            <w:r>
              <w:rPr>
                <w:rFonts w:ascii="Arial" w:cs="Arial" w:eastAsia="Arial" w:hAnsi="Arial"/>
                <w:sz w:val="14"/>
                <w:szCs w:val="14"/>
                <w:color w:val="auto"/>
              </w:rPr>
              <w:t>(1,633)</w:t>
            </w:r>
          </w:p>
        </w:tc>
        <w:tc>
          <w:tcPr>
            <w:tcW w:w="840" w:type="dxa"/>
            <w:vAlign w:val="bottom"/>
          </w:tcPr>
          <w:p>
            <w:pPr>
              <w:spacing w:after="0"/>
              <w:rPr>
                <w:sz w:val="12"/>
                <w:szCs w:val="12"/>
                <w:color w:val="auto"/>
              </w:rPr>
            </w:pPr>
          </w:p>
        </w:tc>
        <w:tc>
          <w:tcPr>
            <w:tcW w:w="11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net unrealized gain on available-for-sale securities</w:t>
            </w: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89"/>
              <w:spacing w:after="0" w:line="149" w:lineRule="exact"/>
              <w:rPr>
                <w:sz w:val="20"/>
                <w:szCs w:val="20"/>
                <w:color w:val="auto"/>
              </w:rPr>
            </w:pPr>
            <w:r>
              <w:rPr>
                <w:rFonts w:ascii="Arial" w:cs="Arial" w:eastAsia="Arial" w:hAnsi="Arial"/>
                <w:sz w:val="14"/>
                <w:szCs w:val="14"/>
                <w:b w:val="1"/>
                <w:bCs w:val="1"/>
                <w:color w:val="auto"/>
              </w:rPr>
              <w:t>63,022</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31,426</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2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Less reclassification adjustment for realized (gains) losses included</w:t>
            </w:r>
          </w:p>
        </w:tc>
        <w:tc>
          <w:tcPr>
            <w:tcW w:w="860" w:type="dxa"/>
            <w:vAlign w:val="bottom"/>
          </w:tcPr>
          <w:p>
            <w:pPr>
              <w:spacing w:after="0"/>
              <w:rPr>
                <w:sz w:val="11"/>
                <w:szCs w:val="11"/>
                <w:color w:val="auto"/>
              </w:rPr>
            </w:pPr>
          </w:p>
        </w:tc>
        <w:tc>
          <w:tcPr>
            <w:tcW w:w="1360" w:type="dxa"/>
            <w:vAlign w:val="bottom"/>
            <w:vMerge w:val="restart"/>
          </w:tcPr>
          <w:p>
            <w:pPr>
              <w:jc w:val="right"/>
              <w:ind w:right="749"/>
              <w:spacing w:after="0"/>
              <w:rPr>
                <w:sz w:val="20"/>
                <w:szCs w:val="20"/>
                <w:color w:val="auto"/>
              </w:rPr>
            </w:pPr>
            <w:r>
              <w:rPr>
                <w:rFonts w:ascii="Arial" w:cs="Arial" w:eastAsia="Arial" w:hAnsi="Arial"/>
                <w:sz w:val="14"/>
                <w:szCs w:val="14"/>
                <w:b w:val="1"/>
                <w:bCs w:val="1"/>
                <w:color w:val="auto"/>
              </w:rPr>
              <w:t>(202)</w:t>
            </w:r>
          </w:p>
        </w:tc>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gridSpan w:val="2"/>
          </w:tcPr>
          <w:p>
            <w:pPr>
              <w:ind w:left="420"/>
              <w:spacing w:after="0"/>
              <w:rPr>
                <w:sz w:val="20"/>
                <w:szCs w:val="20"/>
                <w:color w:val="auto"/>
              </w:rPr>
            </w:pPr>
            <w:r>
              <w:rPr>
                <w:rFonts w:ascii="Arial" w:cs="Arial" w:eastAsia="Arial" w:hAnsi="Arial"/>
                <w:sz w:val="14"/>
                <w:szCs w:val="14"/>
                <w:color w:val="auto"/>
              </w:rPr>
              <w:t>in net income</w:t>
            </w:r>
          </w:p>
        </w:tc>
        <w:tc>
          <w:tcPr>
            <w:tcW w:w="8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jc w:val="right"/>
              <w:ind w:right="829"/>
              <w:spacing w:after="0"/>
              <w:rPr>
                <w:sz w:val="20"/>
                <w:szCs w:val="20"/>
                <w:color w:val="auto"/>
              </w:rPr>
            </w:pPr>
            <w:r>
              <w:rPr>
                <w:rFonts w:ascii="Arial" w:cs="Arial" w:eastAsia="Arial" w:hAnsi="Arial"/>
                <w:sz w:val="14"/>
                <w:szCs w:val="14"/>
                <w:color w:val="auto"/>
              </w:rPr>
              <w:t>214</w:t>
            </w:r>
          </w:p>
        </w:tc>
        <w:tc>
          <w:tcPr>
            <w:tcW w:w="840" w:type="dxa"/>
            <w:vAlign w:val="bottom"/>
          </w:tcPr>
          <w:p>
            <w:pPr>
              <w:spacing w:after="0"/>
              <w:rPr>
                <w:sz w:val="14"/>
                <w:szCs w:val="14"/>
                <w:color w:val="auto"/>
              </w:rPr>
            </w:pPr>
          </w:p>
        </w:tc>
        <w:tc>
          <w:tcPr>
            <w:tcW w:w="1160" w:type="dxa"/>
            <w:vAlign w:val="bottom"/>
          </w:tcPr>
          <w:p>
            <w:pPr>
              <w:jc w:val="right"/>
              <w:ind w:right="509"/>
              <w:spacing w:after="0"/>
              <w:rPr>
                <w:sz w:val="20"/>
                <w:szCs w:val="20"/>
                <w:color w:val="auto"/>
              </w:rPr>
            </w:pPr>
            <w:r>
              <w:rPr>
                <w:rFonts w:ascii="Arial" w:cs="Arial" w:eastAsia="Arial" w:hAnsi="Arial"/>
                <w:sz w:val="14"/>
                <w:szCs w:val="14"/>
                <w:color w:val="auto"/>
              </w:rPr>
              <w:t>(11,209)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89"/>
              <w:spacing w:after="0" w:line="149" w:lineRule="exact"/>
              <w:rPr>
                <w:sz w:val="20"/>
                <w:szCs w:val="20"/>
                <w:color w:val="auto"/>
              </w:rPr>
            </w:pPr>
            <w:r>
              <w:rPr>
                <w:rFonts w:ascii="Arial" w:cs="Arial" w:eastAsia="Arial" w:hAnsi="Arial"/>
                <w:sz w:val="14"/>
                <w:szCs w:val="14"/>
                <w:b w:val="1"/>
                <w:bCs w:val="1"/>
                <w:color w:val="auto"/>
              </w:rPr>
              <w:t>72,421</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43,423</w:t>
            </w: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(8,213)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2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Income tax (expense) benefit related to other comprehensive income</w:t>
            </w:r>
          </w:p>
        </w:tc>
        <w:tc>
          <w:tcPr>
            <w:tcW w:w="860" w:type="dxa"/>
            <w:vAlign w:val="bottom"/>
          </w:tcPr>
          <w:p>
            <w:pPr>
              <w:spacing w:after="0"/>
              <w:rPr>
                <w:sz w:val="11"/>
                <w:szCs w:val="11"/>
                <w:color w:val="auto"/>
              </w:rPr>
            </w:pPr>
          </w:p>
        </w:tc>
        <w:tc>
          <w:tcPr>
            <w:tcW w:w="1360" w:type="dxa"/>
            <w:vAlign w:val="bottom"/>
            <w:vMerge w:val="restart"/>
          </w:tcPr>
          <w:p>
            <w:pPr>
              <w:jc w:val="right"/>
              <w:ind w:right="749"/>
              <w:spacing w:after="0"/>
              <w:rPr>
                <w:sz w:val="20"/>
                <w:szCs w:val="20"/>
                <w:color w:val="auto"/>
              </w:rPr>
            </w:pPr>
            <w:r>
              <w:rPr>
                <w:rFonts w:ascii="Arial" w:cs="Arial" w:eastAsia="Arial" w:hAnsi="Arial"/>
                <w:sz w:val="14"/>
                <w:szCs w:val="14"/>
                <w:b w:val="1"/>
                <w:bCs w:val="1"/>
                <w:color w:val="auto"/>
                <w:w w:val="99"/>
              </w:rPr>
              <w:t>(24,577)</w:t>
            </w:r>
          </w:p>
        </w:tc>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gridSpan w:val="2"/>
          </w:tcPr>
          <w:p>
            <w:pPr>
              <w:ind w:left="420"/>
              <w:spacing w:after="0"/>
              <w:rPr>
                <w:sz w:val="20"/>
                <w:szCs w:val="20"/>
                <w:color w:val="auto"/>
              </w:rPr>
            </w:pPr>
            <w:r>
              <w:rPr>
                <w:rFonts w:ascii="Arial" w:cs="Arial" w:eastAsia="Arial" w:hAnsi="Arial"/>
                <w:sz w:val="14"/>
                <w:szCs w:val="14"/>
                <w:color w:val="auto"/>
              </w:rPr>
              <w:t>(loss)</w:t>
            </w:r>
          </w:p>
        </w:tc>
        <w:tc>
          <w:tcPr>
            <w:tcW w:w="8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jc w:val="right"/>
              <w:ind w:right="769"/>
              <w:spacing w:after="0"/>
              <w:rPr>
                <w:sz w:val="20"/>
                <w:szCs w:val="20"/>
                <w:color w:val="auto"/>
              </w:rPr>
            </w:pPr>
            <w:r>
              <w:rPr>
                <w:rFonts w:ascii="Arial" w:cs="Arial" w:eastAsia="Arial" w:hAnsi="Arial"/>
                <w:sz w:val="14"/>
                <w:szCs w:val="14"/>
                <w:color w:val="auto"/>
                <w:w w:val="99"/>
              </w:rPr>
              <w:t>(12,348)</w:t>
            </w:r>
          </w:p>
        </w:tc>
        <w:tc>
          <w:tcPr>
            <w:tcW w:w="840" w:type="dxa"/>
            <w:vAlign w:val="bottom"/>
          </w:tcPr>
          <w:p>
            <w:pPr>
              <w:spacing w:after="0"/>
              <w:rPr>
                <w:sz w:val="14"/>
                <w:szCs w:val="14"/>
                <w:color w:val="auto"/>
              </w:rPr>
            </w:pPr>
          </w:p>
        </w:tc>
        <w:tc>
          <w:tcPr>
            <w:tcW w:w="1160" w:type="dxa"/>
            <w:vAlign w:val="bottom"/>
          </w:tcPr>
          <w:p>
            <w:pPr>
              <w:jc w:val="right"/>
              <w:ind w:right="569"/>
              <w:spacing w:after="0"/>
              <w:rPr>
                <w:sz w:val="20"/>
                <w:szCs w:val="20"/>
                <w:color w:val="auto"/>
              </w:rPr>
            </w:pPr>
            <w:r>
              <w:rPr>
                <w:rFonts w:ascii="Arial" w:cs="Arial" w:eastAsia="Arial" w:hAnsi="Arial"/>
                <w:sz w:val="14"/>
                <w:szCs w:val="14"/>
                <w:color w:val="auto"/>
              </w:rPr>
              <w:t>4,012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789"/>
              <w:spacing w:after="0" w:line="149" w:lineRule="exact"/>
              <w:rPr>
                <w:sz w:val="20"/>
                <w:szCs w:val="20"/>
                <w:color w:val="auto"/>
              </w:rPr>
            </w:pPr>
            <w:r>
              <w:rPr>
                <w:rFonts w:ascii="Arial" w:cs="Arial" w:eastAsia="Arial" w:hAnsi="Arial"/>
                <w:sz w:val="14"/>
                <w:szCs w:val="14"/>
                <w:b w:val="1"/>
                <w:bCs w:val="1"/>
                <w:color w:val="auto"/>
              </w:rPr>
              <w:t>47,844</w:t>
            </w:r>
          </w:p>
        </w:tc>
        <w:tc>
          <w:tcPr>
            <w:tcW w:w="11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31,075</w:t>
            </w:r>
          </w:p>
        </w:tc>
        <w:tc>
          <w:tcPr>
            <w:tcW w:w="8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(4,201)</w:t>
            </w:r>
          </w:p>
        </w:tc>
        <w:tc>
          <w:tcPr>
            <w:tcW w:w="0" w:type="dxa"/>
            <w:vAlign w:val="bottom"/>
          </w:tcPr>
          <w:p>
            <w:pPr>
              <w:spacing w:after="0"/>
              <w:rPr>
                <w:sz w:val="1"/>
                <w:szCs w:val="1"/>
                <w:color w:val="auto"/>
              </w:rPr>
            </w:pPr>
          </w:p>
        </w:tc>
      </w:tr>
      <w:tr>
        <w:trPr>
          <w:trHeight w:val="21"/>
        </w:trPr>
        <w:tc>
          <w:tcPr>
            <w:tcW w:w="46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Comprehensive Income</w:t>
            </w:r>
          </w:p>
        </w:tc>
        <w:tc>
          <w:tcPr>
            <w:tcW w:w="20" w:type="dxa"/>
            <w:vAlign w:val="bottom"/>
            <w:tcBorders>
              <w:top w:val="single" w:sz="8" w:color="auto"/>
              <w:bottom w:val="single" w:sz="8" w:color="auto"/>
            </w:tcBorders>
          </w:tcPr>
          <w:p>
            <w:pPr>
              <w:spacing w:after="0"/>
              <w:rPr>
                <w:sz w:val="13"/>
                <w:szCs w:val="13"/>
                <w:color w:val="auto"/>
              </w:rPr>
            </w:pPr>
          </w:p>
        </w:tc>
        <w:tc>
          <w:tcPr>
            <w:tcW w:w="2220" w:type="dxa"/>
            <w:vAlign w:val="bottom"/>
            <w:tcBorders>
              <w:top w:val="single" w:sz="8" w:color="auto"/>
              <w:bottom w:val="single" w:sz="8" w:color="auto"/>
            </w:tcBorders>
            <w:gridSpan w:val="2"/>
          </w:tcPr>
          <w:p>
            <w:pPr>
              <w:jc w:val="right"/>
              <w:ind w:right="789"/>
              <w:spacing w:after="0" w:line="155" w:lineRule="exact"/>
              <w:rPr>
                <w:sz w:val="20"/>
                <w:szCs w:val="20"/>
                <w:color w:val="auto"/>
              </w:rPr>
            </w:pPr>
            <w:r>
              <w:rPr>
                <w:rFonts w:ascii="Arial" w:cs="Arial" w:eastAsia="Arial" w:hAnsi="Arial"/>
                <w:sz w:val="14"/>
                <w:szCs w:val="14"/>
                <w:b w:val="1"/>
                <w:bCs w:val="1"/>
                <w:color w:val="auto"/>
              </w:rPr>
              <w:t>$380,576</w:t>
            </w:r>
          </w:p>
        </w:tc>
        <w:tc>
          <w:tcPr>
            <w:tcW w:w="2560" w:type="dxa"/>
            <w:vAlign w:val="bottom"/>
            <w:tcBorders>
              <w:top w:val="single" w:sz="8" w:color="auto"/>
              <w:bottom w:val="single" w:sz="8" w:color="auto"/>
            </w:tcBorders>
            <w:gridSpan w:val="2"/>
          </w:tcPr>
          <w:p>
            <w:pPr>
              <w:jc w:val="right"/>
              <w:ind w:right="809"/>
              <w:spacing w:after="0" w:line="155" w:lineRule="exact"/>
              <w:rPr>
                <w:sz w:val="20"/>
                <w:szCs w:val="20"/>
                <w:color w:val="auto"/>
              </w:rPr>
            </w:pPr>
            <w:r>
              <w:rPr>
                <w:rFonts w:ascii="Arial" w:cs="Arial" w:eastAsia="Arial" w:hAnsi="Arial"/>
                <w:sz w:val="14"/>
                <w:szCs w:val="14"/>
                <w:color w:val="auto"/>
              </w:rPr>
              <w:t>$272,163</w:t>
            </w:r>
          </w:p>
        </w:tc>
        <w:tc>
          <w:tcPr>
            <w:tcW w:w="2000" w:type="dxa"/>
            <w:vAlign w:val="bottom"/>
            <w:tcBorders>
              <w:top w:val="single" w:sz="8" w:color="auto"/>
              <w:bottom w:val="single" w:sz="8" w:color="auto"/>
            </w:tcBorders>
            <w:gridSpan w:val="2"/>
          </w:tcPr>
          <w:p>
            <w:pPr>
              <w:jc w:val="right"/>
              <w:ind w:right="569"/>
              <w:spacing w:after="0" w:line="155" w:lineRule="exact"/>
              <w:rPr>
                <w:sz w:val="20"/>
                <w:szCs w:val="20"/>
                <w:color w:val="auto"/>
              </w:rPr>
            </w:pPr>
            <w:r>
              <w:rPr>
                <w:rFonts w:ascii="Arial" w:cs="Arial" w:eastAsia="Arial" w:hAnsi="Arial"/>
                <w:sz w:val="14"/>
                <w:szCs w:val="14"/>
                <w:color w:val="auto"/>
              </w:rPr>
              <w:t>$200,067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The information on pages 44 through 57 is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jc w:val="right"/>
              <w:ind w:right="989"/>
              <w:spacing w:after="0"/>
              <w:rPr>
                <w:sz w:val="20"/>
                <w:szCs w:val="20"/>
                <w:color w:val="auto"/>
              </w:rPr>
            </w:pPr>
            <w:r>
              <w:rPr>
                <w:rFonts w:ascii="Arial" w:cs="Arial" w:eastAsia="Arial" w:hAnsi="Arial"/>
                <w:sz w:val="13"/>
                <w:szCs w:val="13"/>
                <w:b w:val="1"/>
                <w:bCs w:val="1"/>
                <w:color w:val="auto"/>
                <w:w w:val="90"/>
              </w:rPr>
              <w:t>January 2,</w:t>
            </w:r>
          </w:p>
        </w:tc>
        <w:tc>
          <w:tcPr>
            <w:tcW w:w="2300" w:type="dxa"/>
            <w:vAlign w:val="bottom"/>
            <w:gridSpan w:val="2"/>
          </w:tcPr>
          <w:p>
            <w:pPr>
              <w:jc w:val="right"/>
              <w:ind w:right="508"/>
              <w:spacing w:after="0"/>
              <w:rPr>
                <w:sz w:val="20"/>
                <w:szCs w:val="20"/>
                <w:color w:val="auto"/>
              </w:rPr>
            </w:pPr>
            <w:r>
              <w:rPr>
                <w:rFonts w:ascii="Arial" w:cs="Arial" w:eastAsia="Arial" w:hAnsi="Arial"/>
                <w:sz w:val="13"/>
                <w:szCs w:val="13"/>
                <w:color w:val="auto"/>
              </w:rPr>
              <w:t>December 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300" w:type="dxa"/>
            <w:vAlign w:val="bottom"/>
            <w:tcBorders>
              <w:bottom w:val="single" w:sz="8" w:color="auto"/>
            </w:tcBorders>
          </w:tcPr>
          <w:p>
            <w:pPr>
              <w:ind w:left="2600"/>
              <w:spacing w:after="0"/>
              <w:rPr>
                <w:sz w:val="20"/>
                <w:szCs w:val="20"/>
                <w:color w:val="auto"/>
              </w:rPr>
            </w:pPr>
            <w:r>
              <w:rPr>
                <w:rFonts w:ascii="Arial" w:cs="Arial" w:eastAsia="Arial" w:hAnsi="Arial"/>
                <w:sz w:val="13"/>
                <w:szCs w:val="13"/>
                <w:b w:val="1"/>
                <w:bCs w:val="1"/>
                <w:color w:val="auto"/>
              </w:rPr>
              <w:t>(in thousands)</w:t>
            </w:r>
          </w:p>
        </w:tc>
        <w:tc>
          <w:tcPr>
            <w:tcW w:w="1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149"/>
              <w:spacing w:after="0"/>
              <w:rPr>
                <w:sz w:val="20"/>
                <w:szCs w:val="20"/>
                <w:color w:val="auto"/>
              </w:rPr>
            </w:pPr>
            <w:r>
              <w:rPr>
                <w:rFonts w:ascii="Arial" w:cs="Arial" w:eastAsia="Arial" w:hAnsi="Arial"/>
                <w:sz w:val="13"/>
                <w:szCs w:val="13"/>
                <w:b w:val="1"/>
                <w:bCs w:val="1"/>
                <w:color w:val="auto"/>
              </w:rPr>
              <w:t>2005</w:t>
            </w:r>
          </w:p>
        </w:tc>
        <w:tc>
          <w:tcPr>
            <w:tcW w:w="10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119,400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116,561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8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1140" w:type="dxa"/>
            <w:vAlign w:val="bottom"/>
          </w:tcPr>
          <w:p>
            <w:pPr>
              <w:spacing w:after="0"/>
              <w:rPr>
                <w:sz w:val="12"/>
                <w:szCs w:val="12"/>
                <w:color w:val="auto"/>
              </w:rPr>
            </w:pPr>
          </w:p>
        </w:tc>
        <w:tc>
          <w:tcPr>
            <w:tcW w:w="166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149,303</w:t>
            </w:r>
          </w:p>
        </w:tc>
        <w:tc>
          <w:tcPr>
            <w:tcW w:w="1040" w:type="dxa"/>
            <w:vAlign w:val="bottom"/>
          </w:tcPr>
          <w:p>
            <w:pPr>
              <w:spacing w:after="0"/>
              <w:rPr>
                <w:sz w:val="12"/>
                <w:szCs w:val="12"/>
                <w:color w:val="auto"/>
              </w:rPr>
            </w:pPr>
          </w:p>
        </w:tc>
        <w:tc>
          <w:tcPr>
            <w:tcW w:w="126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362,862</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328,816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80"/>
              <w:spacing w:after="0" w:line="149" w:lineRule="exact"/>
              <w:rPr>
                <w:sz w:val="20"/>
                <w:szCs w:val="20"/>
                <w:color w:val="auto"/>
              </w:rPr>
            </w:pPr>
            <w:r>
              <w:rPr>
                <w:rFonts w:ascii="Arial" w:cs="Arial" w:eastAsia="Arial" w:hAnsi="Arial"/>
                <w:sz w:val="14"/>
                <w:szCs w:val="14"/>
                <w:color w:val="auto"/>
              </w:rPr>
              <w:t>Federal and state income taxes</w:t>
            </w:r>
          </w:p>
        </w:tc>
        <w:tc>
          <w:tcPr>
            <w:tcW w:w="1140" w:type="dxa"/>
            <w:vAlign w:val="bottom"/>
          </w:tcPr>
          <w:p>
            <w:pPr>
              <w:spacing w:after="0"/>
              <w:rPr>
                <w:sz w:val="12"/>
                <w:szCs w:val="12"/>
                <w:color w:val="auto"/>
              </w:rPr>
            </w:pPr>
          </w:p>
        </w:tc>
        <w:tc>
          <w:tcPr>
            <w:tcW w:w="166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18,375</w:t>
            </w:r>
          </w:p>
        </w:tc>
        <w:tc>
          <w:tcPr>
            <w:tcW w:w="1040" w:type="dxa"/>
            <w:vAlign w:val="bottom"/>
          </w:tcPr>
          <w:p>
            <w:pPr>
              <w:spacing w:after="0"/>
              <w:rPr>
                <w:sz w:val="12"/>
                <w:szCs w:val="12"/>
                <w:color w:val="auto"/>
              </w:rPr>
            </w:pPr>
          </w:p>
        </w:tc>
        <w:tc>
          <w:tcPr>
            <w:tcW w:w="126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5,318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30,871</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31,376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1140" w:type="dxa"/>
            <w:vAlign w:val="bottom"/>
          </w:tcPr>
          <w:p>
            <w:pPr>
              <w:spacing w:after="0"/>
              <w:rPr>
                <w:sz w:val="12"/>
                <w:szCs w:val="12"/>
                <w:color w:val="auto"/>
              </w:rPr>
            </w:pPr>
          </w:p>
        </w:tc>
        <w:tc>
          <w:tcPr>
            <w:tcW w:w="166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25,127</w:t>
            </w:r>
          </w:p>
        </w:tc>
        <w:tc>
          <w:tcPr>
            <w:tcW w:w="1040" w:type="dxa"/>
            <w:vAlign w:val="bottom"/>
          </w:tcPr>
          <w:p>
            <w:pPr>
              <w:spacing w:after="0"/>
              <w:rPr>
                <w:sz w:val="12"/>
                <w:szCs w:val="12"/>
                <w:color w:val="auto"/>
              </w:rPr>
            </w:pPr>
          </w:p>
        </w:tc>
        <w:tc>
          <w:tcPr>
            <w:tcW w:w="126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27,709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14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48,429</w:t>
            </w:r>
          </w:p>
        </w:tc>
        <w:tc>
          <w:tcPr>
            <w:tcW w:w="10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43,933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754,367</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556,336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w:t>
            </w: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Buildings</w:t>
            </w: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304,606</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288,961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80"/>
              <w:spacing w:after="0" w:line="149" w:lineRule="exact"/>
              <w:rPr>
                <w:sz w:val="20"/>
                <w:szCs w:val="20"/>
                <w:color w:val="auto"/>
              </w:rPr>
            </w:pPr>
            <w:r>
              <w:rPr>
                <w:rFonts w:ascii="Arial" w:cs="Arial" w:eastAsia="Arial" w:hAnsi="Arial"/>
                <w:sz w:val="14"/>
                <w:szCs w:val="14"/>
                <w:color w:val="auto"/>
              </w:rPr>
              <w:t>Machinery, equipment and fixtures</w:t>
            </w:r>
          </w:p>
        </w:tc>
        <w:tc>
          <w:tcPr>
            <w:tcW w:w="1140" w:type="dxa"/>
            <w:vAlign w:val="bottom"/>
          </w:tcPr>
          <w:p>
            <w:pPr>
              <w:spacing w:after="0"/>
              <w:rPr>
                <w:sz w:val="12"/>
                <w:szCs w:val="12"/>
                <w:color w:val="auto"/>
              </w:rPr>
            </w:pPr>
          </w:p>
        </w:tc>
        <w:tc>
          <w:tcPr>
            <w:tcW w:w="166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w w:val="99"/>
              </w:rPr>
              <w:t>1,730,997</w:t>
            </w:r>
          </w:p>
        </w:tc>
        <w:tc>
          <w:tcPr>
            <w:tcW w:w="1040" w:type="dxa"/>
            <w:vAlign w:val="bottom"/>
          </w:tcPr>
          <w:p>
            <w:pPr>
              <w:spacing w:after="0"/>
              <w:rPr>
                <w:sz w:val="12"/>
                <w:szCs w:val="12"/>
                <w:color w:val="auto"/>
              </w:rPr>
            </w:pPr>
          </w:p>
        </w:tc>
        <w:tc>
          <w:tcPr>
            <w:tcW w:w="1260" w:type="dxa"/>
            <w:vAlign w:val="bottom"/>
          </w:tcPr>
          <w:p>
            <w:pPr>
              <w:jc w:val="right"/>
              <w:ind w:right="548"/>
              <w:spacing w:after="0" w:line="149" w:lineRule="exact"/>
              <w:rPr>
                <w:sz w:val="20"/>
                <w:szCs w:val="20"/>
                <w:color w:val="auto"/>
              </w:rPr>
            </w:pPr>
            <w:r>
              <w:rPr>
                <w:rFonts w:ascii="Arial" w:cs="Arial" w:eastAsia="Arial" w:hAnsi="Arial"/>
                <w:sz w:val="14"/>
                <w:szCs w:val="14"/>
                <w:color w:val="auto"/>
                <w:w w:val="99"/>
              </w:rPr>
              <w:t>1,656,111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Leasehold improvements</w:t>
            </w:r>
          </w:p>
        </w:tc>
        <w:tc>
          <w:tcPr>
            <w:tcW w:w="114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133,674</w:t>
            </w:r>
          </w:p>
        </w:tc>
        <w:tc>
          <w:tcPr>
            <w:tcW w:w="10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102,753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w w:val="99"/>
              </w:rPr>
              <w:t>2,169,277</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w w:val="99"/>
              </w:rPr>
              <w:t>2,047,825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80"/>
              <w:spacing w:after="0" w:line="149" w:lineRule="exact"/>
              <w:rPr>
                <w:sz w:val="20"/>
                <w:szCs w:val="20"/>
                <w:color w:val="auto"/>
              </w:rPr>
            </w:pPr>
            <w:r>
              <w:rPr>
                <w:rFonts w:ascii="Arial" w:cs="Arial" w:eastAsia="Arial" w:hAnsi="Arial"/>
                <w:sz w:val="14"/>
                <w:szCs w:val="14"/>
                <w:color w:val="auto"/>
              </w:rPr>
              <w:t>Less accumulated depreciation</w:t>
            </w:r>
          </w:p>
        </w:tc>
        <w:tc>
          <w:tcPr>
            <w:tcW w:w="1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909"/>
              <w:spacing w:after="0" w:line="149" w:lineRule="exact"/>
              <w:rPr>
                <w:sz w:val="20"/>
                <w:szCs w:val="20"/>
                <w:color w:val="auto"/>
              </w:rPr>
            </w:pPr>
            <w:r>
              <w:rPr>
                <w:rFonts w:ascii="Arial" w:cs="Arial" w:eastAsia="Arial" w:hAnsi="Arial"/>
                <w:sz w:val="14"/>
                <w:szCs w:val="14"/>
                <w:b w:val="1"/>
                <w:bCs w:val="1"/>
                <w:color w:val="auto"/>
                <w:w w:val="92"/>
              </w:rPr>
              <w:t>(1,197,375)</w:t>
            </w:r>
          </w:p>
        </w:tc>
        <w:tc>
          <w:tcPr>
            <w:tcW w:w="10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08"/>
              <w:spacing w:after="0" w:line="149" w:lineRule="exact"/>
              <w:rPr>
                <w:sz w:val="20"/>
                <w:szCs w:val="20"/>
                <w:color w:val="auto"/>
              </w:rPr>
            </w:pPr>
            <w:r>
              <w:rPr>
                <w:rFonts w:ascii="Arial" w:cs="Arial" w:eastAsia="Arial" w:hAnsi="Arial"/>
                <w:sz w:val="14"/>
                <w:szCs w:val="14"/>
                <w:color w:val="auto"/>
                <w:w w:val="92"/>
              </w:rPr>
              <w:t>(1,084,790)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971,902</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963,035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80"/>
              <w:spacing w:after="0" w:line="149" w:lineRule="exact"/>
              <w:rPr>
                <w:sz w:val="20"/>
                <w:szCs w:val="20"/>
                <w:color w:val="auto"/>
              </w:rPr>
            </w:pPr>
            <w:r>
              <w:rPr>
                <w:rFonts w:ascii="Arial" w:cs="Arial" w:eastAsia="Arial" w:hAnsi="Arial"/>
                <w:sz w:val="14"/>
                <w:szCs w:val="14"/>
                <w:color w:val="auto"/>
              </w:rPr>
              <w:t>Land</w:t>
            </w:r>
          </w:p>
        </w:tc>
        <w:tc>
          <w:tcPr>
            <w:tcW w:w="1140" w:type="dxa"/>
            <w:vAlign w:val="bottom"/>
          </w:tcPr>
          <w:p>
            <w:pPr>
              <w:spacing w:after="0"/>
              <w:rPr>
                <w:sz w:val="12"/>
                <w:szCs w:val="12"/>
                <w:color w:val="auto"/>
              </w:rPr>
            </w:pPr>
          </w:p>
        </w:tc>
        <w:tc>
          <w:tcPr>
            <w:tcW w:w="166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37,470</w:t>
            </w:r>
          </w:p>
        </w:tc>
        <w:tc>
          <w:tcPr>
            <w:tcW w:w="1040" w:type="dxa"/>
            <w:vAlign w:val="bottom"/>
          </w:tcPr>
          <w:p>
            <w:pPr>
              <w:spacing w:after="0"/>
              <w:rPr>
                <w:sz w:val="12"/>
                <w:szCs w:val="12"/>
                <w:color w:val="auto"/>
              </w:rPr>
            </w:pPr>
          </w:p>
        </w:tc>
        <w:tc>
          <w:tcPr>
            <w:tcW w:w="126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36,491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Construction in progress</w:t>
            </w:r>
          </w:p>
        </w:tc>
        <w:tc>
          <w:tcPr>
            <w:tcW w:w="114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80,580</w:t>
            </w:r>
          </w:p>
        </w:tc>
        <w:tc>
          <w:tcPr>
            <w:tcW w:w="10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56,104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w w:val="99"/>
              </w:rPr>
              <w:t>1,089,952</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w w:val="99"/>
              </w:rPr>
              <w:t>1,055,630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Investments in Marketable Equity Securities</w:t>
            </w:r>
          </w:p>
        </w:tc>
        <w:tc>
          <w:tcPr>
            <w:tcW w:w="1140" w:type="dxa"/>
            <w:vAlign w:val="bottom"/>
          </w:tcPr>
          <w:p>
            <w:pPr>
              <w:spacing w:after="0"/>
              <w:rPr>
                <w:sz w:val="12"/>
                <w:szCs w:val="12"/>
                <w:color w:val="auto"/>
              </w:rPr>
            </w:pPr>
          </w:p>
        </w:tc>
        <w:tc>
          <w:tcPr>
            <w:tcW w:w="166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260,433</w:t>
            </w:r>
          </w:p>
        </w:tc>
        <w:tc>
          <w:tcPr>
            <w:tcW w:w="1040" w:type="dxa"/>
            <w:vAlign w:val="bottom"/>
          </w:tcPr>
          <w:p>
            <w:pPr>
              <w:spacing w:after="0"/>
              <w:rPr>
                <w:sz w:val="12"/>
                <w:szCs w:val="12"/>
                <w:color w:val="auto"/>
              </w:rPr>
            </w:pPr>
          </w:p>
        </w:tc>
        <w:tc>
          <w:tcPr>
            <w:tcW w:w="126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245,335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Affiliates</w:t>
            </w: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61,814</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61,312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b w:val="1"/>
                <w:bCs w:val="1"/>
                <w:color w:val="auto"/>
              </w:rPr>
              <w:t>Goodwill, Net</w:t>
            </w:r>
          </w:p>
        </w:tc>
        <w:tc>
          <w:tcPr>
            <w:tcW w:w="1140" w:type="dxa"/>
            <w:vAlign w:val="bottom"/>
          </w:tcPr>
          <w:p>
            <w:pPr>
              <w:spacing w:after="0"/>
              <w:rPr>
                <w:sz w:val="12"/>
                <w:szCs w:val="12"/>
                <w:color w:val="auto"/>
              </w:rPr>
            </w:pPr>
          </w:p>
        </w:tc>
        <w:tc>
          <w:tcPr>
            <w:tcW w:w="166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w w:val="99"/>
              </w:rPr>
              <w:t>1,023,140</w:t>
            </w:r>
          </w:p>
        </w:tc>
        <w:tc>
          <w:tcPr>
            <w:tcW w:w="1040" w:type="dxa"/>
            <w:vAlign w:val="bottom"/>
          </w:tcPr>
          <w:p>
            <w:pPr>
              <w:spacing w:after="0"/>
              <w:rPr>
                <w:sz w:val="12"/>
                <w:szCs w:val="12"/>
                <w:color w:val="auto"/>
              </w:rPr>
            </w:pPr>
          </w:p>
        </w:tc>
        <w:tc>
          <w:tcPr>
            <w:tcW w:w="126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965,694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Indefinite-Lived Intangible Assets, Net</w:t>
            </w: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493,192</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486,656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b w:val="1"/>
                <w:bCs w:val="1"/>
                <w:color w:val="auto"/>
              </w:rPr>
              <w:t>Amortized Intangible Assets, Net</w:t>
            </w:r>
          </w:p>
        </w:tc>
        <w:tc>
          <w:tcPr>
            <w:tcW w:w="1140" w:type="dxa"/>
            <w:vAlign w:val="bottom"/>
          </w:tcPr>
          <w:p>
            <w:pPr>
              <w:spacing w:after="0"/>
              <w:rPr>
                <w:sz w:val="12"/>
                <w:szCs w:val="12"/>
                <w:color w:val="auto"/>
              </w:rPr>
            </w:pPr>
          </w:p>
        </w:tc>
        <w:tc>
          <w:tcPr>
            <w:tcW w:w="166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7,879</w:t>
            </w:r>
          </w:p>
        </w:tc>
        <w:tc>
          <w:tcPr>
            <w:tcW w:w="1040" w:type="dxa"/>
            <w:vAlign w:val="bottom"/>
          </w:tcPr>
          <w:p>
            <w:pPr>
              <w:spacing w:after="0"/>
              <w:rPr>
                <w:sz w:val="12"/>
                <w:szCs w:val="12"/>
                <w:color w:val="auto"/>
              </w:rPr>
            </w:pPr>
          </w:p>
        </w:tc>
        <w:tc>
          <w:tcPr>
            <w:tcW w:w="126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5,226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Prepaid Pension Cost</w:t>
            </w:r>
          </w:p>
        </w:tc>
        <w:tc>
          <w:tcPr>
            <w:tcW w:w="11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556,747</w:t>
            </w: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514,801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Charges and Other Assets</w:t>
            </w:r>
          </w:p>
        </w:tc>
        <w:tc>
          <w:tcPr>
            <w:tcW w:w="1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949"/>
              <w:spacing w:after="0" w:line="149" w:lineRule="exact"/>
              <w:rPr>
                <w:sz w:val="20"/>
                <w:szCs w:val="20"/>
                <w:color w:val="auto"/>
              </w:rPr>
            </w:pPr>
            <w:r>
              <w:rPr>
                <w:rFonts w:ascii="Arial" w:cs="Arial" w:eastAsia="Arial" w:hAnsi="Arial"/>
                <w:sz w:val="14"/>
                <w:szCs w:val="14"/>
                <w:b w:val="1"/>
                <w:bCs w:val="1"/>
                <w:color w:val="auto"/>
              </w:rPr>
              <w:t>69,117</w:t>
            </w:r>
          </w:p>
        </w:tc>
        <w:tc>
          <w:tcPr>
            <w:tcW w:w="10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48"/>
              <w:spacing w:after="0" w:line="149" w:lineRule="exact"/>
              <w:rPr>
                <w:sz w:val="20"/>
                <w:szCs w:val="20"/>
                <w:color w:val="auto"/>
              </w:rPr>
            </w:pPr>
            <w:r>
              <w:rPr>
                <w:rFonts w:ascii="Arial" w:cs="Arial" w:eastAsia="Arial" w:hAnsi="Arial"/>
                <w:sz w:val="14"/>
                <w:szCs w:val="14"/>
                <w:color w:val="auto"/>
              </w:rPr>
              <w:t>71,068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w w:val="99"/>
              </w:rPr>
              <w:t>4,316,641</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w w:val="99"/>
              </w:rPr>
              <w:t>3,962,058</w:t>
            </w:r>
          </w:p>
        </w:tc>
        <w:tc>
          <w:tcPr>
            <w:tcW w:w="0" w:type="dxa"/>
            <w:vAlign w:val="bottom"/>
          </w:tcPr>
          <w:p>
            <w:pPr>
              <w:spacing w:after="0"/>
              <w:rPr>
                <w:sz w:val="1"/>
                <w:szCs w:val="1"/>
                <w:color w:val="auto"/>
              </w:rPr>
            </w:pPr>
          </w:p>
        </w:tc>
      </w:tr>
      <w:tr>
        <w:trPr>
          <w:trHeight w:val="21"/>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The information on pages 44 through 57 is an integral part of the financial statements.</w:t>
            </w:r>
          </w:p>
        </w:tc>
        <w:tc>
          <w:tcPr>
            <w:tcW w:w="1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tcPr>
          <w:p>
            <w:pPr>
              <w:jc w:val="right"/>
              <w:ind w:right="969"/>
              <w:spacing w:after="0"/>
              <w:rPr>
                <w:sz w:val="20"/>
                <w:szCs w:val="20"/>
                <w:color w:val="auto"/>
              </w:rPr>
            </w:pPr>
            <w:r>
              <w:rPr>
                <w:rFonts w:ascii="Arial" w:cs="Arial" w:eastAsia="Arial" w:hAnsi="Arial"/>
                <w:sz w:val="13"/>
                <w:szCs w:val="13"/>
                <w:b w:val="1"/>
                <w:bCs w:val="1"/>
                <w:color w:val="auto"/>
                <w:w w:val="90"/>
              </w:rPr>
              <w:t>January 2,</w:t>
            </w:r>
          </w:p>
        </w:tc>
        <w:tc>
          <w:tcPr>
            <w:tcW w:w="2280" w:type="dxa"/>
            <w:vAlign w:val="bottom"/>
            <w:gridSpan w:val="2"/>
          </w:tcPr>
          <w:p>
            <w:pPr>
              <w:jc w:val="right"/>
              <w:ind w:right="508"/>
              <w:spacing w:after="0"/>
              <w:rPr>
                <w:sz w:val="20"/>
                <w:szCs w:val="20"/>
                <w:color w:val="auto"/>
              </w:rPr>
            </w:pPr>
            <w:r>
              <w:rPr>
                <w:rFonts w:ascii="Arial" w:cs="Arial" w:eastAsia="Arial" w:hAnsi="Arial"/>
                <w:sz w:val="13"/>
                <w:szCs w:val="13"/>
                <w:color w:val="auto"/>
              </w:rPr>
              <w:t>December 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34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(in thousands, except share amounts)</w:t>
            </w:r>
          </w:p>
        </w:tc>
        <w:tc>
          <w:tcPr>
            <w:tcW w:w="11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129"/>
              <w:spacing w:after="0"/>
              <w:rPr>
                <w:sz w:val="20"/>
                <w:szCs w:val="20"/>
                <w:color w:val="auto"/>
              </w:rPr>
            </w:pPr>
            <w:r>
              <w:rPr>
                <w:rFonts w:ascii="Arial" w:cs="Arial" w:eastAsia="Arial" w:hAnsi="Arial"/>
                <w:sz w:val="13"/>
                <w:szCs w:val="13"/>
                <w:b w:val="1"/>
                <w:bCs w:val="1"/>
                <w:color w:val="auto"/>
              </w:rPr>
              <w:t>2005</w:t>
            </w:r>
          </w:p>
        </w:tc>
        <w:tc>
          <w:tcPr>
            <w:tcW w:w="10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28"/>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1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443,332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368,363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140" w:type="dxa"/>
            <w:vAlign w:val="bottom"/>
          </w:tcPr>
          <w:p>
            <w:pPr>
              <w:spacing w:after="0"/>
              <w:rPr>
                <w:sz w:val="12"/>
                <w:szCs w:val="12"/>
                <w:color w:val="auto"/>
              </w:rPr>
            </w:pPr>
          </w:p>
        </w:tc>
        <w:tc>
          <w:tcPr>
            <w:tcW w:w="164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186,593</w:t>
            </w:r>
          </w:p>
        </w:tc>
        <w:tc>
          <w:tcPr>
            <w:tcW w:w="1040" w:type="dxa"/>
            <w:vAlign w:val="bottom"/>
          </w:tcPr>
          <w:p>
            <w:pPr>
              <w:spacing w:after="0"/>
              <w:rPr>
                <w:sz w:val="12"/>
                <w:szCs w:val="12"/>
                <w:color w:val="auto"/>
              </w:rPr>
            </w:pPr>
          </w:p>
        </w:tc>
        <w:tc>
          <w:tcPr>
            <w:tcW w:w="124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164,014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Short-term borrowings</w:t>
            </w:r>
          </w:p>
        </w:tc>
        <w:tc>
          <w:tcPr>
            <w:tcW w:w="114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58,236</w:t>
            </w:r>
          </w:p>
        </w:tc>
        <w:tc>
          <w:tcPr>
            <w:tcW w:w="10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208,620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688,161</w:t>
            </w: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740,997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b w:val="1"/>
                <w:bCs w:val="1"/>
                <w:color w:val="auto"/>
              </w:rPr>
              <w:t>Postretirement Benefits Other Than Pensions</w:t>
            </w:r>
          </w:p>
        </w:tc>
        <w:tc>
          <w:tcPr>
            <w:tcW w:w="1140" w:type="dxa"/>
            <w:vAlign w:val="bottom"/>
          </w:tcPr>
          <w:p>
            <w:pPr>
              <w:spacing w:after="0"/>
              <w:rPr>
                <w:sz w:val="12"/>
                <w:szCs w:val="12"/>
                <w:color w:val="auto"/>
              </w:rPr>
            </w:pPr>
          </w:p>
        </w:tc>
        <w:tc>
          <w:tcPr>
            <w:tcW w:w="164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145,490</w:t>
            </w:r>
          </w:p>
        </w:tc>
        <w:tc>
          <w:tcPr>
            <w:tcW w:w="1040" w:type="dxa"/>
            <w:vAlign w:val="bottom"/>
          </w:tcPr>
          <w:p>
            <w:pPr>
              <w:spacing w:after="0"/>
              <w:rPr>
                <w:sz w:val="12"/>
                <w:szCs w:val="12"/>
                <w:color w:val="auto"/>
              </w:rPr>
            </w:pPr>
          </w:p>
        </w:tc>
        <w:tc>
          <w:tcPr>
            <w:tcW w:w="124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140,740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1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228,654</w:t>
            </w: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235,169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Income Taxes</w:t>
            </w:r>
          </w:p>
        </w:tc>
        <w:tc>
          <w:tcPr>
            <w:tcW w:w="1140" w:type="dxa"/>
            <w:vAlign w:val="bottom"/>
          </w:tcPr>
          <w:p>
            <w:pPr>
              <w:spacing w:after="0"/>
              <w:rPr>
                <w:sz w:val="12"/>
                <w:szCs w:val="12"/>
                <w:color w:val="auto"/>
              </w:rPr>
            </w:pPr>
          </w:p>
        </w:tc>
        <w:tc>
          <w:tcPr>
            <w:tcW w:w="164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403,698</w:t>
            </w:r>
          </w:p>
        </w:tc>
        <w:tc>
          <w:tcPr>
            <w:tcW w:w="1040" w:type="dxa"/>
            <w:vAlign w:val="bottom"/>
          </w:tcPr>
          <w:p>
            <w:pPr>
              <w:spacing w:after="0"/>
              <w:rPr>
                <w:sz w:val="12"/>
                <w:szCs w:val="12"/>
                <w:color w:val="auto"/>
              </w:rPr>
            </w:pPr>
          </w:p>
        </w:tc>
        <w:tc>
          <w:tcPr>
            <w:tcW w:w="124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335,200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Debt</w:t>
            </w:r>
          </w:p>
        </w:tc>
        <w:tc>
          <w:tcPr>
            <w:tcW w:w="114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425,889</w:t>
            </w:r>
          </w:p>
        </w:tc>
        <w:tc>
          <w:tcPr>
            <w:tcW w:w="10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422,471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w w:val="96"/>
              </w:rPr>
              <w:t>1,891,892</w:t>
            </w:r>
          </w:p>
        </w:tc>
        <w:tc>
          <w:tcPr>
            <w:tcW w:w="10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w w:val="99"/>
              </w:rPr>
              <w:t>1,874,577</w:t>
            </w:r>
          </w:p>
        </w:tc>
        <w:tc>
          <w:tcPr>
            <w:tcW w:w="0" w:type="dxa"/>
            <w:vAlign w:val="bottom"/>
          </w:tcPr>
          <w:p>
            <w:pPr>
              <w:spacing w:after="0"/>
              <w:rPr>
                <w:sz w:val="1"/>
                <w:szCs w:val="1"/>
                <w:color w:val="auto"/>
              </w:rPr>
            </w:pPr>
          </w:p>
        </w:tc>
      </w:tr>
      <w:tr>
        <w:trPr>
          <w:trHeight w:val="156"/>
        </w:trPr>
        <w:tc>
          <w:tcPr>
            <w:tcW w:w="6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Commitments and Contingencies</w:t>
            </w:r>
          </w:p>
        </w:tc>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 xml:space="preserve">Redeemable Preferred Stock, </w:t>
            </w:r>
            <w:r>
              <w:rPr>
                <w:rFonts w:ascii="Arial" w:cs="Arial" w:eastAsia="Arial" w:hAnsi="Arial"/>
                <w:sz w:val="14"/>
                <w:szCs w:val="14"/>
                <w:color w:val="auto"/>
              </w:rPr>
              <w:t>Series A, $1 par value, with a redemption and liquidation value of</w:t>
            </w:r>
          </w:p>
        </w:tc>
        <w:tc>
          <w:tcPr>
            <w:tcW w:w="114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ind w:right="949"/>
              <w:spacing w:after="0"/>
              <w:rPr>
                <w:sz w:val="20"/>
                <w:szCs w:val="20"/>
                <w:color w:val="auto"/>
              </w:rPr>
            </w:pPr>
            <w:r>
              <w:rPr>
                <w:rFonts w:ascii="Arial" w:cs="Arial" w:eastAsia="Arial" w:hAnsi="Arial"/>
                <w:sz w:val="14"/>
                <w:szCs w:val="14"/>
                <w:b w:val="1"/>
                <w:bCs w:val="1"/>
                <w:color w:val="auto"/>
              </w:rPr>
              <w:t>12,267</w:t>
            </w: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$1,000 per share; 23,000 shares authorized; 12,267 and 12,540 shares issued and outstanding</w:t>
            </w:r>
          </w:p>
        </w:tc>
        <w:tc>
          <w:tcPr>
            <w:tcW w:w="11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12,540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4"/>
                <w:szCs w:val="14"/>
                <w:color w:val="auto"/>
              </w:rPr>
              <w:t>$1 par value; 977,000 shares authorized, none issued</w:t>
            </w:r>
          </w:p>
        </w:tc>
        <w:tc>
          <w:tcPr>
            <w:tcW w:w="114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Common Shareholders’ Equity</w:t>
            </w:r>
          </w:p>
        </w:tc>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w:t>
            </w:r>
          </w:p>
        </w:tc>
        <w:tc>
          <w:tcPr>
            <w:tcW w:w="11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40" w:type="dxa"/>
            <w:vAlign w:val="bottom"/>
          </w:tcPr>
          <w:p>
            <w:pPr>
              <w:ind w:left="600"/>
              <w:spacing w:after="0" w:line="130" w:lineRule="exact"/>
              <w:rPr>
                <w:sz w:val="20"/>
                <w:szCs w:val="20"/>
                <w:color w:val="auto"/>
              </w:rPr>
            </w:pPr>
            <w:r>
              <w:rPr>
                <w:rFonts w:ascii="Arial" w:cs="Arial" w:eastAsia="Arial" w:hAnsi="Arial"/>
                <w:sz w:val="14"/>
                <w:szCs w:val="14"/>
                <w:color w:val="auto"/>
                <w:w w:val="99"/>
              </w:rPr>
              <w:t>Class A common stock, $1 par value; 7,000,000 shares authorized; 1,722,250 shares issued</w:t>
            </w:r>
          </w:p>
        </w:tc>
        <w:tc>
          <w:tcPr>
            <w:tcW w:w="1140" w:type="dxa"/>
            <w:vAlign w:val="bottom"/>
          </w:tcPr>
          <w:p>
            <w:pPr>
              <w:spacing w:after="0"/>
              <w:rPr>
                <w:sz w:val="11"/>
                <w:szCs w:val="11"/>
                <w:color w:val="auto"/>
              </w:rPr>
            </w:pPr>
          </w:p>
        </w:tc>
        <w:tc>
          <w:tcPr>
            <w:tcW w:w="1640" w:type="dxa"/>
            <w:vAlign w:val="bottom"/>
            <w:vMerge w:val="restart"/>
          </w:tcPr>
          <w:p>
            <w:pPr>
              <w:jc w:val="right"/>
              <w:ind w:right="949"/>
              <w:spacing w:after="0"/>
              <w:rPr>
                <w:sz w:val="20"/>
                <w:szCs w:val="20"/>
                <w:color w:val="auto"/>
              </w:rPr>
            </w:pPr>
            <w:r>
              <w:rPr>
                <w:rFonts w:ascii="Arial" w:cs="Arial" w:eastAsia="Arial" w:hAnsi="Arial"/>
                <w:sz w:val="14"/>
                <w:szCs w:val="14"/>
                <w:b w:val="1"/>
                <w:bCs w:val="1"/>
                <w:color w:val="auto"/>
              </w:rPr>
              <w:t>1,722</w:t>
            </w: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40" w:type="dxa"/>
            <w:vAlign w:val="bottom"/>
          </w:tcPr>
          <w:p>
            <w:pPr>
              <w:ind w:left="740"/>
              <w:spacing w:after="0"/>
              <w:rPr>
                <w:sz w:val="20"/>
                <w:szCs w:val="20"/>
                <w:color w:val="auto"/>
              </w:rPr>
            </w:pPr>
            <w:r>
              <w:rPr>
                <w:rFonts w:ascii="Arial" w:cs="Arial" w:eastAsia="Arial" w:hAnsi="Arial"/>
                <w:sz w:val="14"/>
                <w:szCs w:val="14"/>
                <w:color w:val="auto"/>
              </w:rPr>
              <w:t>and outstanding</w:t>
            </w:r>
          </w:p>
        </w:tc>
        <w:tc>
          <w:tcPr>
            <w:tcW w:w="114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4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w w:val="96"/>
              </w:rPr>
              <w:t>Class B common stock, $1 par value; 40,000,000 shares authorized; 18,277,750 shares issued;</w:t>
            </w:r>
          </w:p>
        </w:tc>
        <w:tc>
          <w:tcPr>
            <w:tcW w:w="114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ind w:right="949"/>
              <w:spacing w:after="0"/>
              <w:rPr>
                <w:sz w:val="20"/>
                <w:szCs w:val="20"/>
                <w:color w:val="auto"/>
              </w:rPr>
            </w:pPr>
            <w:r>
              <w:rPr>
                <w:rFonts w:ascii="Arial" w:cs="Arial" w:eastAsia="Arial" w:hAnsi="Arial"/>
                <w:sz w:val="14"/>
                <w:szCs w:val="14"/>
                <w:b w:val="1"/>
                <w:bCs w:val="1"/>
                <w:color w:val="auto"/>
              </w:rPr>
              <w:t>18,278</w:t>
            </w: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7,853,822 and 7,819,330 shares outstanding</w:t>
            </w:r>
          </w:p>
        </w:tc>
        <w:tc>
          <w:tcPr>
            <w:tcW w:w="1140" w:type="dxa"/>
            <w:vAlign w:val="bottom"/>
            <w:shd w:val="clear" w:color="auto" w:fill="CCEEFF"/>
          </w:tcPr>
          <w:p>
            <w:pPr>
              <w:spacing w:after="0"/>
              <w:rPr>
                <w:sz w:val="14"/>
                <w:szCs w:val="14"/>
                <w:color w:val="auto"/>
              </w:rPr>
            </w:pPr>
          </w:p>
        </w:tc>
        <w:tc>
          <w:tcPr>
            <w:tcW w:w="1640" w:type="dxa"/>
            <w:vAlign w:val="bottom"/>
            <w:vMerge w:val="continue"/>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18,278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Capital in excess of par value</w:t>
            </w:r>
          </w:p>
        </w:tc>
        <w:tc>
          <w:tcPr>
            <w:tcW w:w="1140" w:type="dxa"/>
            <w:vAlign w:val="bottom"/>
          </w:tcPr>
          <w:p>
            <w:pPr>
              <w:spacing w:after="0"/>
              <w:rPr>
                <w:sz w:val="12"/>
                <w:szCs w:val="12"/>
                <w:color w:val="auto"/>
              </w:rPr>
            </w:pPr>
          </w:p>
        </w:tc>
        <w:tc>
          <w:tcPr>
            <w:tcW w:w="164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186,827</w:t>
            </w:r>
          </w:p>
        </w:tc>
        <w:tc>
          <w:tcPr>
            <w:tcW w:w="1040" w:type="dxa"/>
            <w:vAlign w:val="bottom"/>
          </w:tcPr>
          <w:p>
            <w:pPr>
              <w:spacing w:after="0"/>
              <w:rPr>
                <w:sz w:val="12"/>
                <w:szCs w:val="12"/>
                <w:color w:val="auto"/>
              </w:rPr>
            </w:pPr>
          </w:p>
        </w:tc>
        <w:tc>
          <w:tcPr>
            <w:tcW w:w="124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166,951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Retained earnings</w:t>
            </w:r>
          </w:p>
        </w:tc>
        <w:tc>
          <w:tcPr>
            <w:tcW w:w="11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w w:val="96"/>
              </w:rPr>
              <w:t>3,629,222</w:t>
            </w: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w w:val="99"/>
              </w:rPr>
              <w:t>3,364,407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Accumulated other comprehensive income, net of taxes</w:t>
            </w:r>
          </w:p>
        </w:tc>
        <w:tc>
          <w:tcPr>
            <w:tcW w:w="1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11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rPr>
              <w:t>13,873</w:t>
            </w: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4,272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60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1140" w:type="dxa"/>
            <w:vAlign w:val="bottom"/>
          </w:tcPr>
          <w:p>
            <w:pPr>
              <w:spacing w:after="0"/>
              <w:rPr>
                <w:sz w:val="12"/>
                <w:szCs w:val="12"/>
                <w:color w:val="auto"/>
              </w:rPr>
            </w:pPr>
          </w:p>
        </w:tc>
        <w:tc>
          <w:tcPr>
            <w:tcW w:w="1640" w:type="dxa"/>
            <w:vAlign w:val="bottom"/>
          </w:tcPr>
          <w:p>
            <w:pPr>
              <w:jc w:val="right"/>
              <w:ind w:right="949"/>
              <w:spacing w:after="0" w:line="149" w:lineRule="exact"/>
              <w:rPr>
                <w:sz w:val="20"/>
                <w:szCs w:val="20"/>
                <w:color w:val="auto"/>
              </w:rPr>
            </w:pPr>
            <w:r>
              <w:rPr>
                <w:rFonts w:ascii="Arial" w:cs="Arial" w:eastAsia="Arial" w:hAnsi="Arial"/>
                <w:sz w:val="14"/>
                <w:szCs w:val="14"/>
                <w:b w:val="1"/>
                <w:bCs w:val="1"/>
                <w:color w:val="auto"/>
              </w:rPr>
              <w:t>75,448</w:t>
            </w:r>
          </w:p>
        </w:tc>
        <w:tc>
          <w:tcPr>
            <w:tcW w:w="1040" w:type="dxa"/>
            <w:vAlign w:val="bottom"/>
          </w:tcPr>
          <w:p>
            <w:pPr>
              <w:spacing w:after="0"/>
              <w:rPr>
                <w:sz w:val="12"/>
                <w:szCs w:val="12"/>
                <w:color w:val="auto"/>
              </w:rPr>
            </w:pPr>
          </w:p>
        </w:tc>
        <w:tc>
          <w:tcPr>
            <w:tcW w:w="124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37,205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Cost of 10,423,928 and 10,458,420 shares of Class B common stock held in treasury</w:t>
            </w:r>
          </w:p>
        </w:tc>
        <w:tc>
          <w:tcPr>
            <w:tcW w:w="114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889"/>
              <w:spacing w:after="0" w:line="149" w:lineRule="exact"/>
              <w:rPr>
                <w:sz w:val="20"/>
                <w:szCs w:val="20"/>
                <w:color w:val="auto"/>
              </w:rPr>
            </w:pPr>
            <w:r>
              <w:rPr>
                <w:rFonts w:ascii="Arial" w:cs="Arial" w:eastAsia="Arial" w:hAnsi="Arial"/>
                <w:sz w:val="14"/>
                <w:szCs w:val="14"/>
                <w:b w:val="1"/>
                <w:bCs w:val="1"/>
                <w:color w:val="auto"/>
                <w:w w:val="92"/>
              </w:rPr>
              <w:t>(1,512,888)</w:t>
            </w:r>
          </w:p>
        </w:tc>
        <w:tc>
          <w:tcPr>
            <w:tcW w:w="10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2"/>
              </w:rPr>
              <w:t>(1,517,894)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w w:val="96"/>
              </w:rPr>
              <w:t>2,412,482</w:t>
            </w:r>
          </w:p>
        </w:tc>
        <w:tc>
          <w:tcPr>
            <w:tcW w:w="10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w w:val="99"/>
              </w:rPr>
              <w:t>2,074,941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ind w:right="949"/>
              <w:spacing w:after="0" w:line="149" w:lineRule="exact"/>
              <w:rPr>
                <w:sz w:val="20"/>
                <w:szCs w:val="20"/>
                <w:color w:val="auto"/>
              </w:rPr>
            </w:pPr>
            <w:r>
              <w:rPr>
                <w:rFonts w:ascii="Arial" w:cs="Arial" w:eastAsia="Arial" w:hAnsi="Arial"/>
                <w:sz w:val="14"/>
                <w:szCs w:val="14"/>
                <w:b w:val="1"/>
                <w:bCs w:val="1"/>
                <w:color w:val="auto"/>
                <w:w w:val="96"/>
              </w:rPr>
              <w:t>4,316,641</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w w:val="99"/>
              </w:rPr>
              <w:t>3,962,058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The information on pages 44 through 57 is an integral part of the financial statements.</w:t>
      </w:r>
    </w:p>
    <w:p>
      <w:pPr>
        <w:spacing w:after="0" w:line="200" w:lineRule="exact"/>
        <w:rPr>
          <w:sz w:val="20"/>
          <w:szCs w:val="20"/>
          <w:color w:val="auto"/>
        </w:rPr>
      </w:pPr>
    </w:p>
    <w:p>
      <w:pPr>
        <w:spacing w:after="0" w:line="33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242"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Fiscal year ended</w:t>
            </w:r>
          </w:p>
        </w:tc>
        <w:tc>
          <w:tcPr>
            <w:tcW w:w="1960" w:type="dxa"/>
            <w:vAlign w:val="bottom"/>
            <w:tcBorders>
              <w:bottom w:val="single" w:sz="8" w:color="auto"/>
            </w:tcBorders>
          </w:tcPr>
          <w:p>
            <w:pPr>
              <w:spacing w:after="0"/>
              <w:rPr>
                <w:sz w:val="13"/>
                <w:szCs w:val="13"/>
                <w:color w:val="auto"/>
              </w:rPr>
            </w:pPr>
          </w:p>
        </w:tc>
      </w:tr>
      <w:tr>
        <w:trPr>
          <w:trHeight w:val="124"/>
        </w:trPr>
        <w:tc>
          <w:tcPr>
            <w:tcW w:w="2940" w:type="dxa"/>
            <w:vAlign w:val="bottom"/>
          </w:tcPr>
          <w:p>
            <w:pPr>
              <w:spacing w:after="0"/>
              <w:rPr>
                <w:sz w:val="10"/>
                <w:szCs w:val="10"/>
                <w:color w:val="auto"/>
              </w:rPr>
            </w:pPr>
          </w:p>
        </w:tc>
        <w:tc>
          <w:tcPr>
            <w:tcW w:w="21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January 2,</w:t>
            </w:r>
          </w:p>
        </w:tc>
        <w:tc>
          <w:tcPr>
            <w:tcW w:w="2540" w:type="dxa"/>
            <w:vAlign w:val="bottom"/>
          </w:tcPr>
          <w:p>
            <w:pPr>
              <w:jc w:val="center"/>
              <w:ind w:left="297"/>
              <w:spacing w:after="0" w:line="124" w:lineRule="exact"/>
              <w:rPr>
                <w:sz w:val="20"/>
                <w:szCs w:val="20"/>
                <w:color w:val="auto"/>
              </w:rPr>
            </w:pPr>
            <w:r>
              <w:rPr>
                <w:rFonts w:ascii="Arial" w:cs="Arial" w:eastAsia="Arial" w:hAnsi="Arial"/>
                <w:sz w:val="13"/>
                <w:szCs w:val="13"/>
                <w:color w:val="auto"/>
                <w:w w:val="85"/>
              </w:rPr>
              <w:t>December 28,</w:t>
            </w:r>
          </w:p>
        </w:tc>
        <w:tc>
          <w:tcPr>
            <w:tcW w:w="1960" w:type="dxa"/>
            <w:vAlign w:val="bottom"/>
          </w:tcPr>
          <w:p>
            <w:pPr>
              <w:jc w:val="right"/>
              <w:ind w:right="437"/>
              <w:spacing w:after="0" w:line="124" w:lineRule="exact"/>
              <w:rPr>
                <w:sz w:val="20"/>
                <w:szCs w:val="20"/>
                <w:color w:val="auto"/>
              </w:rPr>
            </w:pPr>
            <w:r>
              <w:rPr>
                <w:rFonts w:ascii="Arial" w:cs="Arial" w:eastAsia="Arial" w:hAnsi="Arial"/>
                <w:sz w:val="13"/>
                <w:szCs w:val="13"/>
                <w:color w:val="auto"/>
              </w:rPr>
              <w:t>December 29,</w:t>
            </w:r>
          </w:p>
        </w:tc>
      </w:tr>
      <w:tr>
        <w:trPr>
          <w:trHeight w:val="164"/>
        </w:trPr>
        <w:tc>
          <w:tcPr>
            <w:tcW w:w="294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2100" w:type="dxa"/>
            <w:vAlign w:val="bottom"/>
          </w:tcPr>
          <w:p>
            <w:pPr>
              <w:jc w:val="right"/>
              <w:ind w:right="857"/>
              <w:spacing w:after="0"/>
              <w:rPr>
                <w:sz w:val="20"/>
                <w:szCs w:val="20"/>
                <w:color w:val="auto"/>
              </w:rPr>
            </w:pPr>
            <w:r>
              <w:rPr>
                <w:rFonts w:ascii="Arial" w:cs="Arial" w:eastAsia="Arial" w:hAnsi="Arial"/>
                <w:sz w:val="13"/>
                <w:szCs w:val="13"/>
                <w:b w:val="1"/>
                <w:bCs w:val="1"/>
                <w:color w:val="auto"/>
              </w:rPr>
              <w:t>2005</w:t>
            </w:r>
          </w:p>
        </w:tc>
        <w:tc>
          <w:tcPr>
            <w:tcW w:w="2540" w:type="dxa"/>
            <w:vAlign w:val="bottom"/>
          </w:tcPr>
          <w:p>
            <w:pPr>
              <w:jc w:val="right"/>
              <w:ind w:right="917"/>
              <w:spacing w:after="0"/>
              <w:rPr>
                <w:sz w:val="20"/>
                <w:szCs w:val="20"/>
                <w:color w:val="auto"/>
              </w:rPr>
            </w:pPr>
            <w:r>
              <w:rPr>
                <w:rFonts w:ascii="Arial" w:cs="Arial" w:eastAsia="Arial" w:hAnsi="Arial"/>
                <w:sz w:val="13"/>
                <w:szCs w:val="13"/>
                <w:color w:val="auto"/>
              </w:rPr>
              <w:t>2003</w:t>
            </w:r>
          </w:p>
        </w:tc>
        <w:tc>
          <w:tcPr>
            <w:tcW w:w="1960" w:type="dxa"/>
            <w:vAlign w:val="bottom"/>
          </w:tcPr>
          <w:p>
            <w:pPr>
              <w:jc w:val="right"/>
              <w:ind w:right="617"/>
              <w:spacing w:after="0"/>
              <w:rPr>
                <w:sz w:val="20"/>
                <w:szCs w:val="20"/>
                <w:color w:val="auto"/>
              </w:rPr>
            </w:pPr>
            <w:r>
              <w:rPr>
                <w:rFonts w:ascii="Arial" w:cs="Arial" w:eastAsia="Arial" w:hAnsi="Arial"/>
                <w:sz w:val="13"/>
                <w:szCs w:val="13"/>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p>
      <w:pPr>
        <w:spacing w:after="0" w:line="235" w:lineRule="auto"/>
        <w:rPr>
          <w:sz w:val="20"/>
          <w:szCs w:val="20"/>
          <w:color w:val="auto"/>
        </w:rPr>
      </w:pPr>
      <w:r>
        <w:rPr>
          <w:rFonts w:ascii="Arial" w:cs="Arial" w:eastAsia="Arial" w:hAnsi="Arial"/>
          <w:sz w:val="14"/>
          <w:szCs w:val="14"/>
          <w:b w:val="1"/>
          <w:bCs w:val="1"/>
          <w:color w:val="auto"/>
        </w:rPr>
        <w:t>Cash Flows from Operating Activities:</w:t>
      </w:r>
    </w:p>
    <w:p>
      <w:pPr>
        <w:ind w:left="300"/>
        <w:spacing w:after="0" w:line="221" w:lineRule="auto"/>
        <w:rPr>
          <w:sz w:val="20"/>
          <w:szCs w:val="20"/>
          <w:color w:val="auto"/>
        </w:rPr>
      </w:pPr>
      <w:r>
        <w:rPr>
          <w:rFonts w:ascii="Arial" w:cs="Arial" w:eastAsia="Arial" w:hAnsi="Arial"/>
          <w:sz w:val="14"/>
          <w:szCs w:val="14"/>
          <w:color w:val="auto"/>
        </w:rPr>
        <w:t>Net income</w:t>
      </w:r>
    </w:p>
    <w:p>
      <w:pPr>
        <w:spacing w:after="0" w:line="1" w:lineRule="exact"/>
        <w:rPr>
          <w:sz w:val="20"/>
          <w:szCs w:val="20"/>
          <w:color w:val="auto"/>
        </w:rPr>
      </w:pPr>
    </w:p>
    <w:p>
      <w:pPr>
        <w:ind w:left="420" w:right="140" w:hanging="134"/>
        <w:spacing w:after="0" w:line="221" w:lineRule="auto"/>
        <w:rPr>
          <w:sz w:val="20"/>
          <w:szCs w:val="20"/>
          <w:color w:val="auto"/>
        </w:rPr>
      </w:pPr>
      <w:r>
        <w:rPr>
          <w:rFonts w:ascii="Arial" w:cs="Arial" w:eastAsia="Arial" w:hAnsi="Arial"/>
          <w:sz w:val="14"/>
          <w:szCs w:val="14"/>
          <w:color w:val="auto"/>
        </w:rPr>
        <w:t>Adjustments to reconcile net income to net cash provided by operating activities:</w:t>
      </w:r>
    </w:p>
    <w:p>
      <w:pPr>
        <w:ind w:left="580"/>
        <w:spacing w:after="0" w:line="222" w:lineRule="auto"/>
        <w:rPr>
          <w:sz w:val="20"/>
          <w:szCs w:val="20"/>
          <w:color w:val="auto"/>
        </w:rPr>
      </w:pPr>
      <w:r>
        <w:rPr>
          <w:rFonts w:ascii="Arial" w:cs="Arial" w:eastAsia="Arial" w:hAnsi="Arial"/>
          <w:sz w:val="14"/>
          <w:szCs w:val="14"/>
          <w:color w:val="auto"/>
        </w:rPr>
        <w:t>Cumulative effect of change in accounting principle</w:t>
      </w:r>
    </w:p>
    <w:p>
      <w:pPr>
        <w:ind w:left="580"/>
        <w:spacing w:after="0" w:line="221" w:lineRule="auto"/>
        <w:rPr>
          <w:sz w:val="20"/>
          <w:szCs w:val="20"/>
          <w:color w:val="auto"/>
        </w:rPr>
      </w:pPr>
      <w:r>
        <w:rPr>
          <w:rFonts w:ascii="Arial" w:cs="Arial" w:eastAsia="Arial" w:hAnsi="Arial"/>
          <w:sz w:val="14"/>
          <w:szCs w:val="14"/>
          <w:color w:val="auto"/>
        </w:rPr>
        <w:t>Depreciation of property, plant and equipment</w:t>
      </w:r>
    </w:p>
    <w:p>
      <w:pPr>
        <w:ind w:left="580"/>
        <w:spacing w:after="0" w:line="222" w:lineRule="auto"/>
        <w:rPr>
          <w:sz w:val="20"/>
          <w:szCs w:val="20"/>
          <w:color w:val="auto"/>
        </w:rPr>
      </w:pPr>
      <w:r>
        <w:rPr>
          <w:rFonts w:ascii="Arial" w:cs="Arial" w:eastAsia="Arial" w:hAnsi="Arial"/>
          <w:sz w:val="14"/>
          <w:szCs w:val="14"/>
          <w:color w:val="auto"/>
        </w:rPr>
        <w:t>Amortization of goodwill and other intangibles</w:t>
      </w:r>
    </w:p>
    <w:p>
      <w:pPr>
        <w:ind w:left="580"/>
        <w:spacing w:after="0" w:line="221" w:lineRule="auto"/>
        <w:rPr>
          <w:sz w:val="20"/>
          <w:szCs w:val="20"/>
          <w:color w:val="auto"/>
        </w:rPr>
      </w:pPr>
      <w:r>
        <w:rPr>
          <w:rFonts w:ascii="Arial" w:cs="Arial" w:eastAsia="Arial" w:hAnsi="Arial"/>
          <w:sz w:val="14"/>
          <w:szCs w:val="14"/>
          <w:color w:val="auto"/>
        </w:rPr>
        <w:t>Net pension benefit</w:t>
      </w:r>
    </w:p>
    <w:p>
      <w:pPr>
        <w:ind w:left="580"/>
        <w:spacing w:after="0" w:line="222" w:lineRule="auto"/>
        <w:rPr>
          <w:sz w:val="20"/>
          <w:szCs w:val="20"/>
          <w:color w:val="auto"/>
        </w:rPr>
      </w:pPr>
      <w:r>
        <w:rPr>
          <w:rFonts w:ascii="Arial" w:cs="Arial" w:eastAsia="Arial" w:hAnsi="Arial"/>
          <w:sz w:val="14"/>
          <w:szCs w:val="14"/>
          <w:color w:val="auto"/>
        </w:rPr>
        <w:t>Early retirement program expense</w:t>
      </w:r>
    </w:p>
    <w:p>
      <w:pPr>
        <w:ind w:left="580" w:right="1280"/>
        <w:spacing w:after="0" w:line="238" w:lineRule="auto"/>
        <w:rPr>
          <w:sz w:val="20"/>
          <w:szCs w:val="20"/>
          <w:color w:val="auto"/>
        </w:rPr>
      </w:pPr>
      <w:r>
        <w:rPr>
          <w:rFonts w:ascii="Arial" w:cs="Arial" w:eastAsia="Arial" w:hAnsi="Arial"/>
          <w:sz w:val="13"/>
          <w:szCs w:val="13"/>
          <w:color w:val="auto"/>
        </w:rPr>
        <w:t>Gain from sale or exchange of businesses Gain on sale of property, plant and equipment</w:t>
      </w:r>
    </w:p>
    <w:p>
      <w:pPr>
        <w:spacing w:after="0" w:line="1" w:lineRule="exact"/>
        <w:rPr>
          <w:sz w:val="20"/>
          <w:szCs w:val="20"/>
          <w:color w:val="auto"/>
        </w:rPr>
      </w:pPr>
    </w:p>
    <w:p>
      <w:pPr>
        <w:ind w:left="720" w:hanging="134"/>
        <w:spacing w:after="0" w:line="221" w:lineRule="auto"/>
        <w:rPr>
          <w:sz w:val="20"/>
          <w:szCs w:val="20"/>
          <w:color w:val="auto"/>
        </w:rPr>
      </w:pPr>
      <w:r>
        <w:rPr>
          <w:rFonts w:ascii="Arial" w:cs="Arial" w:eastAsia="Arial" w:hAnsi="Arial"/>
          <w:sz w:val="14"/>
          <w:szCs w:val="14"/>
          <w:color w:val="auto"/>
        </w:rPr>
        <w:t>Gain on disposition of marketable equity securities and cost method investments, net</w:t>
      </w:r>
    </w:p>
    <w:p>
      <w:pPr>
        <w:ind w:left="580"/>
        <w:spacing w:after="0" w:line="222" w:lineRule="auto"/>
        <w:rPr>
          <w:sz w:val="20"/>
          <w:szCs w:val="20"/>
          <w:color w:val="auto"/>
        </w:rPr>
      </w:pPr>
      <w:r>
        <w:rPr>
          <w:rFonts w:ascii="Arial" w:cs="Arial" w:eastAsia="Arial" w:hAnsi="Arial"/>
          <w:sz w:val="14"/>
          <w:szCs w:val="14"/>
          <w:color w:val="auto"/>
        </w:rPr>
        <w:t>Cost method investment and other write-downs</w:t>
      </w:r>
    </w:p>
    <w:p>
      <w:pPr>
        <w:ind w:left="580"/>
        <w:spacing w:after="0" w:line="221" w:lineRule="auto"/>
        <w:rPr>
          <w:sz w:val="20"/>
          <w:szCs w:val="20"/>
          <w:color w:val="auto"/>
        </w:rPr>
      </w:pPr>
      <w:r>
        <w:rPr>
          <w:rFonts w:ascii="Arial" w:cs="Arial" w:eastAsia="Arial" w:hAnsi="Arial"/>
          <w:sz w:val="14"/>
          <w:szCs w:val="14"/>
          <w:color w:val="auto"/>
        </w:rPr>
        <w:t>Equity in losses of affiliates, net of distributions</w:t>
      </w:r>
    </w:p>
    <w:p>
      <w:pPr>
        <w:ind w:left="580"/>
        <w:spacing w:after="0" w:line="222" w:lineRule="auto"/>
        <w:rPr>
          <w:sz w:val="20"/>
          <w:szCs w:val="20"/>
          <w:color w:val="auto"/>
        </w:rPr>
      </w:pPr>
      <w:r>
        <w:rPr>
          <w:rFonts w:ascii="Arial" w:cs="Arial" w:eastAsia="Arial" w:hAnsi="Arial"/>
          <w:sz w:val="14"/>
          <w:szCs w:val="14"/>
          <w:color w:val="auto"/>
        </w:rPr>
        <w:t>Foreign exchange gain</w:t>
      </w:r>
    </w:p>
    <w:p>
      <w:pPr>
        <w:ind w:left="580"/>
        <w:spacing w:after="0" w:line="221" w:lineRule="auto"/>
        <w:rPr>
          <w:sz w:val="20"/>
          <w:szCs w:val="20"/>
          <w:color w:val="auto"/>
        </w:rPr>
      </w:pPr>
      <w:r>
        <w:rPr>
          <w:rFonts w:ascii="Arial" w:cs="Arial" w:eastAsia="Arial" w:hAnsi="Arial"/>
          <w:sz w:val="14"/>
          <w:szCs w:val="14"/>
          <w:color w:val="auto"/>
        </w:rPr>
        <w:t>Provision for deferred income taxes</w:t>
      </w:r>
    </w:p>
    <w:p>
      <w:pPr>
        <w:ind w:left="580"/>
        <w:spacing w:after="0" w:line="222" w:lineRule="auto"/>
        <w:rPr>
          <w:sz w:val="20"/>
          <w:szCs w:val="20"/>
          <w:color w:val="auto"/>
        </w:rPr>
      </w:pPr>
      <w:r>
        <w:rPr>
          <w:rFonts w:ascii="Arial" w:cs="Arial" w:eastAsia="Arial" w:hAnsi="Arial"/>
          <w:sz w:val="14"/>
          <w:szCs w:val="14"/>
          <w:color w:val="auto"/>
        </w:rPr>
        <w:t>Change in assets and liabilities:</w:t>
      </w:r>
    </w:p>
    <w:p>
      <w:pPr>
        <w:ind w:left="880"/>
        <w:spacing w:after="0" w:line="221" w:lineRule="auto"/>
        <w:rPr>
          <w:sz w:val="20"/>
          <w:szCs w:val="20"/>
          <w:color w:val="auto"/>
        </w:rPr>
      </w:pPr>
      <w:r>
        <w:rPr>
          <w:rFonts w:ascii="Arial" w:cs="Arial" w:eastAsia="Arial" w:hAnsi="Arial"/>
          <w:sz w:val="14"/>
          <w:szCs w:val="14"/>
          <w:color w:val="auto"/>
        </w:rPr>
        <w:t>Increase in accounts receivable, net</w:t>
      </w:r>
    </w:p>
    <w:p>
      <w:pPr>
        <w:ind w:left="880"/>
        <w:spacing w:after="0" w:line="222" w:lineRule="auto"/>
        <w:rPr>
          <w:sz w:val="20"/>
          <w:szCs w:val="20"/>
          <w:color w:val="auto"/>
        </w:rPr>
      </w:pPr>
      <w:r>
        <w:rPr>
          <w:rFonts w:ascii="Arial" w:cs="Arial" w:eastAsia="Arial" w:hAnsi="Arial"/>
          <w:sz w:val="14"/>
          <w:szCs w:val="14"/>
          <w:color w:val="auto"/>
        </w:rPr>
        <w:t>Decrease (increase) in inventories</w:t>
      </w:r>
    </w:p>
    <w:p>
      <w:pPr>
        <w:ind w:left="880" w:right="40"/>
        <w:spacing w:after="0" w:line="221" w:lineRule="auto"/>
        <w:rPr>
          <w:sz w:val="20"/>
          <w:szCs w:val="20"/>
          <w:color w:val="auto"/>
        </w:rPr>
      </w:pPr>
      <w:r>
        <w:rPr>
          <w:rFonts w:ascii="Arial" w:cs="Arial" w:eastAsia="Arial" w:hAnsi="Arial"/>
          <w:sz w:val="14"/>
          <w:szCs w:val="14"/>
          <w:color w:val="auto"/>
        </w:rPr>
        <w:t>Increase (decrease) in accounts payable and accrued liabilities (Increase) decrease in income taxes receivable</w:t>
      </w:r>
    </w:p>
    <w:p>
      <w:pPr>
        <w:spacing w:after="0" w:line="1" w:lineRule="exact"/>
        <w:rPr>
          <w:sz w:val="20"/>
          <w:szCs w:val="20"/>
          <w:color w:val="auto"/>
        </w:rPr>
      </w:pPr>
    </w:p>
    <w:p>
      <w:pPr>
        <w:ind w:left="580" w:right="840" w:firstLine="297"/>
        <w:spacing w:after="0" w:line="237" w:lineRule="auto"/>
        <w:rPr>
          <w:sz w:val="20"/>
          <w:szCs w:val="20"/>
          <w:color w:val="auto"/>
        </w:rPr>
      </w:pPr>
      <w:r>
        <w:rPr>
          <w:rFonts w:ascii="Arial" w:cs="Arial" w:eastAsia="Arial" w:hAnsi="Arial"/>
          <w:sz w:val="14"/>
          <w:szCs w:val="14"/>
          <w:color w:val="auto"/>
        </w:rPr>
        <w:t>Decrease in other assets and other liabilities, net Other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cash provided by operating activities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Investing Activities:</w:t>
      </w:r>
    </w:p>
    <w:p>
      <w:pPr>
        <w:ind w:left="300"/>
        <w:spacing w:after="0" w:line="221" w:lineRule="auto"/>
        <w:rPr>
          <w:sz w:val="20"/>
          <w:szCs w:val="20"/>
          <w:color w:val="auto"/>
        </w:rPr>
      </w:pPr>
      <w:r>
        <w:rPr>
          <w:rFonts w:ascii="Arial" w:cs="Arial" w:eastAsia="Arial" w:hAnsi="Arial"/>
          <w:sz w:val="14"/>
          <w:szCs w:val="14"/>
          <w:color w:val="auto"/>
        </w:rPr>
        <w:t>Investments in certain businesses</w:t>
      </w:r>
    </w:p>
    <w:p>
      <w:pPr>
        <w:ind w:left="300"/>
        <w:spacing w:after="0" w:line="221" w:lineRule="auto"/>
        <w:rPr>
          <w:sz w:val="20"/>
          <w:szCs w:val="20"/>
          <w:color w:val="auto"/>
        </w:rPr>
      </w:pPr>
      <w:r>
        <w:rPr>
          <w:rFonts w:ascii="Arial" w:cs="Arial" w:eastAsia="Arial" w:hAnsi="Arial"/>
          <w:sz w:val="14"/>
          <w:szCs w:val="14"/>
          <w:color w:val="auto"/>
        </w:rPr>
        <w:t>Net proceeds from sale of businesses</w:t>
      </w:r>
    </w:p>
    <w:p>
      <w:pPr>
        <w:ind w:left="300"/>
        <w:spacing w:after="0" w:line="222" w:lineRule="auto"/>
        <w:rPr>
          <w:sz w:val="20"/>
          <w:szCs w:val="20"/>
          <w:color w:val="auto"/>
        </w:rPr>
      </w:pPr>
      <w:r>
        <w:rPr>
          <w:rFonts w:ascii="Arial" w:cs="Arial" w:eastAsia="Arial" w:hAnsi="Arial"/>
          <w:sz w:val="14"/>
          <w:szCs w:val="14"/>
          <w:color w:val="auto"/>
        </w:rPr>
        <w:t>Purchases of property, plant and equipment</w:t>
      </w:r>
    </w:p>
    <w:p>
      <w:pPr>
        <w:ind w:left="300"/>
        <w:spacing w:after="0" w:line="221" w:lineRule="auto"/>
        <w:rPr>
          <w:sz w:val="20"/>
          <w:szCs w:val="20"/>
          <w:color w:val="auto"/>
        </w:rPr>
      </w:pPr>
      <w:r>
        <w:rPr>
          <w:rFonts w:ascii="Arial" w:cs="Arial" w:eastAsia="Arial" w:hAnsi="Arial"/>
          <w:sz w:val="14"/>
          <w:szCs w:val="14"/>
          <w:color w:val="auto"/>
        </w:rPr>
        <w:t>Proceeds from sale of property, plant and equipment</w:t>
      </w:r>
    </w:p>
    <w:p>
      <w:pPr>
        <w:ind w:left="300"/>
        <w:spacing w:after="0" w:line="222" w:lineRule="auto"/>
        <w:rPr>
          <w:sz w:val="20"/>
          <w:szCs w:val="20"/>
          <w:color w:val="auto"/>
        </w:rPr>
      </w:pPr>
      <w:r>
        <w:rPr>
          <w:rFonts w:ascii="Arial" w:cs="Arial" w:eastAsia="Arial" w:hAnsi="Arial"/>
          <w:sz w:val="14"/>
          <w:szCs w:val="14"/>
          <w:color w:val="auto"/>
        </w:rPr>
        <w:t>Purchases of cost method investments</w:t>
      </w:r>
    </w:p>
    <w:p>
      <w:pPr>
        <w:ind w:left="300"/>
        <w:spacing w:after="0" w:line="221" w:lineRule="auto"/>
        <w:rPr>
          <w:sz w:val="20"/>
          <w:szCs w:val="20"/>
          <w:color w:val="auto"/>
        </w:rPr>
      </w:pPr>
      <w:r>
        <w:rPr>
          <w:rFonts w:ascii="Arial" w:cs="Arial" w:eastAsia="Arial" w:hAnsi="Arial"/>
          <w:sz w:val="14"/>
          <w:szCs w:val="14"/>
          <w:color w:val="auto"/>
        </w:rPr>
        <w:t>Investments in affiliates</w:t>
      </w:r>
    </w:p>
    <w:p>
      <w:pPr>
        <w:ind w:left="300"/>
        <w:spacing w:after="0" w:line="222" w:lineRule="auto"/>
        <w:rPr>
          <w:sz w:val="20"/>
          <w:szCs w:val="20"/>
          <w:color w:val="auto"/>
        </w:rPr>
      </w:pPr>
      <w:r>
        <w:rPr>
          <w:rFonts w:ascii="Arial" w:cs="Arial" w:eastAsia="Arial" w:hAnsi="Arial"/>
          <w:sz w:val="14"/>
          <w:szCs w:val="14"/>
          <w:color w:val="auto"/>
        </w:rPr>
        <w:t>Purchases of marketable equity securities</w:t>
      </w:r>
    </w:p>
    <w:p>
      <w:pPr>
        <w:ind w:left="300"/>
        <w:spacing w:after="0"/>
        <w:rPr>
          <w:sz w:val="20"/>
          <w:szCs w:val="20"/>
          <w:color w:val="auto"/>
        </w:rPr>
      </w:pPr>
      <w:r>
        <w:rPr>
          <w:rFonts w:ascii="Arial" w:cs="Arial" w:eastAsia="Arial" w:hAnsi="Arial"/>
          <w:sz w:val="14"/>
          <w:szCs w:val="14"/>
          <w:color w:val="auto"/>
        </w:rPr>
        <w:t>Proceeds from sale of marketable equity securities</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Net cash used in investing activities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ind w:left="300"/>
        <w:spacing w:after="0" w:line="221" w:lineRule="auto"/>
        <w:rPr>
          <w:sz w:val="20"/>
          <w:szCs w:val="20"/>
          <w:color w:val="auto"/>
        </w:rPr>
      </w:pPr>
      <w:r>
        <w:rPr>
          <w:rFonts w:ascii="Arial" w:cs="Arial" w:eastAsia="Arial" w:hAnsi="Arial"/>
          <w:sz w:val="14"/>
          <w:szCs w:val="14"/>
          <w:color w:val="auto"/>
        </w:rPr>
        <w:t>Repayment of commercial paper, net</w:t>
      </w:r>
    </w:p>
    <w:p>
      <w:pPr>
        <w:ind w:left="300"/>
        <w:spacing w:after="0" w:line="221" w:lineRule="auto"/>
        <w:rPr>
          <w:sz w:val="20"/>
          <w:szCs w:val="20"/>
          <w:color w:val="auto"/>
        </w:rPr>
      </w:pPr>
      <w:r>
        <w:rPr>
          <w:rFonts w:ascii="Arial" w:cs="Arial" w:eastAsia="Arial" w:hAnsi="Arial"/>
          <w:sz w:val="14"/>
          <w:szCs w:val="14"/>
          <w:color w:val="auto"/>
        </w:rPr>
        <w:t>Principal payments on debt</w:t>
      </w:r>
    </w:p>
    <w:p>
      <w:pPr>
        <w:ind w:left="300"/>
        <w:spacing w:after="0" w:line="222" w:lineRule="auto"/>
        <w:rPr>
          <w:sz w:val="20"/>
          <w:szCs w:val="20"/>
          <w:color w:val="auto"/>
        </w:rPr>
      </w:pPr>
      <w:r>
        <w:rPr>
          <w:rFonts w:ascii="Arial" w:cs="Arial" w:eastAsia="Arial" w:hAnsi="Arial"/>
          <w:sz w:val="14"/>
          <w:szCs w:val="14"/>
          <w:color w:val="auto"/>
        </w:rPr>
        <w:t>Dividends paid</w:t>
      </w:r>
    </w:p>
    <w:p>
      <w:pPr>
        <w:ind w:left="300"/>
        <w:spacing w:after="0" w:line="221" w:lineRule="auto"/>
        <w:rPr>
          <w:sz w:val="20"/>
          <w:szCs w:val="20"/>
          <w:color w:val="auto"/>
        </w:rPr>
      </w:pPr>
      <w:r>
        <w:rPr>
          <w:rFonts w:ascii="Arial" w:cs="Arial" w:eastAsia="Arial" w:hAnsi="Arial"/>
          <w:sz w:val="14"/>
          <w:szCs w:val="14"/>
          <w:color w:val="auto"/>
        </w:rPr>
        <w:t>Common shares repurchased</w:t>
      </w:r>
    </w:p>
    <w:p>
      <w:pPr>
        <w:ind w:left="300"/>
        <w:spacing w:after="0" w:line="222" w:lineRule="auto"/>
        <w:rPr>
          <w:sz w:val="20"/>
          <w:szCs w:val="20"/>
          <w:color w:val="auto"/>
        </w:rPr>
      </w:pPr>
      <w:r>
        <w:rPr>
          <w:rFonts w:ascii="Arial" w:cs="Arial" w:eastAsia="Arial" w:hAnsi="Arial"/>
          <w:sz w:val="14"/>
          <w:szCs w:val="14"/>
          <w:color w:val="auto"/>
        </w:rPr>
        <w:t>Proceeds from exercise of stock options</w:t>
      </w:r>
    </w:p>
    <w:p>
      <w:pPr>
        <w:ind w:left="30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jc w:val="right"/>
              <w:ind w:right="948"/>
              <w:spacing w:after="0"/>
              <w:rPr>
                <w:sz w:val="20"/>
                <w:szCs w:val="20"/>
                <w:color w:val="auto"/>
              </w:rPr>
            </w:pPr>
            <w:r>
              <w:rPr>
                <w:rFonts w:ascii="Arial" w:cs="Arial" w:eastAsia="Arial" w:hAnsi="Arial"/>
                <w:sz w:val="14"/>
                <w:szCs w:val="14"/>
                <w:b w:val="1"/>
                <w:bCs w:val="1"/>
                <w:color w:val="auto"/>
              </w:rPr>
              <w:t>$ 332,732</w:t>
            </w:r>
          </w:p>
        </w:tc>
        <w:tc>
          <w:tcPr>
            <w:tcW w:w="2380" w:type="dxa"/>
            <w:vAlign w:val="bottom"/>
          </w:tcPr>
          <w:p>
            <w:pPr>
              <w:jc w:val="right"/>
              <w:ind w:right="748"/>
              <w:spacing w:after="0"/>
              <w:rPr>
                <w:sz w:val="20"/>
                <w:szCs w:val="20"/>
                <w:color w:val="auto"/>
              </w:rPr>
            </w:pPr>
            <w:r>
              <w:rPr>
                <w:rFonts w:ascii="Arial" w:cs="Arial" w:eastAsia="Arial" w:hAnsi="Arial"/>
                <w:sz w:val="14"/>
                <w:szCs w:val="14"/>
                <w:color w:val="auto"/>
              </w:rPr>
              <w:t>$ 241,088</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$ 204,268</w:t>
            </w:r>
          </w:p>
        </w:tc>
      </w:tr>
      <w:tr>
        <w:trPr>
          <w:trHeight w:val="408"/>
        </w:trPr>
        <w:tc>
          <w:tcPr>
            <w:tcW w:w="2340" w:type="dxa"/>
            <w:vAlign w:val="bottom"/>
          </w:tcPr>
          <w:p>
            <w:pPr>
              <w:jc w:val="right"/>
              <w:ind w:right="948"/>
              <w:spacing w:after="0"/>
              <w:rPr>
                <w:sz w:val="20"/>
                <w:szCs w:val="20"/>
                <w:color w:val="auto"/>
              </w:rPr>
            </w:pPr>
            <w:r>
              <w:rPr>
                <w:rFonts w:ascii="Arial" w:cs="Arial" w:eastAsia="Arial" w:hAnsi="Arial"/>
                <w:sz w:val="14"/>
                <w:szCs w:val="14"/>
                <w:b w:val="1"/>
                <w:bCs w:val="1"/>
                <w:color w:val="auto"/>
              </w:rPr>
              <w:t>—</w:t>
            </w:r>
          </w:p>
        </w:tc>
        <w:tc>
          <w:tcPr>
            <w:tcW w:w="23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12,100</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175,338</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173,848</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171,908</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9,334</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1,436</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655</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(41,954)</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(55,137)</w:t>
            </w:r>
          </w:p>
        </w:tc>
        <w:tc>
          <w:tcPr>
            <w:tcW w:w="18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(64,447)</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132</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34,135</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19,001</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(497)</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(49,762)</w:t>
            </w:r>
          </w:p>
        </w:tc>
        <w:tc>
          <w:tcPr>
            <w:tcW w:w="18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(27,844)</w:t>
            </w:r>
          </w:p>
        </w:tc>
      </w:tr>
      <w:tr>
        <w:trPr>
          <w:trHeight w:val="186"/>
        </w:trPr>
        <w:tc>
          <w:tcPr>
            <w:tcW w:w="2340" w:type="dxa"/>
            <w:vAlign w:val="bottom"/>
          </w:tcPr>
          <w:p>
            <w:pPr>
              <w:jc w:val="right"/>
              <w:ind w:right="908"/>
              <w:spacing w:after="0"/>
              <w:rPr>
                <w:sz w:val="20"/>
                <w:szCs w:val="20"/>
                <w:color w:val="auto"/>
              </w:rPr>
            </w:pPr>
            <w:r>
              <w:rPr>
                <w:rFonts w:ascii="Arial" w:cs="Arial" w:eastAsia="Arial" w:hAnsi="Arial"/>
                <w:sz w:val="14"/>
                <w:szCs w:val="14"/>
                <w:b w:val="1"/>
                <w:bCs w:val="1"/>
                <w:color w:val="auto"/>
              </w:rPr>
              <w:t>(2,669)</w:t>
            </w:r>
          </w:p>
        </w:tc>
        <w:tc>
          <w:tcPr>
            <w:tcW w:w="2380" w:type="dxa"/>
            <w:vAlign w:val="bottom"/>
          </w:tcPr>
          <w:p>
            <w:pPr>
              <w:jc w:val="right"/>
              <w:ind w:right="708"/>
              <w:spacing w:after="0"/>
              <w:rPr>
                <w:sz w:val="20"/>
                <w:szCs w:val="20"/>
                <w:color w:val="auto"/>
              </w:rPr>
            </w:pPr>
            <w:r>
              <w:rPr>
                <w:rFonts w:ascii="Arial" w:cs="Arial" w:eastAsia="Arial" w:hAnsi="Arial"/>
                <w:sz w:val="14"/>
                <w:szCs w:val="14"/>
                <w:color w:val="auto"/>
              </w:rPr>
              <w:t>(41,734)</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w:t>
            </w:r>
          </w:p>
        </w:tc>
      </w:tr>
      <w:tr>
        <w:trPr>
          <w:trHeight w:val="259"/>
        </w:trPr>
        <w:tc>
          <w:tcPr>
            <w:tcW w:w="2340" w:type="dxa"/>
            <w:vAlign w:val="bottom"/>
          </w:tcPr>
          <w:p>
            <w:pPr>
              <w:jc w:val="right"/>
              <w:ind w:right="948"/>
              <w:spacing w:after="0"/>
              <w:rPr>
                <w:sz w:val="20"/>
                <w:szCs w:val="20"/>
                <w:color w:val="auto"/>
              </w:rPr>
            </w:pPr>
            <w:r>
              <w:rPr>
                <w:rFonts w:ascii="Arial" w:cs="Arial" w:eastAsia="Arial" w:hAnsi="Arial"/>
                <w:sz w:val="14"/>
                <w:szCs w:val="14"/>
                <w:b w:val="1"/>
                <w:bCs w:val="1"/>
                <w:color w:val="auto"/>
              </w:rPr>
              <w:t>—</w:t>
            </w:r>
          </w:p>
        </w:tc>
        <w:tc>
          <w:tcPr>
            <w:tcW w:w="23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388"/>
              <w:spacing w:after="0"/>
              <w:rPr>
                <w:sz w:val="20"/>
                <w:szCs w:val="20"/>
                <w:color w:val="auto"/>
              </w:rPr>
            </w:pPr>
            <w:r>
              <w:rPr>
                <w:rFonts w:ascii="Arial" w:cs="Arial" w:eastAsia="Arial" w:hAnsi="Arial"/>
                <w:sz w:val="14"/>
                <w:szCs w:val="14"/>
                <w:color w:val="auto"/>
              </w:rPr>
              <w:t>(13,209)</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677</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1,337</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21,194</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3,091</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10,516</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20,018</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(5,505)</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(4,187)</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w:t>
            </w:r>
          </w:p>
        </w:tc>
      </w:tr>
      <w:tr>
        <w:trPr>
          <w:trHeight w:val="186"/>
        </w:trPr>
        <w:tc>
          <w:tcPr>
            <w:tcW w:w="2340" w:type="dxa"/>
            <w:vAlign w:val="bottom"/>
          </w:tcPr>
          <w:p>
            <w:pPr>
              <w:jc w:val="right"/>
              <w:ind w:right="948"/>
              <w:spacing w:after="0"/>
              <w:rPr>
                <w:sz w:val="20"/>
                <w:szCs w:val="20"/>
                <w:color w:val="auto"/>
              </w:rPr>
            </w:pPr>
            <w:r>
              <w:rPr>
                <w:rFonts w:ascii="Arial" w:cs="Arial" w:eastAsia="Arial" w:hAnsi="Arial"/>
                <w:sz w:val="14"/>
                <w:szCs w:val="14"/>
                <w:b w:val="1"/>
                <w:bCs w:val="1"/>
                <w:color w:val="auto"/>
              </w:rPr>
              <w:t>44,321</w:t>
            </w:r>
          </w:p>
        </w:tc>
        <w:tc>
          <w:tcPr>
            <w:tcW w:w="2380" w:type="dxa"/>
            <w:vAlign w:val="bottom"/>
          </w:tcPr>
          <w:p>
            <w:pPr>
              <w:jc w:val="right"/>
              <w:ind w:right="748"/>
              <w:spacing w:after="0"/>
              <w:rPr>
                <w:sz w:val="20"/>
                <w:szCs w:val="20"/>
                <w:color w:val="auto"/>
              </w:rPr>
            </w:pPr>
            <w:r>
              <w:rPr>
                <w:rFonts w:ascii="Arial" w:cs="Arial" w:eastAsia="Arial" w:hAnsi="Arial"/>
                <w:sz w:val="14"/>
                <w:szCs w:val="14"/>
                <w:color w:val="auto"/>
              </w:rPr>
              <w:t>30,704</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50,115</w:t>
            </w:r>
          </w:p>
        </w:tc>
      </w:tr>
      <w:tr>
        <w:trPr>
          <w:trHeight w:val="259"/>
        </w:trPr>
        <w:tc>
          <w:tcPr>
            <w:tcW w:w="2340" w:type="dxa"/>
            <w:vAlign w:val="bottom"/>
          </w:tcPr>
          <w:p>
            <w:pPr>
              <w:jc w:val="right"/>
              <w:ind w:right="908"/>
              <w:spacing w:after="0"/>
              <w:rPr>
                <w:sz w:val="20"/>
                <w:szCs w:val="20"/>
                <w:color w:val="auto"/>
              </w:rPr>
            </w:pPr>
            <w:r>
              <w:rPr>
                <w:rFonts w:ascii="Arial" w:cs="Arial" w:eastAsia="Arial" w:hAnsi="Arial"/>
                <w:sz w:val="14"/>
                <w:szCs w:val="14"/>
                <w:b w:val="1"/>
                <w:bCs w:val="1"/>
                <w:color w:val="auto"/>
              </w:rPr>
              <w:t>(23,722)</w:t>
            </w:r>
          </w:p>
        </w:tc>
        <w:tc>
          <w:tcPr>
            <w:tcW w:w="2380" w:type="dxa"/>
            <w:vAlign w:val="bottom"/>
          </w:tcPr>
          <w:p>
            <w:pPr>
              <w:jc w:val="right"/>
              <w:ind w:right="708"/>
              <w:spacing w:after="0"/>
              <w:rPr>
                <w:sz w:val="20"/>
                <w:szCs w:val="20"/>
                <w:color w:val="auto"/>
              </w:rPr>
            </w:pPr>
            <w:r>
              <w:rPr>
                <w:rFonts w:ascii="Arial" w:cs="Arial" w:eastAsia="Arial" w:hAnsi="Arial"/>
                <w:sz w:val="14"/>
                <w:szCs w:val="14"/>
                <w:color w:val="auto"/>
              </w:rPr>
              <w:t>(9,936)</w:t>
            </w:r>
          </w:p>
        </w:tc>
        <w:tc>
          <w:tcPr>
            <w:tcW w:w="1880" w:type="dxa"/>
            <w:vAlign w:val="bottom"/>
          </w:tcPr>
          <w:p>
            <w:pPr>
              <w:jc w:val="right"/>
              <w:ind w:right="388"/>
              <w:spacing w:after="0"/>
              <w:rPr>
                <w:sz w:val="20"/>
                <w:szCs w:val="20"/>
                <w:color w:val="auto"/>
              </w:rPr>
            </w:pPr>
            <w:r>
              <w:rPr>
                <w:rFonts w:ascii="Arial" w:cs="Arial" w:eastAsia="Arial" w:hAnsi="Arial"/>
                <w:sz w:val="14"/>
                <w:szCs w:val="14"/>
                <w:color w:val="auto"/>
              </w:rPr>
              <w:t>(1,116)</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2,640</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829</w:t>
            </w:r>
          </w:p>
        </w:tc>
        <w:tc>
          <w:tcPr>
            <w:tcW w:w="18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(11,142)</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70,058</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(14,308)</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73,653</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(13,079)</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(10,171)</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15,106</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3,477</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34,460</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21,360</w:t>
            </w:r>
          </w:p>
        </w:tc>
      </w:tr>
      <w:tr>
        <w:trPr>
          <w:trHeight w:val="171"/>
        </w:trPr>
        <w:tc>
          <w:tcPr>
            <w:tcW w:w="234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7,347</w:t>
            </w:r>
          </w:p>
        </w:tc>
        <w:tc>
          <w:tcPr>
            <w:tcW w:w="23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(5,404)</w:t>
            </w:r>
          </w:p>
        </w:tc>
        <w:tc>
          <w:tcPr>
            <w:tcW w:w="1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5,846</w:t>
            </w:r>
          </w:p>
        </w:tc>
      </w:tr>
      <w:tr>
        <w:trPr>
          <w:trHeight w:val="304"/>
        </w:trPr>
        <w:tc>
          <w:tcPr>
            <w:tcW w:w="234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561,721</w:t>
            </w:r>
          </w:p>
        </w:tc>
        <w:tc>
          <w:tcPr>
            <w:tcW w:w="2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337,714</w:t>
            </w:r>
          </w:p>
        </w:tc>
        <w:tc>
          <w:tcPr>
            <w:tcW w:w="1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497,466</w:t>
            </w:r>
          </w:p>
        </w:tc>
      </w:tr>
      <w:tr>
        <w:trPr>
          <w:trHeight w:val="281"/>
        </w:trPr>
        <w:tc>
          <w:tcPr>
            <w:tcW w:w="2340" w:type="dxa"/>
            <w:vAlign w:val="bottom"/>
          </w:tcPr>
          <w:p>
            <w:pPr>
              <w:jc w:val="right"/>
              <w:ind w:right="908"/>
              <w:spacing w:after="0"/>
              <w:rPr>
                <w:sz w:val="20"/>
                <w:szCs w:val="20"/>
                <w:color w:val="auto"/>
              </w:rPr>
            </w:pPr>
            <w:r>
              <w:rPr>
                <w:rFonts w:ascii="Arial" w:cs="Arial" w:eastAsia="Arial" w:hAnsi="Arial"/>
                <w:sz w:val="14"/>
                <w:szCs w:val="14"/>
                <w:b w:val="1"/>
                <w:bCs w:val="1"/>
                <w:color w:val="auto"/>
              </w:rPr>
              <w:t>(55,232)</w:t>
            </w:r>
          </w:p>
        </w:tc>
        <w:tc>
          <w:tcPr>
            <w:tcW w:w="2380" w:type="dxa"/>
            <w:vAlign w:val="bottom"/>
          </w:tcPr>
          <w:p>
            <w:pPr>
              <w:jc w:val="right"/>
              <w:ind w:right="708"/>
              <w:spacing w:after="0"/>
              <w:rPr>
                <w:sz w:val="20"/>
                <w:szCs w:val="20"/>
                <w:color w:val="auto"/>
              </w:rPr>
            </w:pPr>
            <w:r>
              <w:rPr>
                <w:rFonts w:ascii="Arial" w:cs="Arial" w:eastAsia="Arial" w:hAnsi="Arial"/>
                <w:sz w:val="14"/>
                <w:szCs w:val="14"/>
                <w:color w:val="auto"/>
              </w:rPr>
              <w:t>(134,541)</w:t>
            </w:r>
          </w:p>
        </w:tc>
        <w:tc>
          <w:tcPr>
            <w:tcW w:w="1880" w:type="dxa"/>
            <w:vAlign w:val="bottom"/>
          </w:tcPr>
          <w:p>
            <w:pPr>
              <w:jc w:val="right"/>
              <w:ind w:right="388"/>
              <w:spacing w:after="0"/>
              <w:rPr>
                <w:sz w:val="20"/>
                <w:szCs w:val="20"/>
                <w:color w:val="auto"/>
              </w:rPr>
            </w:pPr>
            <w:r>
              <w:rPr>
                <w:rFonts w:ascii="Arial" w:cs="Arial" w:eastAsia="Arial" w:hAnsi="Arial"/>
                <w:sz w:val="14"/>
                <w:szCs w:val="14"/>
                <w:color w:val="auto"/>
              </w:rPr>
              <w:t>(36,016)</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65,000</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(204,632)</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(125,588)</w:t>
            </w:r>
          </w:p>
        </w:tc>
        <w:tc>
          <w:tcPr>
            <w:tcW w:w="18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(152,992)</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5,340</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44,973</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1,484</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(224)</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(849)</w:t>
            </w:r>
          </w:p>
        </w:tc>
        <w:tc>
          <w:tcPr>
            <w:tcW w:w="18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(250)</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(5,976)</w:t>
            </w:r>
          </w:p>
        </w:tc>
        <w:tc>
          <w:tcPr>
            <w:tcW w:w="18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(7,610)</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(94,560)</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w:t>
            </w:r>
          </w:p>
        </w:tc>
      </w:tr>
      <w:tr>
        <w:trPr>
          <w:trHeight w:val="171"/>
        </w:trPr>
        <w:tc>
          <w:tcPr>
            <w:tcW w:w="234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w:t>
            </w:r>
          </w:p>
        </w:tc>
        <w:tc>
          <w:tcPr>
            <w:tcW w:w="2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19,701</w:t>
            </w:r>
          </w:p>
        </w:tc>
      </w:tr>
      <w:tr>
        <w:trPr>
          <w:trHeight w:val="304"/>
        </w:trPr>
        <w:tc>
          <w:tcPr>
            <w:tcW w:w="23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(349,308)</w:t>
            </w:r>
          </w:p>
        </w:tc>
        <w:tc>
          <w:tcPr>
            <w:tcW w:w="23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(156,981)</w:t>
            </w:r>
          </w:p>
        </w:tc>
        <w:tc>
          <w:tcPr>
            <w:tcW w:w="1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(175,683)</w:t>
            </w:r>
          </w:p>
        </w:tc>
      </w:tr>
      <w:tr>
        <w:trPr>
          <w:trHeight w:val="281"/>
        </w:trPr>
        <w:tc>
          <w:tcPr>
            <w:tcW w:w="2340" w:type="dxa"/>
            <w:vAlign w:val="bottom"/>
          </w:tcPr>
          <w:p>
            <w:pPr>
              <w:jc w:val="right"/>
              <w:ind w:right="908"/>
              <w:spacing w:after="0"/>
              <w:rPr>
                <w:sz w:val="20"/>
                <w:szCs w:val="20"/>
                <w:color w:val="auto"/>
              </w:rPr>
            </w:pPr>
            <w:r>
              <w:rPr>
                <w:rFonts w:ascii="Arial" w:cs="Arial" w:eastAsia="Arial" w:hAnsi="Arial"/>
                <w:sz w:val="14"/>
                <w:szCs w:val="14"/>
                <w:b w:val="1"/>
                <w:bCs w:val="1"/>
                <w:color w:val="auto"/>
              </w:rPr>
              <w:t>(138,116)</w:t>
            </w:r>
          </w:p>
        </w:tc>
        <w:tc>
          <w:tcPr>
            <w:tcW w:w="2380" w:type="dxa"/>
            <w:vAlign w:val="bottom"/>
          </w:tcPr>
          <w:p>
            <w:pPr>
              <w:jc w:val="right"/>
              <w:ind w:right="708"/>
              <w:spacing w:after="0"/>
              <w:rPr>
                <w:sz w:val="20"/>
                <w:szCs w:val="20"/>
                <w:color w:val="auto"/>
              </w:rPr>
            </w:pPr>
            <w:r>
              <w:rPr>
                <w:rFonts w:ascii="Arial" w:cs="Arial" w:eastAsia="Arial" w:hAnsi="Arial"/>
                <w:sz w:val="14"/>
                <w:szCs w:val="14"/>
                <w:color w:val="auto"/>
              </w:rPr>
              <w:t>(70,942)</w:t>
            </w:r>
          </w:p>
        </w:tc>
        <w:tc>
          <w:tcPr>
            <w:tcW w:w="1880" w:type="dxa"/>
            <w:vAlign w:val="bottom"/>
          </w:tcPr>
          <w:p>
            <w:pPr>
              <w:jc w:val="right"/>
              <w:ind w:right="388"/>
              <w:spacing w:after="0"/>
              <w:rPr>
                <w:sz w:val="20"/>
                <w:szCs w:val="20"/>
                <w:color w:val="auto"/>
              </w:rPr>
            </w:pPr>
            <w:r>
              <w:rPr>
                <w:rFonts w:ascii="Arial" w:cs="Arial" w:eastAsia="Arial" w:hAnsi="Arial"/>
                <w:sz w:val="14"/>
                <w:szCs w:val="14"/>
                <w:color w:val="auto"/>
              </w:rPr>
              <w:t>(276,189)</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(19,253)</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(784)</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w:t>
            </w:r>
          </w:p>
        </w:tc>
      </w:tr>
      <w:tr>
        <w:trPr>
          <w:trHeight w:val="149"/>
        </w:trPr>
        <w:tc>
          <w:tcPr>
            <w:tcW w:w="2340" w:type="dxa"/>
            <w:vAlign w:val="bottom"/>
          </w:tcPr>
          <w:p>
            <w:pPr>
              <w:jc w:val="right"/>
              <w:ind w:right="908"/>
              <w:spacing w:after="0" w:line="149" w:lineRule="exact"/>
              <w:rPr>
                <w:sz w:val="20"/>
                <w:szCs w:val="20"/>
                <w:color w:val="auto"/>
              </w:rPr>
            </w:pPr>
            <w:r>
              <w:rPr>
                <w:rFonts w:ascii="Arial" w:cs="Arial" w:eastAsia="Arial" w:hAnsi="Arial"/>
                <w:sz w:val="14"/>
                <w:szCs w:val="14"/>
                <w:b w:val="1"/>
                <w:bCs w:val="1"/>
                <w:color w:val="auto"/>
              </w:rPr>
              <w:t>(67,917)</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(56,289)</w:t>
            </w:r>
          </w:p>
        </w:tc>
        <w:tc>
          <w:tcPr>
            <w:tcW w:w="18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(54,256)</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w:t>
            </w:r>
          </w:p>
        </w:tc>
        <w:tc>
          <w:tcPr>
            <w:tcW w:w="238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(687)</w:t>
            </w:r>
          </w:p>
        </w:tc>
        <w:tc>
          <w:tcPr>
            <w:tcW w:w="18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(786)</w:t>
            </w:r>
          </w:p>
        </w:tc>
      </w:tr>
      <w:tr>
        <w:trPr>
          <w:trHeight w:val="149"/>
        </w:trPr>
        <w:tc>
          <w:tcPr>
            <w:tcW w:w="23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rPr>
              <w:t>15,616</w:t>
            </w:r>
          </w:p>
        </w:tc>
        <w:tc>
          <w:tcPr>
            <w:tcW w:w="238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5,898</w:t>
            </w:r>
          </w:p>
        </w:tc>
        <w:tc>
          <w:tcPr>
            <w:tcW w:w="18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6,739</w:t>
            </w:r>
          </w:p>
        </w:tc>
      </w:tr>
      <w:tr>
        <w:trPr>
          <w:trHeight w:val="176"/>
        </w:trPr>
        <w:tc>
          <w:tcPr>
            <w:tcW w:w="2340" w:type="dxa"/>
            <w:vAlign w:val="bottom"/>
          </w:tcPr>
          <w:p>
            <w:pPr>
              <w:jc w:val="right"/>
              <w:ind w:right="908"/>
              <w:spacing w:after="0"/>
              <w:rPr>
                <w:sz w:val="20"/>
                <w:szCs w:val="20"/>
                <w:color w:val="auto"/>
              </w:rPr>
            </w:pPr>
            <w:r>
              <w:rPr>
                <w:rFonts w:ascii="Arial" w:cs="Arial" w:eastAsia="Arial" w:hAnsi="Arial"/>
                <w:sz w:val="14"/>
                <w:szCs w:val="14"/>
                <w:b w:val="1"/>
                <w:bCs w:val="1"/>
                <w:color w:val="auto"/>
              </w:rPr>
              <w:t>(1,953)</w:t>
            </w:r>
          </w:p>
        </w:tc>
        <w:tc>
          <w:tcPr>
            <w:tcW w:w="2380" w:type="dxa"/>
            <w:vAlign w:val="bottom"/>
          </w:tcPr>
          <w:p>
            <w:pPr>
              <w:jc w:val="right"/>
              <w:ind w:right="748"/>
              <w:spacing w:after="0"/>
              <w:rPr>
                <w:sz w:val="20"/>
                <w:szCs w:val="20"/>
                <w:color w:val="auto"/>
              </w:rPr>
            </w:pPr>
            <w:r>
              <w:rPr>
                <w:rFonts w:ascii="Arial" w:cs="Arial" w:eastAsia="Arial" w:hAnsi="Arial"/>
                <w:sz w:val="14"/>
                <w:szCs w:val="14"/>
                <w:color w:val="auto"/>
              </w:rPr>
              <w:t>1,245</w:t>
            </w:r>
          </w:p>
        </w:tc>
        <w:tc>
          <w:tcPr>
            <w:tcW w:w="1880" w:type="dxa"/>
            <w:vAlign w:val="bottom"/>
          </w:tcPr>
          <w:p>
            <w:pPr>
              <w:jc w:val="right"/>
              <w:ind w:right="388"/>
              <w:spacing w:after="0"/>
              <w:rPr>
                <w:sz w:val="20"/>
                <w:szCs w:val="20"/>
                <w:color w:val="auto"/>
              </w:rPr>
            </w:pPr>
            <w:r>
              <w:rPr>
                <w:rFonts w:ascii="Arial" w:cs="Arial" w:eastAsia="Arial" w:hAnsi="Arial"/>
                <w:sz w:val="14"/>
                <w:szCs w:val="14"/>
                <w:color w:val="auto"/>
              </w:rPr>
              <w:t>(1,867)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-4221480</wp:posOffset>
            </wp:positionV>
            <wp:extent cx="724662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-4032885</wp:posOffset>
            </wp:positionV>
            <wp:extent cx="72466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-3750310</wp:posOffset>
            </wp:positionV>
            <wp:extent cx="72466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-3561080</wp:posOffset>
            </wp:positionV>
            <wp:extent cx="724662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-3372485</wp:posOffset>
            </wp:positionV>
            <wp:extent cx="724662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-3183890</wp:posOffset>
            </wp:positionV>
            <wp:extent cx="72466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-2901315</wp:posOffset>
            </wp:positionV>
            <wp:extent cx="724662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-2712085</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-2523490</wp:posOffset>
            </wp:positionV>
            <wp:extent cx="724662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-2334895</wp:posOffset>
            </wp:positionV>
            <wp:extent cx="724662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-2146300</wp:posOffset>
            </wp:positionV>
            <wp:extent cx="724662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-1845945</wp:posOffset>
            </wp:positionV>
            <wp:extent cx="724662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-1640205</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-1451610</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-1263015</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-1074420</wp:posOffset>
            </wp:positionV>
            <wp:extent cx="724662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-774065</wp:posOffset>
            </wp:positionV>
            <wp:extent cx="724662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-568325</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-379730</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-191135</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1935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500" w:space="320"/>
            <w:col w:w="6600"/>
          </w:cols>
          <w:pgMar w:left="240" w:top="95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financing activities</w:t>
            </w:r>
          </w:p>
        </w:tc>
        <w:tc>
          <w:tcPr>
            <w:tcW w:w="8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w w:val="90"/>
              </w:rPr>
              <w:t>(211,623)</w:t>
            </w:r>
          </w:p>
        </w:tc>
        <w:tc>
          <w:tcPr>
            <w:tcW w:w="10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90"/>
              </w:rPr>
              <w:t>(121,559)</w:t>
            </w:r>
          </w:p>
        </w:tc>
        <w:tc>
          <w:tcPr>
            <w:tcW w:w="8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90"/>
              </w:rPr>
              <w:t>(326,359)</w:t>
            </w:r>
          </w:p>
        </w:tc>
        <w:tc>
          <w:tcPr>
            <w:tcW w:w="0" w:type="dxa"/>
            <w:vAlign w:val="bottom"/>
          </w:tcPr>
          <w:p>
            <w:pPr>
              <w:spacing w:after="0"/>
              <w:rPr>
                <w:sz w:val="1"/>
                <w:szCs w:val="1"/>
                <w:color w:val="auto"/>
              </w:rPr>
            </w:pPr>
          </w:p>
        </w:tc>
      </w:tr>
      <w:tr>
        <w:trPr>
          <w:trHeight w:val="156"/>
        </w:trPr>
        <w:tc>
          <w:tcPr>
            <w:tcW w:w="4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Effect of Currency Exchange Rate Change</w:t>
            </w:r>
          </w:p>
        </w:tc>
        <w:tc>
          <w:tcPr>
            <w:tcW w:w="8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b w:val="1"/>
                <w:bCs w:val="1"/>
                <w:color w:val="auto"/>
              </w:rPr>
              <w:t>2,049</w:t>
            </w:r>
          </w:p>
        </w:tc>
        <w:tc>
          <w:tcPr>
            <w:tcW w:w="10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rPr>
              <w:t>737</w:t>
            </w:r>
          </w:p>
        </w:tc>
        <w:tc>
          <w:tcPr>
            <w:tcW w:w="8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80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48"/>
              <w:spacing w:after="0" w:line="149" w:lineRule="exact"/>
              <w:rPr>
                <w:sz w:val="20"/>
                <w:szCs w:val="20"/>
                <w:color w:val="auto"/>
              </w:rPr>
            </w:pPr>
            <w:r>
              <w:rPr>
                <w:rFonts w:ascii="Arial" w:cs="Arial" w:eastAsia="Arial" w:hAnsi="Arial"/>
                <w:sz w:val="14"/>
                <w:szCs w:val="14"/>
                <w:b w:val="1"/>
                <w:bCs w:val="1"/>
                <w:color w:val="auto"/>
              </w:rPr>
              <w:t>2,839</w:t>
            </w:r>
          </w:p>
        </w:tc>
        <w:tc>
          <w:tcPr>
            <w:tcW w:w="104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59,911</w:t>
            </w:r>
          </w:p>
        </w:tc>
        <w:tc>
          <w:tcPr>
            <w:tcW w:w="8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(4,576)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Year</w:t>
            </w:r>
          </w:p>
        </w:tc>
        <w:tc>
          <w:tcPr>
            <w:tcW w:w="8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948"/>
              <w:spacing w:after="0" w:line="149" w:lineRule="exact"/>
              <w:rPr>
                <w:sz w:val="20"/>
                <w:szCs w:val="20"/>
                <w:color w:val="auto"/>
              </w:rPr>
            </w:pPr>
            <w:r>
              <w:rPr>
                <w:rFonts w:ascii="Arial" w:cs="Arial" w:eastAsia="Arial" w:hAnsi="Arial"/>
                <w:sz w:val="14"/>
                <w:szCs w:val="14"/>
                <w:b w:val="1"/>
                <w:bCs w:val="1"/>
                <w:color w:val="auto"/>
                <w:w w:val="98"/>
              </w:rPr>
              <w:t>116,561</w:t>
            </w:r>
          </w:p>
        </w:tc>
        <w:tc>
          <w:tcPr>
            <w:tcW w:w="10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48"/>
              <w:spacing w:after="0" w:line="149" w:lineRule="exact"/>
              <w:rPr>
                <w:sz w:val="20"/>
                <w:szCs w:val="20"/>
                <w:color w:val="auto"/>
              </w:rPr>
            </w:pPr>
            <w:r>
              <w:rPr>
                <w:rFonts w:ascii="Arial" w:cs="Arial" w:eastAsia="Arial" w:hAnsi="Arial"/>
                <w:sz w:val="14"/>
                <w:szCs w:val="14"/>
                <w:color w:val="auto"/>
              </w:rPr>
              <w:t>56,650</w:t>
            </w:r>
          </w:p>
        </w:tc>
        <w:tc>
          <w:tcPr>
            <w:tcW w:w="8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61,226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948"/>
              <w:spacing w:after="0" w:line="149" w:lineRule="exact"/>
              <w:rPr>
                <w:sz w:val="20"/>
                <w:szCs w:val="20"/>
                <w:color w:val="auto"/>
              </w:rPr>
            </w:pPr>
            <w:r>
              <w:rPr>
                <w:rFonts w:ascii="Arial" w:cs="Arial" w:eastAsia="Arial" w:hAnsi="Arial"/>
                <w:sz w:val="14"/>
                <w:szCs w:val="14"/>
                <w:b w:val="1"/>
                <w:bCs w:val="1"/>
                <w:color w:val="auto"/>
                <w:w w:val="98"/>
              </w:rPr>
              <w:t>119,400</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w w:val="98"/>
              </w:rPr>
              <w:t>116,561</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56,650</w:t>
            </w:r>
          </w:p>
        </w:tc>
        <w:tc>
          <w:tcPr>
            <w:tcW w:w="0" w:type="dxa"/>
            <w:vAlign w:val="bottom"/>
          </w:tcPr>
          <w:p>
            <w:pPr>
              <w:spacing w:after="0"/>
              <w:rPr>
                <w:sz w:val="1"/>
                <w:szCs w:val="1"/>
                <w:color w:val="auto"/>
              </w:rPr>
            </w:pPr>
          </w:p>
        </w:tc>
      </w:tr>
      <w:tr>
        <w:trPr>
          <w:trHeight w:val="2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during the year for:</w:t>
            </w:r>
          </w:p>
        </w:tc>
        <w:tc>
          <w:tcPr>
            <w:tcW w:w="8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560"/>
              <w:spacing w:after="0" w:line="149" w:lineRule="exact"/>
              <w:rPr>
                <w:sz w:val="20"/>
                <w:szCs w:val="20"/>
                <w:color w:val="auto"/>
              </w:rPr>
            </w:pPr>
            <w:r>
              <w:rPr>
                <w:rFonts w:ascii="Arial" w:cs="Arial" w:eastAsia="Arial" w:hAnsi="Arial"/>
                <w:sz w:val="14"/>
                <w:szCs w:val="14"/>
                <w:color w:val="auto"/>
              </w:rPr>
              <w:t>Income taxes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948"/>
              <w:spacing w:after="0" w:line="149" w:lineRule="exact"/>
              <w:rPr>
                <w:sz w:val="20"/>
                <w:szCs w:val="20"/>
                <w:color w:val="auto"/>
              </w:rPr>
            </w:pPr>
            <w:r>
              <w:rPr>
                <w:rFonts w:ascii="Arial" w:cs="Arial" w:eastAsia="Arial" w:hAnsi="Arial"/>
                <w:sz w:val="14"/>
                <w:szCs w:val="14"/>
                <w:b w:val="1"/>
                <w:bCs w:val="1"/>
                <w:color w:val="auto"/>
                <w:w w:val="98"/>
              </w:rPr>
              <w:t>171,400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748"/>
              <w:spacing w:after="0" w:line="149" w:lineRule="exact"/>
              <w:rPr>
                <w:sz w:val="20"/>
                <w:szCs w:val="20"/>
                <w:color w:val="auto"/>
              </w:rPr>
            </w:pPr>
            <w:r>
              <w:rPr>
                <w:rFonts w:ascii="Arial" w:cs="Arial" w:eastAsia="Arial" w:hAnsi="Arial"/>
                <w:sz w:val="14"/>
                <w:szCs w:val="14"/>
                <w:color w:val="auto"/>
                <w:w w:val="98"/>
              </w:rPr>
              <w:t>116,900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68,900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net of amounts capitalized</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948"/>
              <w:spacing w:after="0" w:line="149" w:lineRule="exact"/>
              <w:rPr>
                <w:sz w:val="20"/>
                <w:szCs w:val="20"/>
                <w:color w:val="auto"/>
              </w:rPr>
            </w:pPr>
            <w:r>
              <w:rPr>
                <w:rFonts w:ascii="Arial" w:cs="Arial" w:eastAsia="Arial" w:hAnsi="Arial"/>
                <w:sz w:val="14"/>
                <w:szCs w:val="14"/>
                <w:b w:val="1"/>
                <w:bCs w:val="1"/>
                <w:color w:val="auto"/>
              </w:rPr>
              <w:t>25,500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27,500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30,600</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on pages 44 through 57 is an integral part of the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CONSOLIDATED STATEMENTS OF CHANGES IN COMMON SHAREHOLDERS’ EQUITY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jc w:val="center"/>
              <w:ind w:right="12"/>
              <w:spacing w:after="0"/>
              <w:rPr>
                <w:sz w:val="20"/>
                <w:szCs w:val="20"/>
                <w:color w:val="auto"/>
              </w:rPr>
            </w:pPr>
            <w:r>
              <w:rPr>
                <w:rFonts w:ascii="Arial" w:cs="Arial" w:eastAsia="Arial" w:hAnsi="Arial"/>
                <w:sz w:val="13"/>
                <w:szCs w:val="13"/>
                <w:color w:val="auto"/>
                <w:w w:val="92"/>
              </w:rPr>
              <w:t>Cumulative</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Unrealized</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Foreign</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Gain on</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60" w:type="dxa"/>
            <w:vAlign w:val="bottom"/>
          </w:tcPr>
          <w:p>
            <w:pPr>
              <w:jc w:val="center"/>
              <w:ind w:right="32"/>
              <w:spacing w:after="0" w:line="135" w:lineRule="exact"/>
              <w:rPr>
                <w:sz w:val="20"/>
                <w:szCs w:val="20"/>
                <w:color w:val="auto"/>
              </w:rPr>
            </w:pPr>
            <w:r>
              <w:rPr>
                <w:rFonts w:ascii="Arial" w:cs="Arial" w:eastAsia="Arial" w:hAnsi="Arial"/>
                <w:sz w:val="13"/>
                <w:szCs w:val="13"/>
                <w:color w:val="auto"/>
                <w:w w:val="89"/>
              </w:rPr>
              <w:t>Class A</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4"/>
              </w:rPr>
              <w:t>Class B</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2"/>
              </w:rPr>
              <w:t>Capital in</w:t>
            </w:r>
          </w:p>
        </w:tc>
        <w:tc>
          <w:tcPr>
            <w:tcW w:w="1280" w:type="dxa"/>
            <w:vAlign w:val="bottom"/>
          </w:tcPr>
          <w:p>
            <w:pPr>
              <w:spacing w:after="0"/>
              <w:rPr>
                <w:sz w:val="11"/>
                <w:szCs w:val="11"/>
                <w:color w:val="auto"/>
              </w:rPr>
            </w:pPr>
          </w:p>
        </w:tc>
        <w:tc>
          <w:tcPr>
            <w:tcW w:w="128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91"/>
              </w:rPr>
              <w:t>Currency</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Available-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6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85"/>
              </w:rPr>
              <w:t>Common</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Excess of</w:t>
            </w:r>
          </w:p>
        </w:tc>
        <w:tc>
          <w:tcPr>
            <w:tcW w:w="1280" w:type="dxa"/>
            <w:vAlign w:val="bottom"/>
          </w:tcPr>
          <w:p>
            <w:pPr>
              <w:jc w:val="right"/>
              <w:ind w:right="329"/>
              <w:spacing w:after="0" w:line="135" w:lineRule="exact"/>
              <w:rPr>
                <w:sz w:val="20"/>
                <w:szCs w:val="20"/>
                <w:color w:val="auto"/>
              </w:rPr>
            </w:pPr>
            <w:r>
              <w:rPr>
                <w:rFonts w:ascii="Arial" w:cs="Arial" w:eastAsia="Arial" w:hAnsi="Arial"/>
                <w:sz w:val="13"/>
                <w:szCs w:val="13"/>
                <w:color w:val="auto"/>
              </w:rPr>
              <w:t>Retained</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for-Sale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4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(in thousands)</w:t>
            </w: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4"/>
              </w:rPr>
              <w:t>Stock</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Par Value</w:t>
            </w:r>
          </w:p>
        </w:tc>
        <w:tc>
          <w:tcPr>
            <w:tcW w:w="12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Earnings</w:t>
            </w:r>
          </w:p>
        </w:tc>
        <w:tc>
          <w:tcPr>
            <w:tcW w:w="1280" w:type="dxa"/>
            <w:vAlign w:val="bottom"/>
            <w:tcBorders>
              <w:bottom w:val="single" w:sz="8" w:color="auto"/>
            </w:tcBorders>
          </w:tcPr>
          <w:p>
            <w:pPr>
              <w:jc w:val="center"/>
              <w:ind w:right="12"/>
              <w:spacing w:after="0"/>
              <w:rPr>
                <w:sz w:val="20"/>
                <w:szCs w:val="20"/>
                <w:color w:val="auto"/>
              </w:rPr>
            </w:pPr>
            <w:r>
              <w:rPr>
                <w:rFonts w:ascii="Arial" w:cs="Arial" w:eastAsia="Arial" w:hAnsi="Arial"/>
                <w:sz w:val="13"/>
                <w:szCs w:val="13"/>
                <w:b w:val="1"/>
                <w:bCs w:val="1"/>
                <w:color w:val="auto"/>
                <w:w w:val="89"/>
              </w:rPr>
              <w:t>Adjustment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Securities</w:t>
            </w:r>
          </w:p>
        </w:tc>
        <w:tc>
          <w:tcPr>
            <w:tcW w:w="14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Treasury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30, 2001</w:t>
            </w:r>
          </w:p>
        </w:tc>
        <w:tc>
          <w:tcPr>
            <w:tcW w:w="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$ 1,722</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$18,278</w:t>
            </w:r>
          </w:p>
        </w:tc>
        <w:tc>
          <w:tcPr>
            <w:tcW w:w="1120" w:type="dxa"/>
            <w:vAlign w:val="bottom"/>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$ 142,814</w:t>
            </w:r>
          </w:p>
        </w:tc>
        <w:tc>
          <w:tcPr>
            <w:tcW w:w="128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$ 3,029,595</w:t>
            </w:r>
          </w:p>
        </w:tc>
        <w:tc>
          <w:tcPr>
            <w:tcW w:w="12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 (9,678)</w:t>
            </w:r>
          </w:p>
        </w:tc>
        <w:tc>
          <w:tcPr>
            <w:tcW w:w="13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$ 24,281</w:t>
            </w:r>
          </w:p>
        </w:tc>
        <w:tc>
          <w:tcPr>
            <w:tcW w:w="148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$(1,523,527)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jc w:val="right"/>
              <w:ind w:right="269"/>
              <w:spacing w:after="0" w:line="149" w:lineRule="exact"/>
              <w:rPr>
                <w:sz w:val="20"/>
                <w:szCs w:val="20"/>
                <w:color w:val="auto"/>
              </w:rPr>
            </w:pPr>
            <w:r>
              <w:rPr>
                <w:rFonts w:ascii="Arial" w:cs="Arial" w:eastAsia="Arial" w:hAnsi="Arial"/>
                <w:sz w:val="14"/>
                <w:szCs w:val="14"/>
                <w:color w:val="auto"/>
              </w:rPr>
              <w:t>204,268</w:t>
            </w: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Dividends paid on common stock — $5.60</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per share</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(53,223)</w:t>
            </w: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Dividends paid on redeemable preferred</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stock</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(1,033)</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Repurchase of 1,229 shares of Class B</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Issuance of 17,156 shares of Class B</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360"/>
              <w:spacing w:after="0" w:line="149" w:lineRule="exact"/>
              <w:rPr>
                <w:sz w:val="20"/>
                <w:szCs w:val="20"/>
                <w:color w:val="auto"/>
              </w:rPr>
            </w:pPr>
            <w:r>
              <w:rPr>
                <w:rFonts w:ascii="Arial" w:cs="Arial" w:eastAsia="Arial" w:hAnsi="Arial"/>
                <w:sz w:val="14"/>
                <w:szCs w:val="14"/>
                <w:color w:val="auto"/>
              </w:rPr>
              <w:t>common stock, net of restricted stock</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award forfeitures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230"/>
              <w:spacing w:after="0"/>
              <w:rPr>
                <w:sz w:val="20"/>
                <w:szCs w:val="20"/>
                <w:color w:val="auto"/>
              </w:rPr>
            </w:pPr>
            <w:r>
              <w:rPr>
                <w:rFonts w:ascii="Arial" w:cs="Arial" w:eastAsia="Arial" w:hAnsi="Arial"/>
                <w:sz w:val="14"/>
                <w:szCs w:val="14"/>
                <w:color w:val="auto"/>
              </w:rPr>
              <w:t>4,440</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jc w:val="right"/>
              <w:ind w:right="269"/>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Change in foreign currency translation</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 (net of taxes)</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2,167</w:t>
            </w:r>
          </w:p>
        </w:tc>
        <w:tc>
          <w:tcPr>
            <w:tcW w:w="1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Change in unrealized gain on available-for-</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sale securities (net of taxes)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jc w:val="right"/>
              <w:ind w:right="372"/>
              <w:spacing w:after="0"/>
              <w:rPr>
                <w:sz w:val="20"/>
                <w:szCs w:val="20"/>
                <w:color w:val="auto"/>
              </w:rPr>
            </w:pPr>
            <w:r>
              <w:rPr>
                <w:rFonts w:ascii="Arial" w:cs="Arial" w:eastAsia="Arial" w:hAnsi="Arial"/>
                <w:sz w:val="14"/>
                <w:szCs w:val="14"/>
                <w:color w:val="auto"/>
              </w:rPr>
              <w:t>(6,368)</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option expense</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45</w:t>
            </w:r>
          </w:p>
        </w:tc>
        <w:tc>
          <w:tcPr>
            <w:tcW w:w="1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Tax benefits arising from employee stock</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plans</w:t>
            </w:r>
          </w:p>
        </w:tc>
        <w:tc>
          <w:tcPr>
            <w:tcW w:w="8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1,791</w:t>
            </w:r>
          </w:p>
        </w:tc>
        <w:tc>
          <w:tcPr>
            <w:tcW w:w="1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29, 2002.</w:t>
            </w:r>
          </w:p>
        </w:tc>
        <w:tc>
          <w:tcPr>
            <w:tcW w:w="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1,722</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18,278</w:t>
            </w:r>
          </w:p>
        </w:tc>
        <w:tc>
          <w:tcPr>
            <w:tcW w:w="1120" w:type="dxa"/>
            <w:vAlign w:val="bottom"/>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149,090</w:t>
            </w:r>
          </w:p>
        </w:tc>
        <w:tc>
          <w:tcPr>
            <w:tcW w:w="128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3,179,607</w:t>
            </w:r>
          </w:p>
        </w:tc>
        <w:tc>
          <w:tcPr>
            <w:tcW w:w="12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(7,511)</w:t>
            </w:r>
          </w:p>
        </w:tc>
        <w:tc>
          <w:tcPr>
            <w:tcW w:w="13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17,913</w:t>
            </w:r>
          </w:p>
        </w:tc>
        <w:tc>
          <w:tcPr>
            <w:tcW w:w="148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(1,521,806)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jc w:val="right"/>
              <w:ind w:right="269"/>
              <w:spacing w:after="0" w:line="149" w:lineRule="exact"/>
              <w:rPr>
                <w:sz w:val="20"/>
                <w:szCs w:val="20"/>
                <w:color w:val="auto"/>
              </w:rPr>
            </w:pPr>
            <w:r>
              <w:rPr>
                <w:rFonts w:ascii="Arial" w:cs="Arial" w:eastAsia="Arial" w:hAnsi="Arial"/>
                <w:sz w:val="14"/>
                <w:szCs w:val="14"/>
                <w:color w:val="auto"/>
              </w:rPr>
              <w:t>241,088</w:t>
            </w: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Dividends paid on common stock — $5.80</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per share</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(55,261)</w:t>
            </w: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Dividends paid on redeemable preferred</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stock</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(1,027)</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Repurchase of 910 shares of Class B</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Issuance of 31,697 shares of Class B</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360"/>
              <w:spacing w:after="0" w:line="149" w:lineRule="exact"/>
              <w:rPr>
                <w:sz w:val="20"/>
                <w:szCs w:val="20"/>
                <w:color w:val="auto"/>
              </w:rPr>
            </w:pPr>
            <w:r>
              <w:rPr>
                <w:rFonts w:ascii="Arial" w:cs="Arial" w:eastAsia="Arial" w:hAnsi="Arial"/>
                <w:sz w:val="14"/>
                <w:szCs w:val="14"/>
                <w:color w:val="auto"/>
              </w:rPr>
              <w:t>common stock, net of restricted stock</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award forfeitures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230"/>
              <w:spacing w:after="0"/>
              <w:rPr>
                <w:sz w:val="20"/>
                <w:szCs w:val="20"/>
                <w:color w:val="auto"/>
              </w:rPr>
            </w:pPr>
            <w:r>
              <w:rPr>
                <w:rFonts w:ascii="Arial" w:cs="Arial" w:eastAsia="Arial" w:hAnsi="Arial"/>
                <w:sz w:val="14"/>
                <w:szCs w:val="14"/>
                <w:color w:val="auto"/>
              </w:rPr>
              <w:t>14,147</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jc w:val="right"/>
              <w:ind w:right="269"/>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Change in foreign currency translation</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 (net of taxes)</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11,783</w:t>
            </w:r>
          </w:p>
        </w:tc>
        <w:tc>
          <w:tcPr>
            <w:tcW w:w="1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Change in unrealized gain on available-for-</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sale securities (net of taxes)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jc w:val="right"/>
              <w:ind w:right="412"/>
              <w:spacing w:after="0"/>
              <w:rPr>
                <w:sz w:val="20"/>
                <w:szCs w:val="20"/>
                <w:color w:val="auto"/>
              </w:rPr>
            </w:pPr>
            <w:r>
              <w:rPr>
                <w:rFonts w:ascii="Arial" w:cs="Arial" w:eastAsia="Arial" w:hAnsi="Arial"/>
                <w:sz w:val="14"/>
                <w:szCs w:val="14"/>
                <w:color w:val="auto"/>
              </w:rPr>
              <w:t>19,292</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option expense</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606</w:t>
            </w:r>
          </w:p>
        </w:tc>
        <w:tc>
          <w:tcPr>
            <w:tcW w:w="1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Tax benefits arising from employee stock</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plans</w:t>
            </w:r>
          </w:p>
        </w:tc>
        <w:tc>
          <w:tcPr>
            <w:tcW w:w="8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3,108</w:t>
            </w:r>
          </w:p>
        </w:tc>
        <w:tc>
          <w:tcPr>
            <w:tcW w:w="1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28, 2003</w:t>
            </w:r>
          </w:p>
        </w:tc>
        <w:tc>
          <w:tcPr>
            <w:tcW w:w="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1,722</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18,278</w:t>
            </w:r>
          </w:p>
        </w:tc>
        <w:tc>
          <w:tcPr>
            <w:tcW w:w="1120" w:type="dxa"/>
            <w:vAlign w:val="bottom"/>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166,951</w:t>
            </w:r>
          </w:p>
        </w:tc>
        <w:tc>
          <w:tcPr>
            <w:tcW w:w="128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3,364,407</w:t>
            </w:r>
          </w:p>
        </w:tc>
        <w:tc>
          <w:tcPr>
            <w:tcW w:w="128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4,272</w:t>
            </w:r>
          </w:p>
        </w:tc>
        <w:tc>
          <w:tcPr>
            <w:tcW w:w="13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37,205</w:t>
            </w:r>
          </w:p>
        </w:tc>
        <w:tc>
          <w:tcPr>
            <w:tcW w:w="148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(1,517,894)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jc w:val="right"/>
              <w:ind w:right="269"/>
              <w:spacing w:after="0" w:line="149" w:lineRule="exact"/>
              <w:rPr>
                <w:sz w:val="20"/>
                <w:szCs w:val="20"/>
                <w:color w:val="auto"/>
              </w:rPr>
            </w:pPr>
            <w:r>
              <w:rPr>
                <w:rFonts w:ascii="Arial" w:cs="Arial" w:eastAsia="Arial" w:hAnsi="Arial"/>
                <w:sz w:val="14"/>
                <w:szCs w:val="14"/>
                <w:color w:val="auto"/>
              </w:rPr>
              <w:t>332,732</w:t>
            </w: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Dividends paid on common stock — $7.00</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per share</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(66,925)</w:t>
            </w: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Dividends paid on redeemable preferred</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stock</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(992)</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Issuance of 34,492 shares of Class B</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common stock, net of restricted stock</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 forfeitures</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11,956</w:t>
            </w:r>
          </w:p>
        </w:tc>
        <w:tc>
          <w:tcPr>
            <w:tcW w:w="1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5,006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40"/>
              <w:spacing w:after="0" w:line="130" w:lineRule="exact"/>
              <w:rPr>
                <w:sz w:val="20"/>
                <w:szCs w:val="20"/>
                <w:color w:val="auto"/>
              </w:rPr>
            </w:pPr>
            <w:r>
              <w:rPr>
                <w:rFonts w:ascii="Arial" w:cs="Arial" w:eastAsia="Arial" w:hAnsi="Arial"/>
                <w:sz w:val="14"/>
                <w:szCs w:val="14"/>
                <w:color w:val="auto"/>
              </w:rPr>
              <w:t>Change in foreign currency translation</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adjustment (net of taxes)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color w:val="auto"/>
              </w:rPr>
              <w:t>9,601</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Change in unrealized gain on available-for-</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 securities (net of taxes)</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38,243</w:t>
            </w: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40"/>
              <w:spacing w:after="0" w:line="149" w:lineRule="exact"/>
              <w:rPr>
                <w:sz w:val="20"/>
                <w:szCs w:val="20"/>
                <w:color w:val="auto"/>
              </w:rPr>
            </w:pPr>
            <w:r>
              <w:rPr>
                <w:rFonts w:ascii="Arial" w:cs="Arial" w:eastAsia="Arial" w:hAnsi="Arial"/>
                <w:sz w:val="14"/>
                <w:szCs w:val="14"/>
                <w:color w:val="auto"/>
              </w:rPr>
              <w:t>Stock option expense</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jc w:val="right"/>
              <w:ind w:right="230"/>
              <w:spacing w:after="0" w:line="149" w:lineRule="exact"/>
              <w:rPr>
                <w:sz w:val="20"/>
                <w:szCs w:val="20"/>
                <w:color w:val="auto"/>
              </w:rPr>
            </w:pPr>
            <w:r>
              <w:rPr>
                <w:rFonts w:ascii="Arial" w:cs="Arial" w:eastAsia="Arial" w:hAnsi="Arial"/>
                <w:sz w:val="14"/>
                <w:szCs w:val="14"/>
                <w:color w:val="auto"/>
              </w:rPr>
              <w:t>829</w:t>
            </w: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Tax benefits arising from employee stock</w:t>
            </w: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plans</w:t>
            </w:r>
          </w:p>
        </w:tc>
        <w:tc>
          <w:tcPr>
            <w:tcW w:w="8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7,091</w:t>
            </w:r>
          </w:p>
        </w:tc>
        <w:tc>
          <w:tcPr>
            <w:tcW w:w="1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January 2, 2005</w:t>
            </w:r>
          </w:p>
        </w:tc>
        <w:tc>
          <w:tcPr>
            <w:tcW w:w="860" w:type="dxa"/>
            <w:vAlign w:val="bottom"/>
            <w:tcBorders>
              <w:bottom w:val="single" w:sz="8" w:color="auto"/>
            </w:tcBorders>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$1,722</w:t>
            </w:r>
          </w:p>
        </w:tc>
        <w:tc>
          <w:tcPr>
            <w:tcW w:w="1040" w:type="dxa"/>
            <w:vAlign w:val="bottom"/>
            <w:tcBorders>
              <w:bottom w:val="single" w:sz="8" w:color="auto"/>
            </w:tcBorders>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$18,278</w:t>
            </w:r>
          </w:p>
        </w:tc>
        <w:tc>
          <w:tcPr>
            <w:tcW w:w="1120" w:type="dxa"/>
            <w:vAlign w:val="bottom"/>
            <w:tcBorders>
              <w:bottom w:val="single" w:sz="8" w:color="auto"/>
            </w:tcBorders>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$186,827</w:t>
            </w:r>
          </w:p>
        </w:tc>
        <w:tc>
          <w:tcPr>
            <w:tcW w:w="1280" w:type="dxa"/>
            <w:vAlign w:val="bottom"/>
            <w:tcBorders>
              <w:bottom w:val="single" w:sz="8" w:color="auto"/>
            </w:tcBorders>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$3,629,222</w:t>
            </w:r>
          </w:p>
        </w:tc>
        <w:tc>
          <w:tcPr>
            <w:tcW w:w="128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$13,873</w:t>
            </w:r>
          </w:p>
        </w:tc>
        <w:tc>
          <w:tcPr>
            <w:tcW w:w="130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$75,448</w:t>
            </w:r>
          </w:p>
        </w:tc>
        <w:tc>
          <w:tcPr>
            <w:tcW w:w="1480" w:type="dxa"/>
            <w:vAlign w:val="bottom"/>
            <w:tcBorders>
              <w:bottom w:val="single" w:sz="8" w:color="auto"/>
            </w:tcBorders>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$(1,512,888)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Arial" w:cs="Arial" w:eastAsia="Arial" w:hAnsi="Arial"/>
          <w:sz w:val="14"/>
          <w:szCs w:val="14"/>
          <w:color w:val="auto"/>
        </w:rPr>
        <w:t>The information on pages 44 through 57 is an integral part of the financial</w:t>
      </w:r>
    </w:p>
    <w:p>
      <w:pPr>
        <w:spacing w:after="0"/>
        <w:rPr>
          <w:sz w:val="20"/>
          <w:szCs w:val="20"/>
          <w:color w:val="auto"/>
        </w:rPr>
      </w:pPr>
      <w:r>
        <w:rPr>
          <w:rFonts w:ascii="Arial" w:cs="Arial" w:eastAsia="Arial" w:hAnsi="Arial"/>
          <w:sz w:val="14"/>
          <w:szCs w:val="14"/>
          <w:color w:val="auto"/>
        </w:rPr>
        <w:t>statements.</w:t>
      </w:r>
    </w:p>
    <w:p>
      <w:pPr>
        <w:spacing w:after="0" w:line="200" w:lineRule="exact"/>
        <w:rPr>
          <w:sz w:val="20"/>
          <w:szCs w:val="20"/>
          <w:color w:val="auto"/>
        </w:rPr>
      </w:pPr>
    </w:p>
    <w:p>
      <w:pPr>
        <w:spacing w:after="0" w:line="32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6" w:name="page47"/>
    <w:bookmarkEnd w:id="46"/>
    <w:p>
      <w:pPr>
        <w:ind w:left="38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SUMMARY OF SIGNIFICANT ACCOUNTING POLICIES</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Company reports on a 52- to 53-week fiscal year ending on the Sunday nearest December 31. The fiscal year 2004, which ended on January 2, 2005, included</w:t>
      </w:r>
      <w:r>
        <w:rPr>
          <w:rFonts w:ascii="Arial" w:cs="Arial" w:eastAsia="Arial" w:hAnsi="Arial"/>
          <w:sz w:val="16"/>
          <w:szCs w:val="16"/>
          <w:b w:val="1"/>
          <w:bCs w:val="1"/>
          <w:color w:val="auto"/>
        </w:rPr>
        <w:t xml:space="preserve"> </w:t>
      </w:r>
      <w:r>
        <w:rPr>
          <w:rFonts w:ascii="Arial" w:cs="Arial" w:eastAsia="Arial" w:hAnsi="Arial"/>
          <w:sz w:val="16"/>
          <w:szCs w:val="16"/>
          <w:color w:val="auto"/>
        </w:rPr>
        <w:t>53 weeks. The fiscal years 2003 and 2002, which ended on December 28, 2003 and December 29, 2002, respectively, included 52 weeks. With the exception of most of the newspaper publishing operations, subsidiaries of the Company report on a calendar-year basis.</w:t>
      </w:r>
    </w:p>
    <w:p>
      <w:pPr>
        <w:spacing w:after="0" w:line="7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accompanying financial statements include the accounts of the Company and its subsidiaries; significant intercompany transactions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eliminated.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Presentation. </w:t>
      </w:r>
      <w:r>
        <w:rPr>
          <w:rFonts w:ascii="Arial" w:cs="Arial" w:eastAsia="Arial" w:hAnsi="Arial"/>
          <w:sz w:val="16"/>
          <w:szCs w:val="16"/>
          <w:color w:val="auto"/>
        </w:rPr>
        <w:t>Certain amounts in previously issued financial statements have been reclassified to conform with the 2004 presentation.</w:t>
      </w:r>
    </w:p>
    <w:p>
      <w:pPr>
        <w:spacing w:after="0" w:line="127" w:lineRule="exact"/>
        <w:rPr>
          <w:sz w:val="20"/>
          <w:szCs w:val="20"/>
          <w:color w:val="auto"/>
        </w:rPr>
      </w:pPr>
    </w:p>
    <w:p>
      <w:pPr>
        <w:ind w:right="760"/>
        <w:spacing w:after="0" w:line="298"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financial statements. Actual results could differ from those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Cash Equivalents. </w:t>
      </w:r>
      <w:r>
        <w:rPr>
          <w:rFonts w:ascii="Arial" w:cs="Arial" w:eastAsia="Arial" w:hAnsi="Arial"/>
          <w:sz w:val="16"/>
          <w:szCs w:val="16"/>
          <w:color w:val="auto"/>
        </w:rPr>
        <w:t>Short-term investments with original maturities of 90 days or less are considered cash equivalents.</w:t>
      </w:r>
    </w:p>
    <w:p>
      <w:pPr>
        <w:spacing w:after="0" w:line="127"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b w:val="1"/>
          <w:bCs w:val="1"/>
          <w:color w:val="auto"/>
        </w:rPr>
        <w:t xml:space="preserve">Investments in Marketable Equity Securities. </w:t>
      </w:r>
      <w:r>
        <w:rPr>
          <w:rFonts w:ascii="Arial" w:cs="Arial" w:eastAsia="Arial" w:hAnsi="Arial"/>
          <w:sz w:val="15"/>
          <w:szCs w:val="15"/>
          <w:color w:val="auto"/>
        </w:rPr>
        <w:t>The Company’s investments in marketable equity securities are classified as available-for-sale and therefore are recorded at</w:t>
      </w:r>
      <w:r>
        <w:rPr>
          <w:rFonts w:ascii="Arial" w:cs="Arial" w:eastAsia="Arial" w:hAnsi="Arial"/>
          <w:sz w:val="15"/>
          <w:szCs w:val="15"/>
          <w:b w:val="1"/>
          <w:bCs w:val="1"/>
          <w:color w:val="auto"/>
        </w:rPr>
        <w:t xml:space="preserve"> </w:t>
      </w:r>
      <w:r>
        <w:rPr>
          <w:rFonts w:ascii="Arial" w:cs="Arial" w:eastAsia="Arial" w:hAnsi="Arial"/>
          <w:sz w:val="15"/>
          <w:szCs w:val="15"/>
          <w:color w:val="auto"/>
        </w:rPr>
        <w:t>fair value in the Consolidated Balance Sheets, with the change in fair value during the period excluded from earnings and recorded net of tax as a separate component of comprehensive income. Marketable equity securities that the Company expects to hold long term are classified as non-current assets. If the fair value of a marketable security declines below its cost basis, and the decline is considered other than temporary, the Company will record a write-down which is included in earnings.</w:t>
      </w:r>
    </w:p>
    <w:p>
      <w:pPr>
        <w:spacing w:after="0" w:line="5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valued at the lower of cost or market. Cost of newsprint is determined by the first-in, first-out method, and cost of magazine paper is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specific-cost method.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Property, Plant and Equipment. </w:t>
      </w:r>
      <w:r>
        <w:rPr>
          <w:rFonts w:ascii="Arial" w:cs="Arial" w:eastAsia="Arial" w:hAnsi="Arial"/>
          <w:sz w:val="14"/>
          <w:szCs w:val="14"/>
          <w:color w:val="auto"/>
        </w:rPr>
        <w:t>Property, plant and equipment is recorded at cost and includes interest capitalized in connection with major long-term construction projects.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Replacements and major improvements are capitalized; maintenance and repairs are charged to operations as incurred.</w:t>
      </w:r>
    </w:p>
    <w:p>
      <w:pPr>
        <w:spacing w:after="0" w:line="123"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4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cable division capitalizes the costs associated with the construction of cable transmission and distribution facilities and new cable service installations. Costs include all direct labor and materials, as well as certain indirect costs. Also at the cable division, the carrying value applicable to assets sold or retired is removed from the accounts, with the gain or loss on disposition recognized as a component of depreciation expense.</w:t>
      </w:r>
    </w:p>
    <w:p>
      <w:pPr>
        <w:spacing w:after="0" w:line="7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color w:val="auto"/>
        </w:rPr>
        <w:t xml:space="preserve">Investments in Affiliates. </w:t>
      </w:r>
      <w:r>
        <w:rPr>
          <w:rFonts w:ascii="Arial" w:cs="Arial" w:eastAsia="Arial" w:hAnsi="Arial"/>
          <w:sz w:val="16"/>
          <w:szCs w:val="16"/>
          <w:color w:val="auto"/>
        </w:rPr>
        <w:t>The Company uses the equity method of accounting for its investments in and earnings or losses of affiliates that it does not control but over which</w:t>
      </w:r>
      <w:r>
        <w:rPr>
          <w:rFonts w:ascii="Arial" w:cs="Arial" w:eastAsia="Arial" w:hAnsi="Arial"/>
          <w:sz w:val="16"/>
          <w:szCs w:val="16"/>
          <w:b w:val="1"/>
          <w:bCs w:val="1"/>
          <w:color w:val="auto"/>
        </w:rPr>
        <w:t xml:space="preserve"> </w:t>
      </w:r>
      <w:r>
        <w:rPr>
          <w:rFonts w:ascii="Arial" w:cs="Arial" w:eastAsia="Arial" w:hAnsi="Arial"/>
          <w:sz w:val="16"/>
          <w:szCs w:val="16"/>
          <w:color w:val="auto"/>
        </w:rPr>
        <w:t>it does exert 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then a write-down would be recorded to estimated fair value.</w:t>
      </w:r>
    </w:p>
    <w:p>
      <w:pPr>
        <w:spacing w:after="0" w:line="78"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The Company uses the cost method of accounting for its minority investments in non-public companies where it does not have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influence over the operations and management of the investee. Investments are recorded at the lower of cost or fair value as estimated by management. Charges recorded to write-down cost method investments to their estimated fair value and gross realized gains or losses upon the sale of cost method investments are included in “Other income (expense), net” in the Consolidated Statements of Income. Fair value estimates are based on a review of the investees’ product development activities, historical financial results and projected discounted cash flows.</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color w:val="auto"/>
        </w:rPr>
        <w:t xml:space="preserve">Goodwill and Other Intangibles. </w:t>
      </w:r>
      <w:r>
        <w:rPr>
          <w:rFonts w:ascii="Arial" w:cs="Arial" w:eastAsia="Arial" w:hAnsi="Arial"/>
          <w:sz w:val="15"/>
          <w:szCs w:val="15"/>
          <w:color w:val="auto"/>
        </w:rPr>
        <w:t>The Company adopted Statement of Financial Accounting Standards No. 142 (SFAS 142), “Goodwill and Other Intangible Assets” in 2002.</w:t>
      </w:r>
      <w:r>
        <w:rPr>
          <w:rFonts w:ascii="Arial" w:cs="Arial" w:eastAsia="Arial" w:hAnsi="Arial"/>
          <w:sz w:val="15"/>
          <w:szCs w:val="15"/>
          <w:b w:val="1"/>
          <w:bCs w:val="1"/>
          <w:color w:val="auto"/>
        </w:rPr>
        <w:t xml:space="preserve"> </w:t>
      </w:r>
      <w:r>
        <w:rPr>
          <w:rFonts w:ascii="Arial" w:cs="Arial" w:eastAsia="Arial" w:hAnsi="Arial"/>
          <w:sz w:val="15"/>
          <w:szCs w:val="15"/>
          <w:color w:val="auto"/>
        </w:rPr>
        <w:t>Under SFAS 142, goodwill and indefinite-lived intangibles are no longer amortized, but are reviewed at least annually for impairment. All other intangible assets are amortized over their useful lives. The Company reviews the carrying value of goodwill and indefinite-lived intangible assets utilizing a discounted cash flow model (in the case of the Company’s cable systems, both a discounted cash flow model and an estimated fair market value per cable subscriber approach are considered). The Company must make assumptions regarding estimated future cash flows and market values to determine a reporting unit’s estimated fair value. In reviewing the carrying value of goodwill and indefinite-lived intangible assets at the cable division, the Company aggregates its cable systems on a regional basis. If these estimates or related assumptions change in the future, the Company may be required to record an impairment charge.</w:t>
      </w:r>
    </w:p>
    <w:p>
      <w:pPr>
        <w:spacing w:after="0" w:line="7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EITF Topic D-108, “Use of the Residual Method to Value Acquired Assets Other than Goodwill,” requires companies that have applied the residual method to value intangible assets to perform an impairment test on those intangible assets using the direct value method by the end of the first quarter of 2005. The Company is in the process of performing such an impairment test at its cable division.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4" w:right="279" w:bottom="1440" w:gutter="0" w:footer="0" w:header="0"/>
        </w:sectPr>
      </w:pPr>
    </w:p>
    <w:bookmarkStart w:id="47" w:name="page48"/>
    <w:bookmarkEnd w:id="47"/>
    <w:p>
      <w:pPr>
        <w:ind w:right="20"/>
        <w:spacing w:after="0" w:line="299" w:lineRule="auto"/>
        <w:rPr>
          <w:sz w:val="20"/>
          <w:szCs w:val="20"/>
          <w:color w:val="auto"/>
        </w:rPr>
      </w:pPr>
      <w:r>
        <w:rPr>
          <w:rFonts w:ascii="Arial" w:cs="Arial" w:eastAsia="Arial" w:hAnsi="Arial"/>
          <w:sz w:val="15"/>
          <w:szCs w:val="15"/>
          <w:b w:val="1"/>
          <w:bCs w:val="1"/>
          <w:color w:val="auto"/>
        </w:rPr>
        <w:t xml:space="preserve">Long-Lived Assets. </w:t>
      </w:r>
      <w:r>
        <w:rPr>
          <w:rFonts w:ascii="Arial" w:cs="Arial" w:eastAsia="Arial" w:hAnsi="Arial"/>
          <w:sz w:val="15"/>
          <w:szCs w:val="15"/>
          <w:color w:val="auto"/>
        </w:rPr>
        <w:t>The recoverability of long-lived assets other than goodwill and other intangibles is assessed whenever adverse events or changes in circumstances indicate</w:t>
      </w:r>
      <w:r>
        <w:rPr>
          <w:rFonts w:ascii="Arial" w:cs="Arial" w:eastAsia="Arial" w:hAnsi="Arial"/>
          <w:sz w:val="15"/>
          <w:szCs w:val="15"/>
          <w:b w:val="1"/>
          <w:bCs w:val="1"/>
          <w:color w:val="auto"/>
        </w:rPr>
        <w:t xml:space="preserve"> </w:t>
      </w:r>
      <w:r>
        <w:rPr>
          <w:rFonts w:ascii="Arial" w:cs="Arial" w:eastAsia="Arial" w:hAnsi="Arial"/>
          <w:sz w:val="15"/>
          <w:szCs w:val="15"/>
          <w:color w:val="auto"/>
        </w:rPr>
        <w:t>that recorded values may not be recoverable. A long-lived asset is considered to be not recoverable when the undiscounted estimated future cash flows are less than its recorded value. An impairment charge is measured based on estimated fair market value, determined primarily using estimated future cash flows on a discounted basis. Losses on long-lived assets to be disposed are determined in a similar manner, but the fair market value would be reduced for estimated costs to dispose.</w:t>
      </w:r>
    </w:p>
    <w:p>
      <w:pPr>
        <w:spacing w:after="0" w:line="5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Program Rights. </w:t>
      </w:r>
      <w:r>
        <w:rPr>
          <w:rFonts w:ascii="Arial" w:cs="Arial" w:eastAsia="Arial" w:hAnsi="Arial"/>
          <w:sz w:val="16"/>
          <w:szCs w:val="16"/>
          <w:color w:val="auto"/>
        </w:rPr>
        <w:t>The broadcast subsidiaries are parties to agreements that entitle them to show syndicated and other programs on television. The costs of such program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are recorded when the programs are available for broadcasting, and such costs are charged to operations as the programming is aired.</w:t>
      </w:r>
    </w:p>
    <w:p>
      <w:pPr>
        <w:spacing w:after="0" w:line="5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media advertising is recognized, net of agency commissions, when the underlying advertisement is published or broadcast. Revenues</w:t>
      </w:r>
      <w:r>
        <w:rPr>
          <w:rFonts w:ascii="Arial" w:cs="Arial" w:eastAsia="Arial" w:hAnsi="Arial"/>
          <w:sz w:val="16"/>
          <w:szCs w:val="16"/>
          <w:b w:val="1"/>
          <w:bCs w:val="1"/>
          <w:color w:val="auto"/>
        </w:rPr>
        <w:t xml:space="preserve"> </w:t>
      </w:r>
      <w:r>
        <w:rPr>
          <w:rFonts w:ascii="Arial" w:cs="Arial" w:eastAsia="Arial" w:hAnsi="Arial"/>
          <w:sz w:val="16"/>
          <w:szCs w:val="16"/>
          <w:color w:val="auto"/>
        </w:rPr>
        <w:t>from newspaper and magazine subscriptions and retail sales are recognized upon the later of delivery or cover date, with adequate provision made for anticipated sales returns. Cable subscriber revenue is recognized monthly as services are delivered. Education revenue is generally recognized ratably over the period during which educational services are delivered. At Kaplan’s test preparation division, estimates of average student course length are developed for each course, and these estimates are evaluated on an ongoing basis and adjusted as necessary.</w:t>
      </w:r>
    </w:p>
    <w:p>
      <w:pPr>
        <w:spacing w:after="0" w:line="8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Company bases its estimates for sales returns on historical experience and has not experienced significant fluctuations between estimated and actual return activity. Amounts received from customers in advance of revenue recognition are deferred as liabilities. Deferred revenue to be earned after one year is included in “Other Liabilities” in the Consolidated Balance Sheets.</w:t>
      </w:r>
    </w:p>
    <w:p>
      <w:pPr>
        <w:spacing w:after="0" w:line="7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Postretirement Benefits Other Than Pensions. </w:t>
      </w:r>
      <w:r>
        <w:rPr>
          <w:rFonts w:ascii="Arial" w:cs="Arial" w:eastAsia="Arial" w:hAnsi="Arial"/>
          <w:sz w:val="16"/>
          <w:szCs w:val="16"/>
          <w:color w:val="auto"/>
        </w:rPr>
        <w:t>The Company provides health care and life insurance benefits for certain retired employees. The expected cost of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these postretirement benefits is accrued over the years that employees render services.</w:t>
      </w:r>
    </w:p>
    <w:p>
      <w:pPr>
        <w:spacing w:after="0" w:line="5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provision for income taxes is determined using the asset and liability approach. Under this approach, deferred income taxes represent the expected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tax consequences of temporary differences between the carrying amounts and tax bases of assets and liabilities.</w:t>
      </w:r>
    </w:p>
    <w:p>
      <w:pPr>
        <w:spacing w:after="0" w:line="5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Gains and losses on foreign currency transactions and the translation of the accounts of the Company’s foreign operations where the U.S.</w:t>
      </w:r>
      <w:r>
        <w:rPr>
          <w:rFonts w:ascii="Arial" w:cs="Arial" w:eastAsia="Arial" w:hAnsi="Arial"/>
          <w:sz w:val="16"/>
          <w:szCs w:val="16"/>
          <w:b w:val="1"/>
          <w:bCs w:val="1"/>
          <w:color w:val="auto"/>
        </w:rPr>
        <w:t xml:space="preserve"> </w:t>
      </w:r>
      <w:r>
        <w:rPr>
          <w:rFonts w:ascii="Arial" w:cs="Arial" w:eastAsia="Arial" w:hAnsi="Arial"/>
          <w:sz w:val="16"/>
          <w:szCs w:val="16"/>
          <w:color w:val="auto"/>
        </w:rPr>
        <w:t>dollar is the functional currency are recognized currently in the Consolidated Statements of Income. Gains and losses on translation of the accounts of the Company’s foreign operations, where the local currency is the functional currency, and the Company’s equity investment in its foreign affiliate are accumulated and reported as a separate component of equity and comprehensive income.</w:t>
      </w:r>
    </w:p>
    <w:p>
      <w:pPr>
        <w:spacing w:after="0" w:line="75"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Effective the first day of the Company’s 2002 fiscal year, the Company adopted the fair-value-based method of accounting for Company stock options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outlined in Statement of Financial Accounting Standards No. 123 (SFAS 123), “Accounting for Stock-Based Compensation.” This change in accounting method was applied prospectively to all awards granted from the beginning of the Company’s fiscal year 2002 and thereafter. Stock options awarded prior to fiscal year 2002 have been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2004, 2003 and 2002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2004</w:t>
            </w: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2003</w:t>
            </w: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available for common shares, as reported</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ind w:right="517"/>
              <w:spacing w:after="0" w:line="135" w:lineRule="exact"/>
              <w:rPr>
                <w:sz w:val="20"/>
                <w:szCs w:val="20"/>
                <w:color w:val="auto"/>
              </w:rPr>
            </w:pPr>
            <w:r>
              <w:rPr>
                <w:rFonts w:ascii="Arial" w:cs="Arial" w:eastAsia="Arial" w:hAnsi="Arial"/>
                <w:sz w:val="13"/>
                <w:szCs w:val="13"/>
                <w:b w:val="1"/>
                <w:bCs w:val="1"/>
                <w:color w:val="auto"/>
                <w:w w:val="80"/>
              </w:rPr>
              <w:t>331,740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97"/>
              <w:spacing w:after="0" w:line="135" w:lineRule="exact"/>
              <w:rPr>
                <w:sz w:val="20"/>
                <w:szCs w:val="20"/>
                <w:color w:val="auto"/>
              </w:rPr>
            </w:pPr>
            <w:r>
              <w:rPr>
                <w:rFonts w:ascii="Arial" w:cs="Arial" w:eastAsia="Arial" w:hAnsi="Arial"/>
                <w:sz w:val="13"/>
                <w:szCs w:val="13"/>
                <w:color w:val="auto"/>
                <w:w w:val="85"/>
              </w:rPr>
              <w:t>240,061</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w w:val="85"/>
              </w:rPr>
              <w:t>203,235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tcPr>
          <w:p>
            <w:pPr>
              <w:spacing w:after="0" w:line="135" w:lineRule="exact"/>
              <w:rPr>
                <w:sz w:val="20"/>
                <w:szCs w:val="20"/>
                <w:color w:val="auto"/>
              </w:rPr>
            </w:pPr>
            <w:r>
              <w:rPr>
                <w:rFonts w:ascii="Arial" w:cs="Arial" w:eastAsia="Arial" w:hAnsi="Arial"/>
                <w:sz w:val="13"/>
                <w:szCs w:val="13"/>
                <w:color w:val="auto"/>
              </w:rPr>
              <w:t>Add: Company stock option compensation expense included in net income, net of related tax effects</w:t>
            </w:r>
          </w:p>
        </w:tc>
        <w:tc>
          <w:tcPr>
            <w:tcW w:w="540" w:type="dxa"/>
            <w:vAlign w:val="bottom"/>
          </w:tcPr>
          <w:p>
            <w:pPr>
              <w:spacing w:after="0"/>
              <w:rPr>
                <w:sz w:val="11"/>
                <w:szCs w:val="11"/>
                <w:color w:val="auto"/>
              </w:rPr>
            </w:pPr>
          </w:p>
        </w:tc>
        <w:tc>
          <w:tcPr>
            <w:tcW w:w="980" w:type="dxa"/>
            <w:vAlign w:val="bottom"/>
          </w:tcPr>
          <w:p>
            <w:pPr>
              <w:jc w:val="right"/>
              <w:ind w:right="517"/>
              <w:spacing w:after="0" w:line="135" w:lineRule="exact"/>
              <w:rPr>
                <w:sz w:val="20"/>
                <w:szCs w:val="20"/>
                <w:color w:val="auto"/>
              </w:rPr>
            </w:pPr>
            <w:r>
              <w:rPr>
                <w:rFonts w:ascii="Arial" w:cs="Arial" w:eastAsia="Arial" w:hAnsi="Arial"/>
                <w:sz w:val="13"/>
                <w:szCs w:val="13"/>
                <w:b w:val="1"/>
                <w:bCs w:val="1"/>
                <w:color w:val="auto"/>
              </w:rPr>
              <w:t>506</w:t>
            </w:r>
          </w:p>
        </w:tc>
        <w:tc>
          <w:tcPr>
            <w:tcW w:w="580" w:type="dxa"/>
            <w:vAlign w:val="bottom"/>
          </w:tcPr>
          <w:p>
            <w:pPr>
              <w:spacing w:after="0"/>
              <w:rPr>
                <w:sz w:val="11"/>
                <w:szCs w:val="11"/>
                <w:color w:val="auto"/>
              </w:rPr>
            </w:pPr>
          </w:p>
        </w:tc>
        <w:tc>
          <w:tcPr>
            <w:tcW w:w="980" w:type="dxa"/>
            <w:vAlign w:val="bottom"/>
          </w:tcPr>
          <w:p>
            <w:pPr>
              <w:jc w:val="right"/>
              <w:ind w:right="497"/>
              <w:spacing w:after="0" w:line="135" w:lineRule="exact"/>
              <w:rPr>
                <w:sz w:val="20"/>
                <w:szCs w:val="20"/>
                <w:color w:val="auto"/>
              </w:rPr>
            </w:pPr>
            <w:r>
              <w:rPr>
                <w:rFonts w:ascii="Arial" w:cs="Arial" w:eastAsia="Arial" w:hAnsi="Arial"/>
                <w:sz w:val="13"/>
                <w:szCs w:val="13"/>
                <w:color w:val="auto"/>
              </w:rPr>
              <w:t>370</w:t>
            </w:r>
          </w:p>
        </w:tc>
        <w:tc>
          <w:tcPr>
            <w:tcW w:w="600" w:type="dxa"/>
            <w:vAlign w:val="bottom"/>
          </w:tcPr>
          <w:p>
            <w:pPr>
              <w:spacing w:after="0"/>
              <w:rPr>
                <w:sz w:val="11"/>
                <w:szCs w:val="11"/>
                <w:color w:val="auto"/>
              </w:rPr>
            </w:pPr>
          </w:p>
        </w:tc>
        <w:tc>
          <w:tcPr>
            <w:tcW w:w="7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Deduct: Total Company stock option compensation expense determined under the fair-value-based method for all awards, net of</w:t>
            </w:r>
          </w:p>
        </w:tc>
        <w:tc>
          <w:tcPr>
            <w:tcW w:w="5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(2,946)</w:t>
            </w:r>
          </w:p>
        </w:tc>
        <w:tc>
          <w:tcPr>
            <w:tcW w:w="5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related tax effects</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rPr>
              <w:t>(3,529)</w:t>
            </w:r>
          </w:p>
        </w:tc>
        <w:tc>
          <w:tcPr>
            <w:tcW w:w="6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(3,645)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 forma net income available for common shares</w:t>
            </w: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517"/>
              <w:spacing w:after="0" w:line="135" w:lineRule="exact"/>
              <w:rPr>
                <w:sz w:val="20"/>
                <w:szCs w:val="20"/>
                <w:color w:val="auto"/>
              </w:rPr>
            </w:pPr>
            <w:r>
              <w:rPr>
                <w:rFonts w:ascii="Arial" w:cs="Arial" w:eastAsia="Arial" w:hAnsi="Arial"/>
                <w:sz w:val="13"/>
                <w:szCs w:val="13"/>
                <w:b w:val="1"/>
                <w:bCs w:val="1"/>
                <w:color w:val="auto"/>
                <w:w w:val="80"/>
              </w:rPr>
              <w:t>329,300</w:t>
            </w: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497"/>
              <w:spacing w:after="0" w:line="135" w:lineRule="exact"/>
              <w:rPr>
                <w:sz w:val="20"/>
                <w:szCs w:val="20"/>
                <w:color w:val="auto"/>
              </w:rPr>
            </w:pPr>
            <w:r>
              <w:rPr>
                <w:rFonts w:ascii="Arial" w:cs="Arial" w:eastAsia="Arial" w:hAnsi="Arial"/>
                <w:sz w:val="13"/>
                <w:szCs w:val="13"/>
                <w:color w:val="auto"/>
                <w:w w:val="85"/>
              </w:rPr>
              <w:t>236,902</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w w:val="85"/>
              </w:rPr>
              <w:t>199,618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Basic earnings per share, as reported</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ind w:right="517"/>
              <w:spacing w:after="0" w:line="135" w:lineRule="exact"/>
              <w:rPr>
                <w:sz w:val="20"/>
                <w:szCs w:val="20"/>
                <w:color w:val="auto"/>
              </w:rPr>
            </w:pPr>
            <w:r>
              <w:rPr>
                <w:rFonts w:ascii="Arial" w:cs="Arial" w:eastAsia="Arial" w:hAnsi="Arial"/>
                <w:sz w:val="13"/>
                <w:szCs w:val="13"/>
                <w:b w:val="1"/>
                <w:bCs w:val="1"/>
                <w:color w:val="auto"/>
              </w:rPr>
              <w:t>34.69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97"/>
              <w:spacing w:after="0" w:line="135" w:lineRule="exact"/>
              <w:rPr>
                <w:sz w:val="20"/>
                <w:szCs w:val="20"/>
                <w:color w:val="auto"/>
              </w:rPr>
            </w:pPr>
            <w:r>
              <w:rPr>
                <w:rFonts w:ascii="Arial" w:cs="Arial" w:eastAsia="Arial" w:hAnsi="Arial"/>
                <w:sz w:val="13"/>
                <w:szCs w:val="13"/>
                <w:color w:val="auto"/>
              </w:rPr>
              <w:t>25.19</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21.38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tcPr>
          <w:p>
            <w:pPr>
              <w:spacing w:after="0" w:line="135" w:lineRule="exact"/>
              <w:rPr>
                <w:sz w:val="20"/>
                <w:szCs w:val="20"/>
                <w:color w:val="auto"/>
              </w:rPr>
            </w:pPr>
            <w:r>
              <w:rPr>
                <w:rFonts w:ascii="Arial" w:cs="Arial" w:eastAsia="Arial" w:hAnsi="Arial"/>
                <w:sz w:val="13"/>
                <w:szCs w:val="13"/>
                <w:color w:val="auto"/>
              </w:rPr>
              <w:t>Pro forma basic earnings per share</w:t>
            </w:r>
          </w:p>
        </w:tc>
        <w:tc>
          <w:tcPr>
            <w:tcW w:w="5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517"/>
              <w:spacing w:after="0" w:line="135" w:lineRule="exact"/>
              <w:rPr>
                <w:sz w:val="20"/>
                <w:szCs w:val="20"/>
                <w:color w:val="auto"/>
              </w:rPr>
            </w:pPr>
            <w:r>
              <w:rPr>
                <w:rFonts w:ascii="Arial" w:cs="Arial" w:eastAsia="Arial" w:hAnsi="Arial"/>
                <w:sz w:val="13"/>
                <w:szCs w:val="13"/>
                <w:b w:val="1"/>
                <w:bCs w:val="1"/>
                <w:color w:val="auto"/>
              </w:rPr>
              <w:t>34.43</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497"/>
              <w:spacing w:after="0" w:line="135" w:lineRule="exact"/>
              <w:rPr>
                <w:sz w:val="20"/>
                <w:szCs w:val="20"/>
                <w:color w:val="auto"/>
              </w:rPr>
            </w:pPr>
            <w:r>
              <w:rPr>
                <w:rFonts w:ascii="Arial" w:cs="Arial" w:eastAsia="Arial" w:hAnsi="Arial"/>
                <w:sz w:val="13"/>
                <w:szCs w:val="13"/>
                <w:color w:val="auto"/>
              </w:rPr>
              <w:t>24.86</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Diluted earnings per share, as reported</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ind w:right="517"/>
              <w:spacing w:after="0" w:line="135" w:lineRule="exact"/>
              <w:rPr>
                <w:sz w:val="20"/>
                <w:szCs w:val="20"/>
                <w:color w:val="auto"/>
              </w:rPr>
            </w:pPr>
            <w:r>
              <w:rPr>
                <w:rFonts w:ascii="Arial" w:cs="Arial" w:eastAsia="Arial" w:hAnsi="Arial"/>
                <w:sz w:val="13"/>
                <w:szCs w:val="13"/>
                <w:b w:val="1"/>
                <w:bCs w:val="1"/>
                <w:color w:val="auto"/>
              </w:rPr>
              <w:t>34.59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97"/>
              <w:spacing w:after="0" w:line="135" w:lineRule="exact"/>
              <w:rPr>
                <w:sz w:val="20"/>
                <w:szCs w:val="20"/>
                <w:color w:val="auto"/>
              </w:rPr>
            </w:pPr>
            <w:r>
              <w:rPr>
                <w:rFonts w:ascii="Arial" w:cs="Arial" w:eastAsia="Arial" w:hAnsi="Arial"/>
                <w:sz w:val="13"/>
                <w:szCs w:val="13"/>
                <w:color w:val="auto"/>
              </w:rPr>
              <w:t>25.12</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21.34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3"/>
                <w:szCs w:val="13"/>
                <w:color w:val="auto"/>
              </w:rPr>
              <w:t>Pro forma diluted earnings per share</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517"/>
              <w:spacing w:after="0"/>
              <w:rPr>
                <w:sz w:val="20"/>
                <w:szCs w:val="20"/>
                <w:color w:val="auto"/>
              </w:rPr>
            </w:pPr>
            <w:r>
              <w:rPr>
                <w:rFonts w:ascii="Arial" w:cs="Arial" w:eastAsia="Arial" w:hAnsi="Arial"/>
                <w:sz w:val="13"/>
                <w:szCs w:val="13"/>
                <w:b w:val="1"/>
                <w:bCs w:val="1"/>
                <w:color w:val="auto"/>
              </w:rPr>
              <w:t>34.33</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97"/>
              <w:spacing w:after="0"/>
              <w:rPr>
                <w:sz w:val="20"/>
                <w:szCs w:val="20"/>
                <w:color w:val="auto"/>
              </w:rPr>
            </w:pPr>
            <w:r>
              <w:rPr>
                <w:rFonts w:ascii="Arial" w:cs="Arial" w:eastAsia="Arial" w:hAnsi="Arial"/>
                <w:sz w:val="13"/>
                <w:szCs w:val="13"/>
                <w:color w:val="auto"/>
              </w:rPr>
              <w:t>24.79</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57"/>
              <w:spacing w:after="0"/>
              <w:rPr>
                <w:sz w:val="20"/>
                <w:szCs w:val="20"/>
                <w:color w:val="auto"/>
              </w:rPr>
            </w:pPr>
            <w:r>
              <w:rPr>
                <w:rFonts w:ascii="Arial" w:cs="Arial" w:eastAsia="Arial" w:hAnsi="Arial"/>
                <w:sz w:val="13"/>
                <w:szCs w:val="13"/>
                <w:color w:val="auto"/>
              </w:rPr>
              <w:t>20.96</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right="120"/>
        <w:spacing w:after="0" w:line="305" w:lineRule="auto"/>
        <w:rPr>
          <w:sz w:val="20"/>
          <w:szCs w:val="20"/>
          <w:color w:val="auto"/>
        </w:rPr>
      </w:pPr>
      <w:r>
        <w:rPr>
          <w:rFonts w:ascii="Arial" w:cs="Arial" w:eastAsia="Arial" w:hAnsi="Arial"/>
          <w:sz w:val="15"/>
          <w:szCs w:val="15"/>
          <w:color w:val="auto"/>
        </w:rPr>
        <w:t>In December 2004, Statement of Financial Accounting Standards No. 123R (SFAS 123R), “Share-Based Payment” was issued which requires companies to record the cost of employee services in exchange for stock options based on the grant-date fair value of the award. Because the Company adopted the fair-value-based method of accounting for Company stock options in 2002, SFAS 123R will have a minimal impact on the Company’s results of operations when adopted in the third quarter of 2005.</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ACCOUNTS RECEIVABLE AND ACCOUNTS PAYABLE AND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at January 2, 2005 and December 28, 2003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2004</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Trade accounts receivable,</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less estimated returns, doubtful</w:t>
            </w:r>
          </w:p>
        </w:tc>
        <w:tc>
          <w:tcPr>
            <w:tcW w:w="1720" w:type="dxa"/>
            <w:vAlign w:val="bottom"/>
            <w:vMerge w:val="restart"/>
            <w:shd w:val="clear" w:color="auto" w:fill="CCEEFF"/>
          </w:tcPr>
          <w:p>
            <w:pPr>
              <w:jc w:val="right"/>
              <w:ind w:right="550"/>
              <w:spacing w:after="0"/>
              <w:rPr>
                <w:sz w:val="20"/>
                <w:szCs w:val="20"/>
                <w:color w:val="auto"/>
              </w:rPr>
            </w:pPr>
            <w:r>
              <w:rPr>
                <w:rFonts w:ascii="Arial" w:cs="Arial" w:eastAsia="Arial" w:hAnsi="Arial"/>
                <w:sz w:val="14"/>
                <w:szCs w:val="14"/>
                <w:b w:val="1"/>
                <w:bCs w:val="1"/>
                <w:color w:val="auto"/>
              </w:rPr>
              <w:t>$ 342,879</w:t>
            </w: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and allowances of $70,965 and $66,524</w:t>
            </w:r>
          </w:p>
        </w:tc>
        <w:tc>
          <w:tcPr>
            <w:tcW w:w="1720" w:type="dxa"/>
            <w:vAlign w:val="bottom"/>
            <w:vMerge w:val="continue"/>
            <w:shd w:val="clear" w:color="auto" w:fill="CCEEFF"/>
          </w:tcPr>
          <w:p>
            <w:pPr>
              <w:spacing w:after="0"/>
              <w:rPr>
                <w:sz w:val="14"/>
                <w:szCs w:val="14"/>
                <w:color w:val="auto"/>
              </w:rPr>
            </w:pP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$ 311,807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Other accounts receivable</w:t>
            </w:r>
          </w:p>
        </w:tc>
        <w:tc>
          <w:tcPr>
            <w:tcW w:w="1720" w:type="dxa"/>
            <w:vAlign w:val="bottom"/>
            <w:tcBorders>
              <w:bottom w:val="single" w:sz="8" w:color="auto"/>
            </w:tcBorders>
          </w:tcPr>
          <w:p>
            <w:pPr>
              <w:jc w:val="right"/>
              <w:ind w:right="550"/>
              <w:spacing w:after="0" w:line="149" w:lineRule="exact"/>
              <w:rPr>
                <w:sz w:val="20"/>
                <w:szCs w:val="20"/>
                <w:color w:val="auto"/>
              </w:rPr>
            </w:pPr>
            <w:r>
              <w:rPr>
                <w:rFonts w:ascii="Arial" w:cs="Arial" w:eastAsia="Arial" w:hAnsi="Arial"/>
                <w:sz w:val="14"/>
                <w:szCs w:val="14"/>
                <w:b w:val="1"/>
                <w:bCs w:val="1"/>
                <w:color w:val="auto"/>
              </w:rPr>
              <w:t>19,983</w:t>
            </w:r>
          </w:p>
        </w:tc>
        <w:tc>
          <w:tcPr>
            <w:tcW w:w="1580" w:type="dxa"/>
            <w:vAlign w:val="bottom"/>
            <w:tcBorders>
              <w:bottom w:val="single" w:sz="8" w:color="auto"/>
            </w:tcBorders>
          </w:tcPr>
          <w:p>
            <w:pPr>
              <w:jc w:val="right"/>
              <w:ind w:right="370"/>
              <w:spacing w:after="0" w:line="149" w:lineRule="exact"/>
              <w:rPr>
                <w:sz w:val="20"/>
                <w:szCs w:val="20"/>
                <w:color w:val="auto"/>
              </w:rPr>
            </w:pPr>
            <w:r>
              <w:rPr>
                <w:rFonts w:ascii="Arial" w:cs="Arial" w:eastAsia="Arial" w:hAnsi="Arial"/>
                <w:sz w:val="14"/>
                <w:szCs w:val="14"/>
                <w:color w:val="auto"/>
              </w:rPr>
              <w:t>17,009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rPr>
                <w:sz w:val="12"/>
                <w:szCs w:val="12"/>
                <w:color w:val="auto"/>
              </w:rPr>
            </w:pPr>
          </w:p>
        </w:tc>
        <w:tc>
          <w:tcPr>
            <w:tcW w:w="1720" w:type="dxa"/>
            <w:vAlign w:val="bottom"/>
            <w:tcBorders>
              <w:bottom w:val="single" w:sz="8" w:color="auto"/>
            </w:tcBorders>
            <w:shd w:val="clear" w:color="auto" w:fill="CCEEFF"/>
          </w:tcPr>
          <w:p>
            <w:pPr>
              <w:jc w:val="right"/>
              <w:ind w:right="550"/>
              <w:spacing w:after="0" w:line="149" w:lineRule="exact"/>
              <w:rPr>
                <w:sz w:val="20"/>
                <w:szCs w:val="20"/>
                <w:color w:val="auto"/>
              </w:rPr>
            </w:pPr>
            <w:r>
              <w:rPr>
                <w:rFonts w:ascii="Arial" w:cs="Arial" w:eastAsia="Arial" w:hAnsi="Arial"/>
                <w:sz w:val="14"/>
                <w:szCs w:val="14"/>
                <w:b w:val="1"/>
                <w:bCs w:val="1"/>
                <w:color w:val="auto"/>
              </w:rPr>
              <w:t>$362,862</w:t>
            </w:r>
          </w:p>
        </w:tc>
        <w:tc>
          <w:tcPr>
            <w:tcW w:w="1580" w:type="dxa"/>
            <w:vAlign w:val="bottom"/>
            <w:tcBorders>
              <w:bottom w:val="single" w:sz="8" w:color="auto"/>
            </w:tcBorders>
            <w:shd w:val="clear" w:color="auto" w:fill="CCEEFF"/>
          </w:tcPr>
          <w:p>
            <w:pPr>
              <w:jc w:val="right"/>
              <w:ind w:right="370"/>
              <w:spacing w:after="0" w:line="149" w:lineRule="exact"/>
              <w:rPr>
                <w:sz w:val="20"/>
                <w:szCs w:val="20"/>
                <w:color w:val="auto"/>
              </w:rPr>
            </w:pPr>
            <w:r>
              <w:rPr>
                <w:rFonts w:ascii="Arial" w:cs="Arial" w:eastAsia="Arial" w:hAnsi="Arial"/>
                <w:sz w:val="14"/>
                <w:szCs w:val="14"/>
                <w:color w:val="auto"/>
              </w:rPr>
              <w:t>$328,816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Accounts payable and accrued liabilities at January 2, 2005 and December 28, 2003 consist of the following (in thousands):</w:t>
      </w:r>
    </w:p>
    <w:p>
      <w:pPr>
        <w:sectPr>
          <w:pgSz w:w="11900" w:h="16838" w:orient="portrait"/>
          <w:cols w:equalWidth="0" w:num="1">
            <w:col w:w="11420"/>
          </w:cols>
          <w:pgMar w:left="240" w:top="940" w:right="239" w:bottom="857"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1"/>
          <w:szCs w:val="11"/>
          <w:color w:val="auto"/>
        </w:rPr>
        <w:t>Accounts payable and accrued expenses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Accrued compensation and related benefits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Due to affiliates (newsprint)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680" w:type="dxa"/>
            <w:vAlign w:val="bottom"/>
          </w:tcPr>
          <w:p>
            <w:pPr>
              <w:jc w:val="right"/>
              <w:ind w:right="535"/>
              <w:spacing w:after="0"/>
              <w:rPr>
                <w:sz w:val="20"/>
                <w:szCs w:val="20"/>
                <w:color w:val="auto"/>
              </w:rPr>
            </w:pPr>
            <w:r>
              <w:rPr>
                <w:rFonts w:ascii="Arial" w:cs="Arial" w:eastAsia="Arial" w:hAnsi="Arial"/>
                <w:sz w:val="14"/>
                <w:szCs w:val="14"/>
                <w:b w:val="1"/>
                <w:bCs w:val="1"/>
                <w:color w:val="auto"/>
              </w:rPr>
              <w:t>2004</w:t>
            </w:r>
          </w:p>
        </w:tc>
        <w:tc>
          <w:tcPr>
            <w:tcW w:w="1540" w:type="dxa"/>
            <w:vAlign w:val="bottom"/>
          </w:tcPr>
          <w:p>
            <w:pPr>
              <w:jc w:val="right"/>
              <w:ind w:right="375"/>
              <w:spacing w:after="0"/>
              <w:rPr>
                <w:sz w:val="20"/>
                <w:szCs w:val="20"/>
                <w:color w:val="auto"/>
              </w:rPr>
            </w:pPr>
            <w:r>
              <w:rPr>
                <w:rFonts w:ascii="Arial" w:cs="Arial" w:eastAsia="Arial" w:hAnsi="Arial"/>
                <w:sz w:val="14"/>
                <w:szCs w:val="14"/>
                <w:color w:val="auto"/>
              </w:rPr>
              <w:t>2003</w:t>
            </w:r>
          </w:p>
        </w:tc>
      </w:tr>
      <w:tr>
        <w:trPr>
          <w:trHeight w:val="135"/>
        </w:trPr>
        <w:tc>
          <w:tcPr>
            <w:tcW w:w="1680" w:type="dxa"/>
            <w:vAlign w:val="bottom"/>
          </w:tcPr>
          <w:p>
            <w:pPr>
              <w:jc w:val="right"/>
              <w:ind w:right="535"/>
              <w:spacing w:after="0" w:line="135" w:lineRule="exact"/>
              <w:rPr>
                <w:sz w:val="20"/>
                <w:szCs w:val="20"/>
                <w:color w:val="auto"/>
              </w:rPr>
            </w:pPr>
            <w:r>
              <w:rPr>
                <w:rFonts w:ascii="Arial" w:cs="Arial" w:eastAsia="Arial" w:hAnsi="Arial"/>
                <w:sz w:val="13"/>
                <w:szCs w:val="13"/>
                <w:b w:val="1"/>
                <w:bCs w:val="1"/>
                <w:color w:val="auto"/>
              </w:rPr>
              <w:t>$229,380</w:t>
            </w:r>
          </w:p>
        </w:tc>
        <w:tc>
          <w:tcPr>
            <w:tcW w:w="1540" w:type="dxa"/>
            <w:vAlign w:val="bottom"/>
          </w:tcPr>
          <w:p>
            <w:pPr>
              <w:jc w:val="right"/>
              <w:ind w:right="375"/>
              <w:spacing w:after="0" w:line="135" w:lineRule="exact"/>
              <w:rPr>
                <w:sz w:val="20"/>
                <w:szCs w:val="20"/>
                <w:color w:val="auto"/>
              </w:rPr>
            </w:pPr>
            <w:r>
              <w:rPr>
                <w:rFonts w:ascii="Arial" w:cs="Arial" w:eastAsia="Arial" w:hAnsi="Arial"/>
                <w:sz w:val="13"/>
                <w:szCs w:val="13"/>
                <w:color w:val="auto"/>
              </w:rPr>
              <w:t>$ 211,972</w:t>
            </w:r>
          </w:p>
        </w:tc>
      </w:tr>
      <w:tr>
        <w:trPr>
          <w:trHeight w:val="135"/>
        </w:trPr>
        <w:tc>
          <w:tcPr>
            <w:tcW w:w="1680" w:type="dxa"/>
            <w:vAlign w:val="bottom"/>
          </w:tcPr>
          <w:p>
            <w:pPr>
              <w:jc w:val="right"/>
              <w:ind w:right="535"/>
              <w:spacing w:after="0" w:line="135" w:lineRule="exact"/>
              <w:rPr>
                <w:sz w:val="20"/>
                <w:szCs w:val="20"/>
                <w:color w:val="auto"/>
              </w:rPr>
            </w:pPr>
            <w:r>
              <w:rPr>
                <w:rFonts w:ascii="Arial" w:cs="Arial" w:eastAsia="Arial" w:hAnsi="Arial"/>
                <w:sz w:val="13"/>
                <w:szCs w:val="13"/>
                <w:b w:val="1"/>
                <w:bCs w:val="1"/>
                <w:color w:val="auto"/>
              </w:rPr>
              <w:t>204,225</w:t>
            </w:r>
          </w:p>
        </w:tc>
        <w:tc>
          <w:tcPr>
            <w:tcW w:w="1540" w:type="dxa"/>
            <w:vAlign w:val="bottom"/>
          </w:tcPr>
          <w:p>
            <w:pPr>
              <w:jc w:val="right"/>
              <w:ind w:right="375"/>
              <w:spacing w:after="0" w:line="135" w:lineRule="exact"/>
              <w:rPr>
                <w:sz w:val="20"/>
                <w:szCs w:val="20"/>
                <w:color w:val="auto"/>
              </w:rPr>
            </w:pPr>
            <w:r>
              <w:rPr>
                <w:rFonts w:ascii="Arial" w:cs="Arial" w:eastAsia="Arial" w:hAnsi="Arial"/>
                <w:sz w:val="13"/>
                <w:szCs w:val="13"/>
                <w:color w:val="auto"/>
              </w:rPr>
              <w:t>147,985</w:t>
            </w:r>
          </w:p>
        </w:tc>
      </w:tr>
      <w:tr>
        <w:trPr>
          <w:trHeight w:val="153"/>
        </w:trPr>
        <w:tc>
          <w:tcPr>
            <w:tcW w:w="168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b w:val="1"/>
                <w:bCs w:val="1"/>
                <w:color w:val="auto"/>
              </w:rPr>
              <w:t>9,727</w:t>
            </w: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8,406</w:t>
            </w:r>
          </w:p>
        </w:tc>
      </w:tr>
      <w:tr>
        <w:trPr>
          <w:trHeight w:val="277"/>
        </w:trPr>
        <w:tc>
          <w:tcPr>
            <w:tcW w:w="168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b w:val="1"/>
                <w:bCs w:val="1"/>
                <w:color w:val="auto"/>
              </w:rPr>
              <w:t>$443,332</w:t>
            </w: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$368,363</w:t>
            </w: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-5201285</wp:posOffset>
            </wp:positionH>
            <wp:positionV relativeFrom="paragraph">
              <wp:posOffset>-496570</wp:posOffset>
            </wp:positionV>
            <wp:extent cx="7246620" cy="462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7480" w:space="720"/>
            <w:col w:w="3220"/>
          </w:cols>
          <w:pgMar w:left="240" w:top="940" w:right="239" w:bottom="857" w:gutter="0" w:footer="0" w:header="0"/>
          <w:type w:val="continuous"/>
        </w:sectPr>
      </w:pPr>
    </w:p>
    <w:p>
      <w:pPr>
        <w:spacing w:after="0"/>
        <w:rPr>
          <w:sz w:val="20"/>
          <w:szCs w:val="20"/>
          <w:color w:val="auto"/>
        </w:rPr>
      </w:pPr>
      <w:r>
        <w:rPr>
          <w:rFonts w:ascii="Arial" w:cs="Arial" w:eastAsia="Arial" w:hAnsi="Arial"/>
          <w:sz w:val="15"/>
          <w:szCs w:val="15"/>
          <w:color w:val="auto"/>
        </w:rPr>
        <w:t>Book overdrafts of $27.2 million and $29.1 million are included in accounts payable and accrued expenses at January 2, 2005 and December 29, 2003,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Investments in marketable equity securities at January 2, 2005 and December 28, 2003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2004</w:t>
            </w: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w:t>
            </w:r>
          </w:p>
        </w:tc>
        <w:tc>
          <w:tcPr>
            <w:tcW w:w="172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b w:val="1"/>
                <w:bCs w:val="1"/>
                <w:color w:val="auto"/>
              </w:rPr>
              <w:t>$ 285,912</w:t>
            </w:r>
          </w:p>
        </w:tc>
        <w:tc>
          <w:tcPr>
            <w:tcW w:w="15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$ 186,954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Net unrealized gains</w:t>
            </w:r>
          </w:p>
        </w:tc>
        <w:tc>
          <w:tcPr>
            <w:tcW w:w="1720" w:type="dxa"/>
            <w:vAlign w:val="bottom"/>
            <w:tcBorders>
              <w:bottom w:val="single" w:sz="8" w:color="auto"/>
            </w:tcBorders>
          </w:tcPr>
          <w:p>
            <w:pPr>
              <w:jc w:val="right"/>
              <w:ind w:right="548"/>
              <w:spacing w:after="0" w:line="149" w:lineRule="exact"/>
              <w:rPr>
                <w:sz w:val="20"/>
                <w:szCs w:val="20"/>
                <w:color w:val="auto"/>
              </w:rPr>
            </w:pPr>
            <w:r>
              <w:rPr>
                <w:rFonts w:ascii="Arial" w:cs="Arial" w:eastAsia="Arial" w:hAnsi="Arial"/>
                <w:sz w:val="14"/>
                <w:szCs w:val="14"/>
                <w:b w:val="1"/>
                <w:bCs w:val="1"/>
                <w:color w:val="auto"/>
              </w:rPr>
              <w:t>123,824</w:t>
            </w:r>
          </w:p>
        </w:tc>
        <w:tc>
          <w:tcPr>
            <w:tcW w:w="158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61,004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fair value</w:t>
            </w:r>
          </w:p>
        </w:tc>
        <w:tc>
          <w:tcPr>
            <w:tcW w:w="172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b w:val="1"/>
                <w:bCs w:val="1"/>
                <w:color w:val="auto"/>
              </w:rPr>
              <w:t>$409,736</w:t>
            </w:r>
          </w:p>
        </w:tc>
        <w:tc>
          <w:tcPr>
            <w:tcW w:w="15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$247,958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At January 2, 2005 and December 28, 2003, the Company’s ownership of 2,634 shares of Berkshire Hathaway Inc. (“Berkshire”) Class A common stock and 9,845 shares of Berkshire Class B common stock accounted for $260.4 million or 64% and $245.3 million or 99%, respectively, of the total fair value of the Company’s investments in marketable equity securities.</w:t>
      </w:r>
    </w:p>
    <w:p>
      <w:pPr>
        <w:spacing w:after="0" w:line="76"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Berkshire is a holding company owning subsidiaries engaged in a number of diverse business activities, the most significant of which consist of property and casualty insurance business conducted on both a direct and reinsurance basis. Berkshire also owns approximately 18%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Berkshire common stock. The Company’s investment in Berkshire common stock is less than 1% of the consolidated equity of Berkshire. At January 2, 2005 and December 28, 2003, the unrealized gain related to the Company’s Berkshire stock investment totaled</w:t>
      </w:r>
    </w:p>
    <w:p>
      <w:pPr>
        <w:spacing w:after="0" w:line="3" w:lineRule="exact"/>
        <w:rPr>
          <w:sz w:val="20"/>
          <w:szCs w:val="20"/>
          <w:color w:val="auto"/>
        </w:rPr>
      </w:pPr>
    </w:p>
    <w:p>
      <w:pPr>
        <w:ind w:right="600"/>
        <w:spacing w:after="0" w:line="288" w:lineRule="auto"/>
        <w:rPr>
          <w:sz w:val="20"/>
          <w:szCs w:val="20"/>
          <w:color w:val="auto"/>
        </w:rPr>
      </w:pPr>
      <w:r>
        <w:rPr>
          <w:rFonts w:ascii="Arial" w:cs="Arial" w:eastAsia="Arial" w:hAnsi="Arial"/>
          <w:sz w:val="16"/>
          <w:szCs w:val="16"/>
          <w:color w:val="auto"/>
        </w:rPr>
        <w:t>$75.5 million and $60.4 million, respectively. The Company presently intends to hold the Berkshire common stock investment long term, thus the investment has been classified as a non-current asset in the Consolidated Balance Sheets.</w:t>
      </w:r>
    </w:p>
    <w:p>
      <w:pPr>
        <w:spacing w:after="0" w:line="68"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The Company made $94.6 million in investments in marketable equity securities in 2004. There were no investments in marketable equity securities in 2003 and 2002. During 2004 and 2003, there were no sales of marketable equity securities or realized gains (losses). During 2002, proceeds from sales of marketable equity securities were</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$19.7 million, and gross realized gains (losses) on such sales were $13.2 million. During 2003 and 2002, the Company recorded write-downs on marketable equity securities of $0.2 million and $2.0 million, respectively. Realized gains or losses on marketable equity securities are included in “Other income (expense), net” in the Consolidated Statements of Income. For purposes of computing realized gains and losses, the cost basis of securities sold is determined by specific identification.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Investments in Affiliates. </w:t>
      </w:r>
      <w:r>
        <w:rPr>
          <w:rFonts w:ascii="Arial" w:cs="Arial" w:eastAsia="Arial" w:hAnsi="Arial"/>
          <w:sz w:val="16"/>
          <w:szCs w:val="16"/>
          <w:color w:val="auto"/>
        </w:rPr>
        <w:t>The Company’s investments in affiliates at January 2, 2005 and December 28, 2003 include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2004</w:t>
            </w:r>
          </w:p>
        </w:tc>
        <w:tc>
          <w:tcPr>
            <w:tcW w:w="14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2003</w:t>
            </w: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BrassRing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8,755</w:t>
            </w:r>
          </w:p>
        </w:tc>
        <w:tc>
          <w:tcPr>
            <w:tcW w:w="14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$ 11,892</w:t>
            </w:r>
          </w:p>
        </w:tc>
      </w:tr>
      <w:tr>
        <w:trPr>
          <w:trHeight w:val="149"/>
        </w:trPr>
        <w:tc>
          <w:tcPr>
            <w:tcW w:w="20" w:type="dxa"/>
            <w:vAlign w:val="bottom"/>
          </w:tcPr>
          <w:p>
            <w:pPr>
              <w:spacing w:after="0"/>
              <w:rPr>
                <w:sz w:val="12"/>
                <w:szCs w:val="12"/>
                <w:color w:val="auto"/>
              </w:rPr>
            </w:pPr>
          </w:p>
        </w:tc>
        <w:tc>
          <w:tcPr>
            <w:tcW w:w="8320" w:type="dxa"/>
            <w:vAlign w:val="bottom"/>
          </w:tcPr>
          <w:p>
            <w:pPr>
              <w:spacing w:after="0" w:line="149" w:lineRule="exact"/>
              <w:rPr>
                <w:sz w:val="20"/>
                <w:szCs w:val="20"/>
                <w:color w:val="auto"/>
              </w:rPr>
            </w:pPr>
            <w:r>
              <w:rPr>
                <w:rFonts w:ascii="Arial" w:cs="Arial" w:eastAsia="Arial" w:hAnsi="Arial"/>
                <w:sz w:val="14"/>
                <w:szCs w:val="14"/>
                <w:color w:val="auto"/>
              </w:rPr>
              <w:t>Bowater Mersey Paper Company</w:t>
            </w:r>
          </w:p>
        </w:tc>
        <w:tc>
          <w:tcPr>
            <w:tcW w:w="66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w w:val="88"/>
              </w:rPr>
              <w:t>52,112</w:t>
            </w:r>
          </w:p>
        </w:tc>
        <w:tc>
          <w:tcPr>
            <w:tcW w:w="14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48,559</w:t>
            </w: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 Angeles Times–Washington Post News Service</w:t>
            </w:r>
          </w:p>
        </w:tc>
        <w:tc>
          <w:tcPr>
            <w:tcW w:w="6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947</w:t>
            </w:r>
          </w:p>
        </w:tc>
        <w:tc>
          <w:tcPr>
            <w:tcW w:w="14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861</w:t>
            </w:r>
          </w:p>
        </w:tc>
      </w:tr>
      <w:tr>
        <w:trPr>
          <w:trHeight w:val="156"/>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w w:val="88"/>
              </w:rPr>
              <w:t>61,814</w:t>
            </w:r>
          </w:p>
        </w:tc>
        <w:tc>
          <w:tcPr>
            <w:tcW w:w="14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$61,312</w:t>
            </w:r>
          </w:p>
        </w:tc>
      </w:tr>
      <w:tr>
        <w:trPr>
          <w:trHeight w:val="21"/>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At the end of 2004, the Company’s investments in affiliates consisted of a 49.3% interest in BrassRing LLC, an Internet-based hiring management company; a 49% interest in the common stock of Bowater Mersey Paper Company Limited, which owns and operates a newsprint mill in Nova Scotia; and a 50% common stock interest in the Los Angeles Times–Washington Post News Service, Inc. Summarized financial data for the affiliates’ operations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2004</w:t>
            </w: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2003</w:t>
            </w: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2002</w:t>
            </w: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27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Working capital</w:t>
            </w:r>
          </w:p>
        </w:tc>
        <w:tc>
          <w:tcPr>
            <w:tcW w:w="2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rPr>
              <w:t>9,014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11,108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10,366</w:t>
            </w: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plant and equipment</w:t>
            </w:r>
          </w:p>
        </w:tc>
        <w:tc>
          <w:tcPr>
            <w:tcW w:w="2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b w:val="1"/>
                <w:bCs w:val="1"/>
                <w:color w:val="auto"/>
                <w:w w:val="90"/>
              </w:rPr>
              <w:t>137,321</w:t>
            </w:r>
          </w:p>
        </w:tc>
        <w:tc>
          <w:tcPr>
            <w:tcW w:w="5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86"/>
              </w:rPr>
              <w:t>140,917</w:t>
            </w: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6"/>
              </w:rPr>
              <w:t>135,013</w:t>
            </w: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Total assets</w:t>
            </w:r>
          </w:p>
        </w:tc>
        <w:tc>
          <w:tcPr>
            <w:tcW w:w="2720" w:type="dxa"/>
            <w:vAlign w:val="bottom"/>
          </w:tcPr>
          <w:p>
            <w:pPr>
              <w:spacing w:after="0"/>
              <w:rPr>
                <w:sz w:val="12"/>
                <w:szCs w:val="12"/>
                <w:color w:val="auto"/>
              </w:rPr>
            </w:pPr>
          </w:p>
        </w:tc>
        <w:tc>
          <w:tcPr>
            <w:tcW w:w="104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w w:val="90"/>
              </w:rPr>
              <w:t>202,904</w:t>
            </w:r>
          </w:p>
        </w:tc>
        <w:tc>
          <w:tcPr>
            <w:tcW w:w="580" w:type="dxa"/>
            <w:vAlign w:val="bottom"/>
          </w:tcPr>
          <w:p>
            <w:pPr>
              <w:spacing w:after="0"/>
              <w:rPr>
                <w:sz w:val="12"/>
                <w:szCs w:val="12"/>
                <w:color w:val="auto"/>
              </w:rPr>
            </w:pPr>
          </w:p>
        </w:tc>
        <w:tc>
          <w:tcPr>
            <w:tcW w:w="1020" w:type="dxa"/>
            <w:vAlign w:val="bottom"/>
          </w:tcPr>
          <w:p>
            <w:pPr>
              <w:jc w:val="right"/>
              <w:ind w:right="488"/>
              <w:spacing w:after="0" w:line="149" w:lineRule="exact"/>
              <w:rPr>
                <w:sz w:val="20"/>
                <w:szCs w:val="20"/>
                <w:color w:val="auto"/>
              </w:rPr>
            </w:pPr>
            <w:r>
              <w:rPr>
                <w:rFonts w:ascii="Arial" w:cs="Arial" w:eastAsia="Arial" w:hAnsi="Arial"/>
                <w:sz w:val="14"/>
                <w:szCs w:val="14"/>
                <w:color w:val="auto"/>
                <w:w w:val="86"/>
              </w:rPr>
              <w:t>214,658</w:t>
            </w:r>
          </w:p>
        </w:tc>
        <w:tc>
          <w:tcPr>
            <w:tcW w:w="5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6"/>
              </w:rPr>
              <w:t>235,208</w:t>
            </w: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Long-term debt</w:t>
            </w:r>
          </w:p>
        </w:tc>
        <w:tc>
          <w:tcPr>
            <w:tcW w:w="2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Net equity</w:t>
            </w:r>
          </w:p>
        </w:tc>
        <w:tc>
          <w:tcPr>
            <w:tcW w:w="2720" w:type="dxa"/>
            <w:vAlign w:val="bottom"/>
          </w:tcPr>
          <w:p>
            <w:pPr>
              <w:spacing w:after="0"/>
              <w:rPr>
                <w:sz w:val="12"/>
                <w:szCs w:val="12"/>
                <w:color w:val="auto"/>
              </w:rPr>
            </w:pPr>
          </w:p>
        </w:tc>
        <w:tc>
          <w:tcPr>
            <w:tcW w:w="104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w w:val="90"/>
              </w:rPr>
              <w:t>155,147</w:t>
            </w:r>
          </w:p>
        </w:tc>
        <w:tc>
          <w:tcPr>
            <w:tcW w:w="580" w:type="dxa"/>
            <w:vAlign w:val="bottom"/>
          </w:tcPr>
          <w:p>
            <w:pPr>
              <w:spacing w:after="0"/>
              <w:rPr>
                <w:sz w:val="12"/>
                <w:szCs w:val="12"/>
                <w:color w:val="auto"/>
              </w:rPr>
            </w:pPr>
          </w:p>
        </w:tc>
        <w:tc>
          <w:tcPr>
            <w:tcW w:w="1020" w:type="dxa"/>
            <w:vAlign w:val="bottom"/>
          </w:tcPr>
          <w:p>
            <w:pPr>
              <w:jc w:val="right"/>
              <w:ind w:right="488"/>
              <w:spacing w:after="0" w:line="149" w:lineRule="exact"/>
              <w:rPr>
                <w:sz w:val="20"/>
                <w:szCs w:val="20"/>
                <w:color w:val="auto"/>
              </w:rPr>
            </w:pPr>
            <w:r>
              <w:rPr>
                <w:rFonts w:ascii="Arial" w:cs="Arial" w:eastAsia="Arial" w:hAnsi="Arial"/>
                <w:sz w:val="14"/>
                <w:szCs w:val="14"/>
                <w:color w:val="auto"/>
                <w:w w:val="86"/>
              </w:rPr>
              <w:t>149,584</w:t>
            </w:r>
          </w:p>
        </w:tc>
        <w:tc>
          <w:tcPr>
            <w:tcW w:w="5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6"/>
              </w:rPr>
              <w:t>138,723</w:t>
            </w: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27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Operating revenues</w:t>
            </w:r>
          </w:p>
        </w:tc>
        <w:tc>
          <w:tcPr>
            <w:tcW w:w="2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w w:val="90"/>
              </w:rPr>
              <w:t>221,618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8"/>
              <w:spacing w:after="0" w:line="149" w:lineRule="exact"/>
              <w:rPr>
                <w:sz w:val="20"/>
                <w:szCs w:val="20"/>
                <w:color w:val="auto"/>
              </w:rPr>
            </w:pPr>
            <w:r>
              <w:rPr>
                <w:rFonts w:ascii="Arial" w:cs="Arial" w:eastAsia="Arial" w:hAnsi="Arial"/>
                <w:sz w:val="14"/>
                <w:szCs w:val="14"/>
                <w:color w:val="auto"/>
                <w:w w:val="86"/>
              </w:rPr>
              <w:t>174,505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6"/>
              </w:rPr>
              <w:t>263,709</w:t>
            </w: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Operating income (loss)</w:t>
            </w:r>
          </w:p>
        </w:tc>
        <w:tc>
          <w:tcPr>
            <w:tcW w:w="2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b w:val="1"/>
                <w:bCs w:val="1"/>
                <w:color w:val="auto"/>
              </w:rPr>
              <w:t>1,695</w:t>
            </w:r>
          </w:p>
        </w:tc>
        <w:tc>
          <w:tcPr>
            <w:tcW w:w="5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95"/>
              </w:rPr>
              <w:t>(18,753)</w:t>
            </w: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5"/>
              </w:rPr>
              <w:t>(21,725)</w:t>
            </w:r>
          </w:p>
        </w:tc>
      </w:tr>
      <w:tr>
        <w:trPr>
          <w:trHeight w:val="186"/>
        </w:trPr>
        <w:tc>
          <w:tcPr>
            <w:tcW w:w="20" w:type="dxa"/>
            <w:vAlign w:val="bottom"/>
          </w:tcPr>
          <w:p>
            <w:pPr>
              <w:spacing w:after="0"/>
              <w:rPr>
                <w:sz w:val="16"/>
                <w:szCs w:val="16"/>
                <w:color w:val="auto"/>
              </w:rPr>
            </w:pPr>
          </w:p>
        </w:tc>
        <w:tc>
          <w:tcPr>
            <w:tcW w:w="468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72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(4,577)</w:t>
            </w:r>
          </w:p>
        </w:tc>
        <w:tc>
          <w:tcPr>
            <w:tcW w:w="58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color w:val="auto"/>
                <w:w w:val="95"/>
              </w:rPr>
              <w:t>(20,164)</w:t>
            </w:r>
          </w:p>
        </w:tc>
        <w:tc>
          <w:tcPr>
            <w:tcW w:w="580" w:type="dxa"/>
            <w:vAlign w:val="bottom"/>
          </w:tcPr>
          <w:p>
            <w:pPr>
              <w:spacing w:after="0"/>
              <w:rPr>
                <w:sz w:val="16"/>
                <w:szCs w:val="16"/>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w w:val="95"/>
              </w:rPr>
              <w:t>(36,326)</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and results of the Company’s investments in affiliates (in thousands):</w:t>
      </w:r>
    </w:p>
    <w:p>
      <w:pPr>
        <w:sectPr>
          <w:pgSz w:w="11900" w:h="16838" w:orient="portrait"/>
          <w:cols w:equalWidth="0" w:num="1">
            <w:col w:w="11420"/>
          </w:cols>
          <w:pgMar w:left="240" w:top="940" w:right="239" w:bottom="857" w:gutter="0" w:footer="0" w:header="0"/>
          <w:type w:val="continuous"/>
        </w:sect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Beginning investment</w:t>
      </w:r>
    </w:p>
    <w:p>
      <w:pPr>
        <w:spacing w:after="0" w:line="221" w:lineRule="auto"/>
        <w:rPr>
          <w:sz w:val="20"/>
          <w:szCs w:val="20"/>
          <w:color w:val="auto"/>
        </w:rPr>
      </w:pPr>
      <w:r>
        <w:rPr>
          <w:rFonts w:ascii="Arial" w:cs="Arial" w:eastAsia="Arial" w:hAnsi="Arial"/>
          <w:sz w:val="14"/>
          <w:szCs w:val="14"/>
          <w:color w:val="auto"/>
        </w:rPr>
        <w:t>Additional investment</w:t>
      </w:r>
    </w:p>
    <w:p>
      <w:pPr>
        <w:spacing w:after="0" w:line="221" w:lineRule="auto"/>
        <w:rPr>
          <w:sz w:val="20"/>
          <w:szCs w:val="20"/>
          <w:color w:val="auto"/>
        </w:rPr>
      </w:pPr>
      <w:r>
        <w:rPr>
          <w:rFonts w:ascii="Arial" w:cs="Arial" w:eastAsia="Arial" w:hAnsi="Arial"/>
          <w:sz w:val="14"/>
          <w:szCs w:val="14"/>
          <w:color w:val="auto"/>
        </w:rPr>
        <w:t>Equity in losses</w:t>
      </w:r>
    </w:p>
    <w:p>
      <w:pPr>
        <w:spacing w:after="0"/>
        <w:rPr>
          <w:sz w:val="20"/>
          <w:szCs w:val="20"/>
          <w:color w:val="auto"/>
        </w:rPr>
      </w:pPr>
      <w:r>
        <w:rPr>
          <w:rFonts w:ascii="Arial" w:cs="Arial" w:eastAsia="Arial" w:hAnsi="Arial"/>
          <w:sz w:val="13"/>
          <w:szCs w:val="13"/>
          <w:color w:val="auto"/>
        </w:rPr>
        <w:t>Dividends and distributions received</w:t>
      </w:r>
    </w:p>
    <w:p>
      <w:pPr>
        <w:spacing w:after="0" w:line="221" w:lineRule="auto"/>
        <w:rPr>
          <w:sz w:val="20"/>
          <w:szCs w:val="20"/>
          <w:color w:val="auto"/>
        </w:rPr>
      </w:pPr>
      <w:r>
        <w:rPr>
          <w:rFonts w:ascii="Arial" w:cs="Arial" w:eastAsia="Arial" w:hAnsi="Arial"/>
          <w:sz w:val="14"/>
          <w:szCs w:val="14"/>
          <w:color w:val="auto"/>
        </w:rPr>
        <w:t>Foreign currency translation</w:t>
      </w:r>
    </w:p>
    <w:p>
      <w:pPr>
        <w:spacing w:after="0"/>
        <w:rPr>
          <w:sz w:val="20"/>
          <w:szCs w:val="20"/>
          <w:color w:val="auto"/>
        </w:rPr>
      </w:pPr>
      <w:r>
        <w:rPr>
          <w:rFonts w:ascii="Arial" w:cs="Arial" w:eastAsia="Arial" w:hAnsi="Arial"/>
          <w:sz w:val="14"/>
          <w:szCs w:val="14"/>
          <w:color w:val="auto"/>
        </w:rPr>
        <w:t>Sale of interest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Ending investment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680" w:type="dxa"/>
            <w:vAlign w:val="bottom"/>
          </w:tcPr>
          <w:p>
            <w:pPr>
              <w:jc w:val="right"/>
              <w:ind w:right="568"/>
              <w:spacing w:after="0"/>
              <w:rPr>
                <w:sz w:val="20"/>
                <w:szCs w:val="20"/>
                <w:color w:val="auto"/>
              </w:rPr>
            </w:pPr>
            <w:r>
              <w:rPr>
                <w:rFonts w:ascii="Arial" w:cs="Arial" w:eastAsia="Arial" w:hAnsi="Arial"/>
                <w:sz w:val="14"/>
                <w:szCs w:val="14"/>
                <w:b w:val="1"/>
                <w:bCs w:val="1"/>
                <w:color w:val="auto"/>
              </w:rPr>
              <w:t>2004</w:t>
            </w:r>
          </w:p>
        </w:tc>
        <w:tc>
          <w:tcPr>
            <w:tcW w:w="1540" w:type="dxa"/>
            <w:vAlign w:val="bottom"/>
          </w:tcPr>
          <w:p>
            <w:pPr>
              <w:jc w:val="right"/>
              <w:ind w:right="368"/>
              <w:spacing w:after="0"/>
              <w:rPr>
                <w:sz w:val="20"/>
                <w:szCs w:val="20"/>
                <w:color w:val="auto"/>
              </w:rPr>
            </w:pPr>
            <w:r>
              <w:rPr>
                <w:rFonts w:ascii="Arial" w:cs="Arial" w:eastAsia="Arial" w:hAnsi="Arial"/>
                <w:sz w:val="14"/>
                <w:szCs w:val="14"/>
                <w:color w:val="auto"/>
              </w:rPr>
              <w:t>2003</w:t>
            </w:r>
          </w:p>
        </w:tc>
      </w:tr>
      <w:tr>
        <w:trPr>
          <w:trHeight w:val="149"/>
        </w:trPr>
        <w:tc>
          <w:tcPr>
            <w:tcW w:w="168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$61,312</w:t>
            </w:r>
          </w:p>
        </w:tc>
        <w:tc>
          <w:tcPr>
            <w:tcW w:w="15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$ 70,703</w:t>
            </w:r>
          </w:p>
        </w:tc>
      </w:tr>
      <w:tr>
        <w:trPr>
          <w:trHeight w:val="149"/>
        </w:trPr>
        <w:tc>
          <w:tcPr>
            <w:tcW w:w="168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5,976</w:t>
            </w:r>
          </w:p>
        </w:tc>
      </w:tr>
      <w:tr>
        <w:trPr>
          <w:trHeight w:val="149"/>
        </w:trPr>
        <w:tc>
          <w:tcPr>
            <w:tcW w:w="168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(2,291)</w:t>
            </w:r>
          </w:p>
        </w:tc>
        <w:tc>
          <w:tcPr>
            <w:tcW w:w="154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(9,766)</w:t>
            </w:r>
          </w:p>
        </w:tc>
      </w:tr>
      <w:tr>
        <w:trPr>
          <w:trHeight w:val="149"/>
        </w:trPr>
        <w:tc>
          <w:tcPr>
            <w:tcW w:w="168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(800)</w:t>
            </w:r>
          </w:p>
        </w:tc>
        <w:tc>
          <w:tcPr>
            <w:tcW w:w="154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(750)</w:t>
            </w:r>
          </w:p>
        </w:tc>
      </w:tr>
      <w:tr>
        <w:trPr>
          <w:trHeight w:val="149"/>
        </w:trPr>
        <w:tc>
          <w:tcPr>
            <w:tcW w:w="168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3,593</w:t>
            </w:r>
          </w:p>
        </w:tc>
        <w:tc>
          <w:tcPr>
            <w:tcW w:w="15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9,205</w:t>
            </w:r>
          </w:p>
        </w:tc>
      </w:tr>
      <w:tr>
        <w:trPr>
          <w:trHeight w:val="171"/>
        </w:trPr>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(14,056)</w:t>
            </w:r>
          </w:p>
        </w:tc>
      </w:tr>
      <w:tr>
        <w:trPr>
          <w:trHeight w:val="304"/>
        </w:trPr>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$61,814</w:t>
            </w: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$ 61,312</w:t>
            </w: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-5201285</wp:posOffset>
            </wp:positionH>
            <wp:positionV relativeFrom="paragraph">
              <wp:posOffset>-822960</wp:posOffset>
            </wp:positionV>
            <wp:extent cx="7246620" cy="7886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78867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7480" w:space="720"/>
            <w:col w:w="3220"/>
          </w:cols>
          <w:pgMar w:left="240" w:top="940" w:right="239" w:bottom="857" w:gutter="0" w:footer="0" w:header="0"/>
          <w:type w:val="continuous"/>
        </w:sectPr>
      </w:pPr>
    </w:p>
    <w:p>
      <w:pPr>
        <w:ind w:right="120"/>
        <w:spacing w:after="0" w:line="297" w:lineRule="auto"/>
        <w:rPr>
          <w:sz w:val="20"/>
          <w:szCs w:val="20"/>
          <w:color w:val="auto"/>
        </w:rPr>
      </w:pPr>
      <w:r>
        <w:rPr>
          <w:rFonts w:ascii="Arial" w:cs="Arial" w:eastAsia="Arial" w:hAnsi="Arial"/>
          <w:sz w:val="15"/>
          <w:szCs w:val="15"/>
          <w:color w:val="auto"/>
        </w:rPr>
        <w:t>In December 2001, BrassRing, Inc. was restructured and the Company’s interest in BrassRing, Inc. was converted into an interest in the newly-formed BrassRing LLC. At December 30, 2001, the Company held a 39.7% interest in the BrassRing LLC common equity and a $14.9 million Subordinated Convertible Promissory Note (“Note”) from BrassRing LLC. In February 2002, the Note was converted into Preferred Units, which are convertible at the Company’s option to BrassRing LLC common equity. Assuming the conversion of the Preferred Units, the Company’s common equity interest in BrassRing LLC would have been approximately 49.5%. BrassRing</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857"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color w:val="auto"/>
        </w:rPr>
        <w:t>accounted for $3.1 million of the 2004 equity in losses of affiliates, compared to $7.7 million in 2003 and $13.9 million in 2002.</w:t>
      </w:r>
    </w:p>
    <w:p>
      <w:pPr>
        <w:spacing w:after="0" w:line="1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January 1, 2003, the Company sold its 50% interest in The International Herald Tribune newspaper for $65 million; the Company reported a $49.8 million pre-tax gain that is included in “Other income (expense), net” in the Consolidated Statements of Income.</w:t>
      </w:r>
    </w:p>
    <w:p>
      <w:pPr>
        <w:spacing w:after="0" w:line="60"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Most of the companies represented by the Company’s cost method investments have concentrations in Internet-related business activities. At</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 2005 and December 28, 2003, the carrying value of the Company’s cost method investments was $4.6 million and $9.6 million, respectively. Cost method investments are included in “Deferred Charges and Other Assets” in the Consolidated Balance Sheets.</w:t>
      </w:r>
    </w:p>
    <w:p>
      <w:pPr>
        <w:spacing w:after="0" w:line="74" w:lineRule="exact"/>
        <w:rPr>
          <w:sz w:val="20"/>
          <w:szCs w:val="20"/>
          <w:color w:val="auto"/>
        </w:rPr>
      </w:pPr>
    </w:p>
    <w:p>
      <w:pPr>
        <w:ind w:right="500"/>
        <w:spacing w:after="0" w:line="369" w:lineRule="auto"/>
        <w:rPr>
          <w:sz w:val="20"/>
          <w:szCs w:val="20"/>
          <w:color w:val="auto"/>
        </w:rPr>
      </w:pPr>
      <w:r>
        <w:rPr>
          <w:rFonts w:ascii="Arial" w:cs="Arial" w:eastAsia="Arial" w:hAnsi="Arial"/>
          <w:sz w:val="14"/>
          <w:szCs w:val="14"/>
          <w:color w:val="auto"/>
        </w:rPr>
        <w:t>In June 2004, one of the Company’s cost method investments went public and is now reported as a marketable equity security, recorded at fair value in the Consolidated Balance Sheets, with the change in fair value during the period excluded from earnings and recorded net of tax as a separate component of comprehensive income.</w:t>
      </w:r>
    </w:p>
    <w:p>
      <w:pPr>
        <w:spacing w:after="0" w:line="1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During 2004, 2003, and 2002, the Company invested $0.2 million, $0.8 million, and $0.3 million, respectively, in companies constituting cost method investments and recorded charges of $0.7 million, $1.1 million, and $19.2 million, respectively, to write-down cost method investments to estimated fair value. In 2002, three of the investments were written down by an aggregate of $15.6 million, primarily as a result of significant recurring losses in each of the underlying businesses, with the write-downs recorded based on the Company’s best estimate of the fair value of each these investments. Another of the Company’s investments was written down in 2002 by $2.8 million, based on proceeds received by the Company arising from the investee’s merger. Charges recorded to write-down cost method investments are included in “Other income (expense), net” in the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8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929"/>
              <w:spacing w:after="0"/>
              <w:rPr>
                <w:sz w:val="20"/>
                <w:szCs w:val="20"/>
                <w:color w:val="auto"/>
              </w:rPr>
            </w:pPr>
            <w:r>
              <w:rPr>
                <w:rFonts w:ascii="Arial" w:cs="Arial" w:eastAsia="Arial" w:hAnsi="Arial"/>
                <w:sz w:val="13"/>
                <w:szCs w:val="13"/>
                <w:color w:val="auto"/>
              </w:rPr>
              <w:t>Current</w:t>
            </w:r>
          </w:p>
        </w:tc>
        <w:tc>
          <w:tcPr>
            <w:tcW w:w="2360" w:type="dxa"/>
            <w:vAlign w:val="bottom"/>
            <w:tcBorders>
              <w:bottom w:val="single" w:sz="8" w:color="auto"/>
            </w:tcBorders>
          </w:tcPr>
          <w:p>
            <w:pPr>
              <w:jc w:val="right"/>
              <w:ind w:right="809"/>
              <w:spacing w:after="0"/>
              <w:rPr>
                <w:sz w:val="20"/>
                <w:szCs w:val="20"/>
                <w:color w:val="auto"/>
              </w:rPr>
            </w:pPr>
            <w:r>
              <w:rPr>
                <w:rFonts w:ascii="Arial" w:cs="Arial" w:eastAsia="Arial" w:hAnsi="Arial"/>
                <w:sz w:val="13"/>
                <w:szCs w:val="13"/>
                <w:color w:val="auto"/>
              </w:rPr>
              <w:t>Deferred</w:t>
            </w:r>
          </w:p>
        </w:tc>
        <w:tc>
          <w:tcPr>
            <w:tcW w:w="188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jc w:val="right"/>
              <w:ind w:right="4508"/>
              <w:spacing w:after="0" w:line="149" w:lineRule="exact"/>
              <w:rPr>
                <w:sz w:val="20"/>
                <w:szCs w:val="20"/>
                <w:color w:val="auto"/>
              </w:rPr>
            </w:pPr>
            <w:r>
              <w:rPr>
                <w:rFonts w:ascii="Arial" w:cs="Arial" w:eastAsia="Arial" w:hAnsi="Arial"/>
                <w:sz w:val="14"/>
                <w:szCs w:val="14"/>
                <w:b w:val="1"/>
                <w:bCs w:val="1"/>
                <w:color w:val="auto"/>
                <w:w w:val="83"/>
              </w:rPr>
              <w:t>2004</w:t>
            </w: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280"/>
              <w:spacing w:after="0" w:line="149" w:lineRule="exact"/>
              <w:rPr>
                <w:sz w:val="20"/>
                <w:szCs w:val="20"/>
                <w:color w:val="auto"/>
              </w:rPr>
            </w:pPr>
            <w:r>
              <w:rPr>
                <w:rFonts w:ascii="Arial" w:cs="Arial" w:eastAsia="Arial" w:hAnsi="Arial"/>
                <w:sz w:val="14"/>
                <w:szCs w:val="14"/>
                <w:color w:val="auto"/>
              </w:rPr>
              <w:t>U.S. Federal</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929"/>
              <w:spacing w:after="0" w:line="149" w:lineRule="exact"/>
              <w:rPr>
                <w:sz w:val="20"/>
                <w:szCs w:val="20"/>
                <w:color w:val="auto"/>
              </w:rPr>
            </w:pPr>
            <w:r>
              <w:rPr>
                <w:rFonts w:ascii="Arial" w:cs="Arial" w:eastAsia="Arial" w:hAnsi="Arial"/>
                <w:sz w:val="14"/>
                <w:szCs w:val="14"/>
                <w:b w:val="1"/>
                <w:bCs w:val="1"/>
                <w:color w:val="auto"/>
                <w:w w:val="90"/>
              </w:rPr>
              <w:t>138,429</w:t>
            </w:r>
          </w:p>
        </w:tc>
        <w:tc>
          <w:tcPr>
            <w:tcW w:w="2360" w:type="dxa"/>
            <w:vAlign w:val="bottom"/>
          </w:tcPr>
          <w:p>
            <w:pPr>
              <w:jc w:val="right"/>
              <w:ind w:right="809"/>
              <w:spacing w:after="0" w:line="149" w:lineRule="exact"/>
              <w:rPr>
                <w:sz w:val="20"/>
                <w:szCs w:val="20"/>
                <w:color w:val="auto"/>
              </w:rPr>
            </w:pPr>
            <w:r>
              <w:rPr>
                <w:rFonts w:ascii="Arial" w:cs="Arial" w:eastAsia="Arial" w:hAnsi="Arial"/>
                <w:sz w:val="14"/>
                <w:szCs w:val="14"/>
                <w:b w:val="1"/>
                <w:bCs w:val="1"/>
                <w:color w:val="auto"/>
              </w:rPr>
              <w:t>$ 35,544</w:t>
            </w:r>
          </w:p>
        </w:tc>
        <w:tc>
          <w:tcPr>
            <w:tcW w:w="1880" w:type="dxa"/>
            <w:vAlign w:val="bottom"/>
          </w:tcPr>
          <w:p>
            <w:pPr>
              <w:jc w:val="right"/>
              <w:ind w:right="449"/>
              <w:spacing w:after="0" w:line="149" w:lineRule="exact"/>
              <w:rPr>
                <w:sz w:val="20"/>
                <w:szCs w:val="20"/>
                <w:color w:val="auto"/>
              </w:rPr>
            </w:pPr>
            <w:r>
              <w:rPr>
                <w:rFonts w:ascii="Arial" w:cs="Arial" w:eastAsia="Arial" w:hAnsi="Arial"/>
                <w:sz w:val="14"/>
                <w:szCs w:val="14"/>
                <w:b w:val="1"/>
                <w:bCs w:val="1"/>
                <w:color w:val="auto"/>
              </w:rPr>
              <w:t>$ 173,973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w:t>
            </w: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929"/>
              <w:spacing w:after="0" w:line="149" w:lineRule="exact"/>
              <w:rPr>
                <w:sz w:val="20"/>
                <w:szCs w:val="20"/>
                <w:color w:val="auto"/>
              </w:rPr>
            </w:pPr>
            <w:r>
              <w:rPr>
                <w:rFonts w:ascii="Arial" w:cs="Arial" w:eastAsia="Arial" w:hAnsi="Arial"/>
                <w:sz w:val="14"/>
                <w:szCs w:val="14"/>
                <w:b w:val="1"/>
                <w:bCs w:val="1"/>
                <w:color w:val="auto"/>
              </w:rPr>
              <w:t>4,751</w:t>
            </w:r>
          </w:p>
        </w:tc>
        <w:tc>
          <w:tcPr>
            <w:tcW w:w="2360" w:type="dxa"/>
            <w:vAlign w:val="bottom"/>
            <w:shd w:val="clear" w:color="auto" w:fill="CCEEFF"/>
          </w:tcPr>
          <w:p>
            <w:pPr>
              <w:jc w:val="right"/>
              <w:ind w:right="749"/>
              <w:spacing w:after="0" w:line="149" w:lineRule="exact"/>
              <w:rPr>
                <w:sz w:val="20"/>
                <w:szCs w:val="20"/>
                <w:color w:val="auto"/>
              </w:rPr>
            </w:pPr>
            <w:r>
              <w:rPr>
                <w:rFonts w:ascii="Arial" w:cs="Arial" w:eastAsia="Arial" w:hAnsi="Arial"/>
                <w:sz w:val="14"/>
                <w:szCs w:val="14"/>
                <w:b w:val="1"/>
                <w:bCs w:val="1"/>
                <w:color w:val="auto"/>
              </w:rPr>
              <w:t>(361)</w:t>
            </w:r>
          </w:p>
        </w:tc>
        <w:tc>
          <w:tcPr>
            <w:tcW w:w="188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b w:val="1"/>
                <w:bCs w:val="1"/>
                <w:color w:val="auto"/>
              </w:rPr>
              <w:t>4,390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280"/>
              <w:spacing w:after="0" w:line="149" w:lineRule="exact"/>
              <w:rPr>
                <w:sz w:val="20"/>
                <w:szCs w:val="20"/>
                <w:color w:val="auto"/>
              </w:rPr>
            </w:pPr>
            <w:r>
              <w:rPr>
                <w:rFonts w:ascii="Arial" w:cs="Arial" w:eastAsia="Arial" w:hAnsi="Arial"/>
                <w:sz w:val="14"/>
                <w:szCs w:val="14"/>
                <w:color w:val="auto"/>
              </w:rPr>
              <w:t>State and local</w:t>
            </w:r>
          </w:p>
        </w:tc>
        <w:tc>
          <w:tcPr>
            <w:tcW w:w="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929"/>
              <w:spacing w:after="0" w:line="149" w:lineRule="exact"/>
              <w:rPr>
                <w:sz w:val="20"/>
                <w:szCs w:val="20"/>
                <w:color w:val="auto"/>
              </w:rPr>
            </w:pPr>
            <w:r>
              <w:rPr>
                <w:rFonts w:ascii="Arial" w:cs="Arial" w:eastAsia="Arial" w:hAnsi="Arial"/>
                <w:sz w:val="14"/>
                <w:szCs w:val="14"/>
                <w:b w:val="1"/>
                <w:bCs w:val="1"/>
                <w:color w:val="auto"/>
              </w:rPr>
              <w:t>22,199</w:t>
            </w:r>
          </w:p>
        </w:tc>
        <w:tc>
          <w:tcPr>
            <w:tcW w:w="2360" w:type="dxa"/>
            <w:vAlign w:val="bottom"/>
            <w:tcBorders>
              <w:bottom w:val="single" w:sz="8" w:color="auto"/>
            </w:tcBorders>
          </w:tcPr>
          <w:p>
            <w:pPr>
              <w:jc w:val="right"/>
              <w:ind w:right="809"/>
              <w:spacing w:after="0" w:line="149" w:lineRule="exact"/>
              <w:rPr>
                <w:sz w:val="20"/>
                <w:szCs w:val="20"/>
                <w:color w:val="auto"/>
              </w:rPr>
            </w:pPr>
            <w:r>
              <w:rPr>
                <w:rFonts w:ascii="Arial" w:cs="Arial" w:eastAsia="Arial" w:hAnsi="Arial"/>
                <w:sz w:val="14"/>
                <w:szCs w:val="14"/>
                <w:b w:val="1"/>
                <w:bCs w:val="1"/>
                <w:color w:val="auto"/>
              </w:rPr>
              <w:t>9,138</w:t>
            </w:r>
          </w:p>
        </w:tc>
        <w:tc>
          <w:tcPr>
            <w:tcW w:w="1880" w:type="dxa"/>
            <w:vAlign w:val="bottom"/>
            <w:tcBorders>
              <w:bottom w:val="single" w:sz="8" w:color="auto"/>
            </w:tcBorders>
          </w:tcPr>
          <w:p>
            <w:pPr>
              <w:jc w:val="right"/>
              <w:ind w:right="449"/>
              <w:spacing w:after="0" w:line="149" w:lineRule="exact"/>
              <w:rPr>
                <w:sz w:val="20"/>
                <w:szCs w:val="20"/>
                <w:color w:val="auto"/>
              </w:rPr>
            </w:pPr>
            <w:r>
              <w:rPr>
                <w:rFonts w:ascii="Arial" w:cs="Arial" w:eastAsia="Arial" w:hAnsi="Arial"/>
                <w:sz w:val="14"/>
                <w:szCs w:val="14"/>
                <w:b w:val="1"/>
                <w:bCs w:val="1"/>
                <w:color w:val="auto"/>
              </w:rPr>
              <w:t>31,337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ind w:right="929"/>
              <w:spacing w:after="0" w:line="149" w:lineRule="exact"/>
              <w:rPr>
                <w:sz w:val="20"/>
                <w:szCs w:val="20"/>
                <w:color w:val="auto"/>
              </w:rPr>
            </w:pPr>
            <w:r>
              <w:rPr>
                <w:rFonts w:ascii="Arial" w:cs="Arial" w:eastAsia="Arial" w:hAnsi="Arial"/>
                <w:sz w:val="14"/>
                <w:szCs w:val="14"/>
                <w:b w:val="1"/>
                <w:bCs w:val="1"/>
                <w:color w:val="auto"/>
                <w:w w:val="90"/>
              </w:rPr>
              <w:t>165,379</w:t>
            </w:r>
          </w:p>
        </w:tc>
        <w:tc>
          <w:tcPr>
            <w:tcW w:w="2360" w:type="dxa"/>
            <w:vAlign w:val="bottom"/>
            <w:tcBorders>
              <w:bottom w:val="single" w:sz="8" w:color="auto"/>
            </w:tcBorders>
            <w:shd w:val="clear" w:color="auto" w:fill="CCEEFF"/>
          </w:tcPr>
          <w:p>
            <w:pPr>
              <w:jc w:val="right"/>
              <w:ind w:right="809"/>
              <w:spacing w:after="0" w:line="149" w:lineRule="exact"/>
              <w:rPr>
                <w:sz w:val="20"/>
                <w:szCs w:val="20"/>
                <w:color w:val="auto"/>
              </w:rPr>
            </w:pPr>
            <w:r>
              <w:rPr>
                <w:rFonts w:ascii="Arial" w:cs="Arial" w:eastAsia="Arial" w:hAnsi="Arial"/>
                <w:sz w:val="14"/>
                <w:szCs w:val="14"/>
                <w:b w:val="1"/>
                <w:bCs w:val="1"/>
                <w:color w:val="auto"/>
              </w:rPr>
              <w:t>$44,321</w:t>
            </w:r>
          </w:p>
        </w:tc>
        <w:tc>
          <w:tcPr>
            <w:tcW w:w="188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b w:val="1"/>
                <w:bCs w:val="1"/>
                <w:color w:val="auto"/>
              </w:rPr>
              <w:t>$209,700</w:t>
            </w:r>
          </w:p>
        </w:tc>
        <w:tc>
          <w:tcPr>
            <w:tcW w:w="0" w:type="dxa"/>
            <w:vAlign w:val="bottom"/>
          </w:tcPr>
          <w:p>
            <w:pPr>
              <w:spacing w:after="0"/>
              <w:rPr>
                <w:sz w:val="1"/>
                <w:szCs w:val="1"/>
                <w:color w:val="auto"/>
              </w:rPr>
            </w:pPr>
          </w:p>
        </w:tc>
      </w:tr>
      <w:tr>
        <w:trPr>
          <w:trHeight w:val="21"/>
        </w:trPr>
        <w:tc>
          <w:tcPr>
            <w:tcW w:w="4880" w:type="dxa"/>
            <w:vAlign w:val="bottom"/>
            <w:gridSpan w:val="2"/>
            <w:vMerge w:val="restart"/>
          </w:tcPr>
          <w:p>
            <w:pPr>
              <w:jc w:val="right"/>
              <w:ind w:right="4508"/>
              <w:spacing w:after="0"/>
              <w:rPr>
                <w:sz w:val="20"/>
                <w:szCs w:val="20"/>
                <w:color w:val="auto"/>
              </w:rPr>
            </w:pPr>
            <w:r>
              <w:rPr>
                <w:rFonts w:ascii="Arial" w:cs="Arial" w:eastAsia="Arial" w:hAnsi="Arial"/>
                <w:sz w:val="14"/>
                <w:szCs w:val="14"/>
                <w:color w:val="auto"/>
                <w:w w:val="89"/>
              </w:rPr>
              <w:t>2003</w:t>
            </w: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U.S. Federal</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929"/>
              <w:spacing w:after="0" w:line="149" w:lineRule="exact"/>
              <w:rPr>
                <w:sz w:val="20"/>
                <w:szCs w:val="20"/>
                <w:color w:val="auto"/>
              </w:rPr>
            </w:pPr>
            <w:r>
              <w:rPr>
                <w:rFonts w:ascii="Arial" w:cs="Arial" w:eastAsia="Arial" w:hAnsi="Arial"/>
                <w:sz w:val="14"/>
                <w:szCs w:val="14"/>
                <w:color w:val="auto"/>
              </w:rPr>
              <w:t>93,329</w:t>
            </w:r>
          </w:p>
        </w:tc>
        <w:tc>
          <w:tcPr>
            <w:tcW w:w="2360" w:type="dxa"/>
            <w:vAlign w:val="bottom"/>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$ 27,189</w:t>
            </w:r>
          </w:p>
        </w:tc>
        <w:tc>
          <w:tcPr>
            <w:tcW w:w="188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$ 120,518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280"/>
              <w:spacing w:after="0" w:line="149" w:lineRule="exact"/>
              <w:rPr>
                <w:sz w:val="20"/>
                <w:szCs w:val="20"/>
                <w:color w:val="auto"/>
              </w:rPr>
            </w:pPr>
            <w:r>
              <w:rPr>
                <w:rFonts w:ascii="Arial" w:cs="Arial" w:eastAsia="Arial" w:hAnsi="Arial"/>
                <w:sz w:val="14"/>
                <w:szCs w:val="14"/>
                <w:color w:val="auto"/>
              </w:rPr>
              <w:t>Foreign</w:t>
            </w:r>
          </w:p>
        </w:tc>
        <w:tc>
          <w:tcPr>
            <w:tcW w:w="820" w:type="dxa"/>
            <w:vAlign w:val="bottom"/>
          </w:tcPr>
          <w:p>
            <w:pPr>
              <w:spacing w:after="0"/>
              <w:rPr>
                <w:sz w:val="12"/>
                <w:szCs w:val="12"/>
                <w:color w:val="auto"/>
              </w:rPr>
            </w:pPr>
          </w:p>
        </w:tc>
        <w:tc>
          <w:tcPr>
            <w:tcW w:w="1480" w:type="dxa"/>
            <w:vAlign w:val="bottom"/>
          </w:tcPr>
          <w:p>
            <w:pPr>
              <w:jc w:val="right"/>
              <w:ind w:right="929"/>
              <w:spacing w:after="0" w:line="149" w:lineRule="exact"/>
              <w:rPr>
                <w:sz w:val="20"/>
                <w:szCs w:val="20"/>
                <w:color w:val="auto"/>
              </w:rPr>
            </w:pPr>
            <w:r>
              <w:rPr>
                <w:rFonts w:ascii="Arial" w:cs="Arial" w:eastAsia="Arial" w:hAnsi="Arial"/>
                <w:sz w:val="14"/>
                <w:szCs w:val="14"/>
                <w:color w:val="auto"/>
              </w:rPr>
              <w:t>4,129</w:t>
            </w:r>
          </w:p>
        </w:tc>
        <w:tc>
          <w:tcPr>
            <w:tcW w:w="2360" w:type="dxa"/>
            <w:vAlign w:val="bottom"/>
          </w:tcPr>
          <w:p>
            <w:pPr>
              <w:jc w:val="right"/>
              <w:ind w:right="749"/>
              <w:spacing w:after="0" w:line="149" w:lineRule="exact"/>
              <w:rPr>
                <w:sz w:val="20"/>
                <w:szCs w:val="20"/>
                <w:color w:val="auto"/>
              </w:rPr>
            </w:pPr>
            <w:r>
              <w:rPr>
                <w:rFonts w:ascii="Arial" w:cs="Arial" w:eastAsia="Arial" w:hAnsi="Arial"/>
                <w:sz w:val="14"/>
                <w:szCs w:val="14"/>
                <w:color w:val="auto"/>
              </w:rPr>
              <w:t>(159)</w:t>
            </w:r>
          </w:p>
        </w:tc>
        <w:tc>
          <w:tcPr>
            <w:tcW w:w="188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3,970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State and local</w:t>
            </w:r>
          </w:p>
        </w:tc>
        <w:tc>
          <w:tcPr>
            <w:tcW w:w="8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929"/>
              <w:spacing w:after="0" w:line="149" w:lineRule="exact"/>
              <w:rPr>
                <w:sz w:val="20"/>
                <w:szCs w:val="20"/>
                <w:color w:val="auto"/>
              </w:rPr>
            </w:pPr>
            <w:r>
              <w:rPr>
                <w:rFonts w:ascii="Arial" w:cs="Arial" w:eastAsia="Arial" w:hAnsi="Arial"/>
                <w:sz w:val="14"/>
                <w:szCs w:val="14"/>
                <w:color w:val="auto"/>
              </w:rPr>
              <w:t>13,338</w:t>
            </w:r>
          </w:p>
        </w:tc>
        <w:tc>
          <w:tcPr>
            <w:tcW w:w="2360" w:type="dxa"/>
            <w:vAlign w:val="bottom"/>
            <w:tcBorders>
              <w:bottom w:val="single" w:sz="8" w:color="auto"/>
            </w:tcBorders>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3,674</w:t>
            </w:r>
          </w:p>
        </w:tc>
        <w:tc>
          <w:tcPr>
            <w:tcW w:w="188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17,012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929"/>
              <w:spacing w:after="0" w:line="149" w:lineRule="exact"/>
              <w:rPr>
                <w:sz w:val="20"/>
                <w:szCs w:val="20"/>
                <w:color w:val="auto"/>
              </w:rPr>
            </w:pPr>
            <w:r>
              <w:rPr>
                <w:rFonts w:ascii="Arial" w:cs="Arial" w:eastAsia="Arial" w:hAnsi="Arial"/>
                <w:sz w:val="14"/>
                <w:szCs w:val="14"/>
                <w:color w:val="auto"/>
                <w:w w:val="90"/>
              </w:rPr>
              <w:t>110,796</w:t>
            </w:r>
          </w:p>
        </w:tc>
        <w:tc>
          <w:tcPr>
            <w:tcW w:w="2360" w:type="dxa"/>
            <w:vAlign w:val="bottom"/>
            <w:tcBorders>
              <w:bottom w:val="single" w:sz="8" w:color="auto"/>
            </w:tcBorders>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$30,704</w:t>
            </w:r>
          </w:p>
        </w:tc>
        <w:tc>
          <w:tcPr>
            <w:tcW w:w="188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$141,500</w:t>
            </w:r>
          </w:p>
        </w:tc>
        <w:tc>
          <w:tcPr>
            <w:tcW w:w="0" w:type="dxa"/>
            <w:vAlign w:val="bottom"/>
          </w:tcPr>
          <w:p>
            <w:pPr>
              <w:spacing w:after="0"/>
              <w:rPr>
                <w:sz w:val="1"/>
                <w:szCs w:val="1"/>
                <w:color w:val="auto"/>
              </w:rPr>
            </w:pPr>
          </w:p>
        </w:tc>
      </w:tr>
      <w:tr>
        <w:trPr>
          <w:trHeight w:val="21"/>
        </w:trPr>
        <w:tc>
          <w:tcPr>
            <w:tcW w:w="4880" w:type="dxa"/>
            <w:vAlign w:val="bottom"/>
            <w:gridSpan w:val="2"/>
            <w:vMerge w:val="restart"/>
          </w:tcPr>
          <w:p>
            <w:pPr>
              <w:jc w:val="right"/>
              <w:ind w:right="4508"/>
              <w:spacing w:after="0"/>
              <w:rPr>
                <w:sz w:val="20"/>
                <w:szCs w:val="20"/>
                <w:color w:val="auto"/>
              </w:rPr>
            </w:pPr>
            <w:r>
              <w:rPr>
                <w:rFonts w:ascii="Arial" w:cs="Arial" w:eastAsia="Arial" w:hAnsi="Arial"/>
                <w:sz w:val="14"/>
                <w:szCs w:val="14"/>
                <w:color w:val="auto"/>
                <w:w w:val="89"/>
              </w:rPr>
              <w:t>2002</w:t>
            </w: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U.S. Federal</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929"/>
              <w:spacing w:after="0" w:line="149" w:lineRule="exact"/>
              <w:rPr>
                <w:sz w:val="20"/>
                <w:szCs w:val="20"/>
                <w:color w:val="auto"/>
              </w:rPr>
            </w:pPr>
            <w:r>
              <w:rPr>
                <w:rFonts w:ascii="Arial" w:cs="Arial" w:eastAsia="Arial" w:hAnsi="Arial"/>
                <w:sz w:val="14"/>
                <w:szCs w:val="14"/>
                <w:color w:val="auto"/>
              </w:rPr>
              <w:t>75,654</w:t>
            </w:r>
          </w:p>
        </w:tc>
        <w:tc>
          <w:tcPr>
            <w:tcW w:w="2360" w:type="dxa"/>
            <w:vAlign w:val="bottom"/>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$ 38,934</w:t>
            </w:r>
          </w:p>
        </w:tc>
        <w:tc>
          <w:tcPr>
            <w:tcW w:w="188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$ 114,588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280"/>
              <w:spacing w:after="0" w:line="149" w:lineRule="exact"/>
              <w:rPr>
                <w:sz w:val="20"/>
                <w:szCs w:val="20"/>
                <w:color w:val="auto"/>
              </w:rPr>
            </w:pPr>
            <w:r>
              <w:rPr>
                <w:rFonts w:ascii="Arial" w:cs="Arial" w:eastAsia="Arial" w:hAnsi="Arial"/>
                <w:sz w:val="14"/>
                <w:szCs w:val="14"/>
                <w:color w:val="auto"/>
              </w:rPr>
              <w:t>Foreign</w:t>
            </w:r>
          </w:p>
        </w:tc>
        <w:tc>
          <w:tcPr>
            <w:tcW w:w="820" w:type="dxa"/>
            <w:vAlign w:val="bottom"/>
          </w:tcPr>
          <w:p>
            <w:pPr>
              <w:spacing w:after="0"/>
              <w:rPr>
                <w:sz w:val="12"/>
                <w:szCs w:val="12"/>
                <w:color w:val="auto"/>
              </w:rPr>
            </w:pPr>
          </w:p>
        </w:tc>
        <w:tc>
          <w:tcPr>
            <w:tcW w:w="1480" w:type="dxa"/>
            <w:vAlign w:val="bottom"/>
          </w:tcPr>
          <w:p>
            <w:pPr>
              <w:jc w:val="right"/>
              <w:ind w:right="929"/>
              <w:spacing w:after="0" w:line="149" w:lineRule="exact"/>
              <w:rPr>
                <w:sz w:val="20"/>
                <w:szCs w:val="20"/>
                <w:color w:val="auto"/>
              </w:rPr>
            </w:pPr>
            <w:r>
              <w:rPr>
                <w:rFonts w:ascii="Arial" w:cs="Arial" w:eastAsia="Arial" w:hAnsi="Arial"/>
                <w:sz w:val="14"/>
                <w:szCs w:val="14"/>
                <w:color w:val="auto"/>
              </w:rPr>
              <w:t>1,634</w:t>
            </w:r>
          </w:p>
        </w:tc>
        <w:tc>
          <w:tcPr>
            <w:tcW w:w="2360" w:type="dxa"/>
            <w:vAlign w:val="bottom"/>
          </w:tcPr>
          <w:p>
            <w:pPr>
              <w:jc w:val="right"/>
              <w:ind w:right="749"/>
              <w:spacing w:after="0" w:line="149" w:lineRule="exact"/>
              <w:rPr>
                <w:sz w:val="20"/>
                <w:szCs w:val="20"/>
                <w:color w:val="auto"/>
              </w:rPr>
            </w:pPr>
            <w:r>
              <w:rPr>
                <w:rFonts w:ascii="Arial" w:cs="Arial" w:eastAsia="Arial" w:hAnsi="Arial"/>
                <w:sz w:val="14"/>
                <w:szCs w:val="14"/>
                <w:color w:val="auto"/>
              </w:rPr>
              <w:t>(499)</w:t>
            </w:r>
          </w:p>
        </w:tc>
        <w:tc>
          <w:tcPr>
            <w:tcW w:w="188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State and local</w:t>
            </w:r>
          </w:p>
        </w:tc>
        <w:tc>
          <w:tcPr>
            <w:tcW w:w="8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929"/>
              <w:spacing w:after="0" w:line="149" w:lineRule="exact"/>
              <w:rPr>
                <w:sz w:val="20"/>
                <w:szCs w:val="20"/>
                <w:color w:val="auto"/>
              </w:rPr>
            </w:pPr>
            <w:r>
              <w:rPr>
                <w:rFonts w:ascii="Arial" w:cs="Arial" w:eastAsia="Arial" w:hAnsi="Arial"/>
                <w:sz w:val="14"/>
                <w:szCs w:val="14"/>
                <w:color w:val="auto"/>
              </w:rPr>
              <w:t>9,897</w:t>
            </w:r>
          </w:p>
        </w:tc>
        <w:tc>
          <w:tcPr>
            <w:tcW w:w="2360" w:type="dxa"/>
            <w:vAlign w:val="bottom"/>
            <w:tcBorders>
              <w:bottom w:val="single" w:sz="8" w:color="auto"/>
            </w:tcBorders>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11,680</w:t>
            </w:r>
          </w:p>
        </w:tc>
        <w:tc>
          <w:tcPr>
            <w:tcW w:w="188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21,577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929"/>
              <w:spacing w:after="0" w:line="149" w:lineRule="exact"/>
              <w:rPr>
                <w:sz w:val="20"/>
                <w:szCs w:val="20"/>
                <w:color w:val="auto"/>
              </w:rPr>
            </w:pPr>
            <w:r>
              <w:rPr>
                <w:rFonts w:ascii="Arial" w:cs="Arial" w:eastAsia="Arial" w:hAnsi="Arial"/>
                <w:sz w:val="14"/>
                <w:szCs w:val="14"/>
                <w:color w:val="auto"/>
              </w:rPr>
              <w:t>87,185</w:t>
            </w:r>
          </w:p>
        </w:tc>
        <w:tc>
          <w:tcPr>
            <w:tcW w:w="2360" w:type="dxa"/>
            <w:vAlign w:val="bottom"/>
            <w:tcBorders>
              <w:bottom w:val="single" w:sz="8" w:color="auto"/>
            </w:tcBorders>
            <w:shd w:val="clear" w:color="auto" w:fill="CCEEFF"/>
          </w:tcPr>
          <w:p>
            <w:pPr>
              <w:jc w:val="right"/>
              <w:ind w:right="809"/>
              <w:spacing w:after="0" w:line="149" w:lineRule="exact"/>
              <w:rPr>
                <w:sz w:val="20"/>
                <w:szCs w:val="20"/>
                <w:color w:val="auto"/>
              </w:rPr>
            </w:pPr>
            <w:r>
              <w:rPr>
                <w:rFonts w:ascii="Arial" w:cs="Arial" w:eastAsia="Arial" w:hAnsi="Arial"/>
                <w:sz w:val="14"/>
                <w:szCs w:val="14"/>
                <w:color w:val="auto"/>
              </w:rPr>
              <w:t>$ 50,115</w:t>
            </w:r>
          </w:p>
        </w:tc>
        <w:tc>
          <w:tcPr>
            <w:tcW w:w="188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$137,300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addition to the income tax provision presented above, in 2002, the Company recorded a federal and state income tax benefit of $6.9 million on the impairment loss recorded as a cumulative effect of change in accounting principle in connection with the adoption of SFAS 142.</w:t>
      </w:r>
    </w:p>
    <w:p>
      <w:pPr>
        <w:spacing w:after="0" w:line="64"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The provision for income taxes exceeds the amount of income tax determined by applying the U.S. Federal statutory rate of 35% to income before taxes as a result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jc w:val="right"/>
              <w:ind w:right="1410"/>
              <w:spacing w:after="0"/>
              <w:rPr>
                <w:sz w:val="20"/>
                <w:szCs w:val="20"/>
                <w:color w:val="auto"/>
              </w:rPr>
            </w:pPr>
            <w:r>
              <w:rPr>
                <w:rFonts w:ascii="Arial" w:cs="Arial" w:eastAsia="Arial" w:hAnsi="Arial"/>
                <w:sz w:val="13"/>
                <w:szCs w:val="13"/>
                <w:b w:val="1"/>
                <w:bCs w:val="1"/>
                <w:color w:val="auto"/>
              </w:rPr>
              <w:t>2004</w:t>
            </w:r>
          </w:p>
        </w:tc>
        <w:tc>
          <w:tcPr>
            <w:tcW w:w="1660" w:type="dxa"/>
            <w:vAlign w:val="bottom"/>
            <w:tcBorders>
              <w:bottom w:val="single" w:sz="8" w:color="auto"/>
            </w:tcBorders>
          </w:tcPr>
          <w:p>
            <w:pPr>
              <w:jc w:val="right"/>
              <w:ind w:right="749"/>
              <w:spacing w:after="0"/>
              <w:rPr>
                <w:sz w:val="20"/>
                <w:szCs w:val="20"/>
                <w:color w:val="auto"/>
              </w:rPr>
            </w:pPr>
            <w:r>
              <w:rPr>
                <w:rFonts w:ascii="Arial" w:cs="Arial" w:eastAsia="Arial" w:hAnsi="Arial"/>
                <w:sz w:val="13"/>
                <w:szCs w:val="13"/>
                <w:color w:val="auto"/>
              </w:rPr>
              <w:t>2003</w:t>
            </w: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taxes</w:t>
            </w:r>
          </w:p>
        </w:tc>
        <w:tc>
          <w:tcPr>
            <w:tcW w:w="2780" w:type="dxa"/>
            <w:vAlign w:val="bottom"/>
            <w:shd w:val="clear" w:color="auto" w:fill="CCEEFF"/>
          </w:tcPr>
          <w:p>
            <w:pPr>
              <w:jc w:val="right"/>
              <w:ind w:right="1410"/>
              <w:spacing w:after="0" w:line="149" w:lineRule="exact"/>
              <w:rPr>
                <w:sz w:val="20"/>
                <w:szCs w:val="20"/>
                <w:color w:val="auto"/>
              </w:rPr>
            </w:pPr>
            <w:r>
              <w:rPr>
                <w:rFonts w:ascii="Arial" w:cs="Arial" w:eastAsia="Arial" w:hAnsi="Arial"/>
                <w:sz w:val="14"/>
                <w:szCs w:val="14"/>
                <w:b w:val="1"/>
                <w:bCs w:val="1"/>
                <w:color w:val="auto"/>
              </w:rPr>
              <w:t>$ 189,851</w:t>
            </w:r>
          </w:p>
        </w:tc>
        <w:tc>
          <w:tcPr>
            <w:tcW w:w="1660" w:type="dxa"/>
            <w:vAlign w:val="bottom"/>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$ 133,906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w w:val="90"/>
              </w:rPr>
              <w:t>123,784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State and local taxes, net of U.S. Federal income tax benefit</w:t>
            </w:r>
          </w:p>
        </w:tc>
        <w:tc>
          <w:tcPr>
            <w:tcW w:w="2780" w:type="dxa"/>
            <w:vAlign w:val="bottom"/>
          </w:tcPr>
          <w:p>
            <w:pPr>
              <w:jc w:val="right"/>
              <w:ind w:right="1410"/>
              <w:spacing w:after="0" w:line="149" w:lineRule="exact"/>
              <w:rPr>
                <w:sz w:val="20"/>
                <w:szCs w:val="20"/>
                <w:color w:val="auto"/>
              </w:rPr>
            </w:pPr>
            <w:r>
              <w:rPr>
                <w:rFonts w:ascii="Arial" w:cs="Arial" w:eastAsia="Arial" w:hAnsi="Arial"/>
                <w:sz w:val="14"/>
                <w:szCs w:val="14"/>
                <w:b w:val="1"/>
                <w:bCs w:val="1"/>
                <w:color w:val="auto"/>
              </w:rPr>
              <w:t>20,369</w:t>
            </w:r>
          </w:p>
        </w:tc>
        <w:tc>
          <w:tcPr>
            <w:tcW w:w="1660" w:type="dxa"/>
            <w:vAlign w:val="bottom"/>
          </w:tcPr>
          <w:p>
            <w:pPr>
              <w:jc w:val="right"/>
              <w:ind w:right="749"/>
              <w:spacing w:after="0" w:line="149" w:lineRule="exact"/>
              <w:rPr>
                <w:sz w:val="20"/>
                <w:szCs w:val="20"/>
                <w:color w:val="auto"/>
              </w:rPr>
            </w:pPr>
            <w:r>
              <w:rPr>
                <w:rFonts w:ascii="Arial" w:cs="Arial" w:eastAsia="Arial" w:hAnsi="Arial"/>
                <w:sz w:val="14"/>
                <w:szCs w:val="14"/>
                <w:color w:val="auto"/>
              </w:rPr>
              <w:t>11,058</w:t>
            </w:r>
          </w:p>
        </w:tc>
        <w:tc>
          <w:tcPr>
            <w:tcW w:w="740" w:type="dxa"/>
            <w:vAlign w:val="bottom"/>
          </w:tcPr>
          <w:p>
            <w:pPr>
              <w:spacing w:after="0"/>
              <w:rPr>
                <w:sz w:val="12"/>
                <w:szCs w:val="12"/>
                <w:color w:val="auto"/>
              </w:rPr>
            </w:pPr>
          </w:p>
        </w:tc>
        <w:tc>
          <w:tcPr>
            <w:tcW w:w="100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14,025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affiliate with higher tax basis</w:t>
            </w:r>
          </w:p>
        </w:tc>
        <w:tc>
          <w:tcPr>
            <w:tcW w:w="2780" w:type="dxa"/>
            <w:vAlign w:val="bottom"/>
            <w:shd w:val="clear" w:color="auto" w:fill="CCEEFF"/>
          </w:tcPr>
          <w:p>
            <w:pPr>
              <w:jc w:val="right"/>
              <w:ind w:right="1410"/>
              <w:spacing w:after="0" w:line="149" w:lineRule="exact"/>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689"/>
              <w:spacing w:after="0" w:line="149" w:lineRule="exact"/>
              <w:rPr>
                <w:sz w:val="20"/>
                <w:szCs w:val="20"/>
                <w:color w:val="auto"/>
              </w:rPr>
            </w:pPr>
            <w:r>
              <w:rPr>
                <w:rFonts w:ascii="Arial" w:cs="Arial" w:eastAsia="Arial" w:hAnsi="Arial"/>
                <w:sz w:val="14"/>
                <w:szCs w:val="14"/>
                <w:color w:val="auto"/>
              </w:rPr>
              <w:t>(2,188)</w:t>
            </w:r>
          </w:p>
        </w:tc>
        <w:tc>
          <w:tcPr>
            <w:tcW w:w="7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2780" w:type="dxa"/>
            <w:vAlign w:val="bottom"/>
            <w:tcBorders>
              <w:bottom w:val="single" w:sz="8" w:color="auto"/>
            </w:tcBorders>
          </w:tcPr>
          <w:p>
            <w:pPr>
              <w:jc w:val="right"/>
              <w:ind w:right="1370"/>
              <w:spacing w:after="0" w:line="149" w:lineRule="exact"/>
              <w:rPr>
                <w:sz w:val="20"/>
                <w:szCs w:val="20"/>
                <w:color w:val="auto"/>
              </w:rPr>
            </w:pPr>
            <w:r>
              <w:rPr>
                <w:rFonts w:ascii="Arial" w:cs="Arial" w:eastAsia="Arial" w:hAnsi="Arial"/>
                <w:sz w:val="14"/>
                <w:szCs w:val="14"/>
                <w:b w:val="1"/>
                <w:bCs w:val="1"/>
                <w:color w:val="auto"/>
              </w:rPr>
              <w:t>(520)</w:t>
            </w:r>
          </w:p>
        </w:tc>
        <w:tc>
          <w:tcPr>
            <w:tcW w:w="1660" w:type="dxa"/>
            <w:vAlign w:val="bottom"/>
            <w:tcBorders>
              <w:bottom w:val="single" w:sz="8" w:color="auto"/>
            </w:tcBorders>
          </w:tcPr>
          <w:p>
            <w:pPr>
              <w:jc w:val="right"/>
              <w:ind w:right="689"/>
              <w:spacing w:after="0" w:line="149" w:lineRule="exact"/>
              <w:rPr>
                <w:sz w:val="20"/>
                <w:szCs w:val="20"/>
                <w:color w:val="auto"/>
              </w:rPr>
            </w:pPr>
            <w:r>
              <w:rPr>
                <w:rFonts w:ascii="Arial" w:cs="Arial" w:eastAsia="Arial" w:hAnsi="Arial"/>
                <w:sz w:val="14"/>
                <w:szCs w:val="14"/>
                <w:color w:val="auto"/>
              </w:rPr>
              <w:t>(1,276)</w:t>
            </w:r>
          </w:p>
        </w:tc>
        <w:tc>
          <w:tcPr>
            <w:tcW w:w="7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9"/>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2780" w:type="dxa"/>
            <w:vAlign w:val="bottom"/>
            <w:tcBorders>
              <w:bottom w:val="single" w:sz="8" w:color="auto"/>
            </w:tcBorders>
            <w:shd w:val="clear" w:color="auto" w:fill="CCEEFF"/>
          </w:tcPr>
          <w:p>
            <w:pPr>
              <w:jc w:val="right"/>
              <w:ind w:right="1410"/>
              <w:spacing w:after="0" w:line="149" w:lineRule="exact"/>
              <w:rPr>
                <w:sz w:val="20"/>
                <w:szCs w:val="20"/>
                <w:color w:val="auto"/>
              </w:rPr>
            </w:pPr>
            <w:r>
              <w:rPr>
                <w:rFonts w:ascii="Arial" w:cs="Arial" w:eastAsia="Arial" w:hAnsi="Arial"/>
                <w:sz w:val="14"/>
                <w:szCs w:val="14"/>
                <w:b w:val="1"/>
                <w:bCs w:val="1"/>
                <w:color w:val="auto"/>
              </w:rPr>
              <w:t>$209,700</w:t>
            </w:r>
          </w:p>
        </w:tc>
        <w:tc>
          <w:tcPr>
            <w:tcW w:w="1660" w:type="dxa"/>
            <w:vAlign w:val="bottom"/>
            <w:tcBorders>
              <w:bottom w:val="single" w:sz="8" w:color="auto"/>
            </w:tcBorders>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$141,500</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w w:val="90"/>
              </w:rPr>
              <w:t>137,300</w:t>
            </w:r>
          </w:p>
        </w:tc>
        <w:tc>
          <w:tcPr>
            <w:tcW w:w="0" w:type="dxa"/>
            <w:vAlign w:val="bottom"/>
          </w:tcPr>
          <w:p>
            <w:pPr>
              <w:spacing w:after="0"/>
              <w:rPr>
                <w:sz w:val="1"/>
                <w:szCs w:val="1"/>
                <w:color w:val="auto"/>
              </w:rPr>
            </w:pPr>
          </w:p>
        </w:tc>
      </w:tr>
      <w:tr>
        <w:trPr>
          <w:trHeight w:val="21"/>
        </w:trPr>
        <w:tc>
          <w:tcPr>
            <w:tcW w:w="5240" w:type="dxa"/>
            <w:vAlign w:val="bottom"/>
            <w:gridSpan w:val="2"/>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8020" w:type="dxa"/>
            <w:vAlign w:val="bottom"/>
            <w:gridSpan w:val="3"/>
          </w:tcPr>
          <w:p>
            <w:pPr>
              <w:spacing w:after="0"/>
              <w:rPr>
                <w:sz w:val="20"/>
                <w:szCs w:val="20"/>
                <w:color w:val="auto"/>
              </w:rPr>
            </w:pPr>
            <w:r>
              <w:rPr>
                <w:rFonts w:ascii="Arial" w:cs="Arial" w:eastAsia="Arial" w:hAnsi="Arial"/>
                <w:sz w:val="16"/>
                <w:szCs w:val="16"/>
                <w:color w:val="auto"/>
              </w:rPr>
              <w:t>Deferred income taxes at January 2, 2005 and December 28, 2003 consist of the following (in thousands):</w:t>
            </w: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2004</w:t>
            </w: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postretirement benefits</w:t>
            </w:r>
          </w:p>
        </w:tc>
        <w:tc>
          <w:tcPr>
            <w:tcW w:w="27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$ 61,221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60,536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Other benefit obligations</w:t>
            </w:r>
          </w:p>
        </w:tc>
        <w:tc>
          <w:tcPr>
            <w:tcW w:w="2780" w:type="dxa"/>
            <w:vAlign w:val="bottom"/>
          </w:tcPr>
          <w:p>
            <w:pPr>
              <w:spacing w:after="0"/>
              <w:rPr>
                <w:sz w:val="12"/>
                <w:szCs w:val="12"/>
                <w:color w:val="auto"/>
              </w:rPr>
            </w:pPr>
          </w:p>
        </w:tc>
        <w:tc>
          <w:tcPr>
            <w:tcW w:w="166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122,608</w:t>
            </w:r>
          </w:p>
        </w:tc>
        <w:tc>
          <w:tcPr>
            <w:tcW w:w="1740" w:type="dxa"/>
            <w:vAlign w:val="bottom"/>
            <w:gridSpan w:val="2"/>
          </w:tcPr>
          <w:p>
            <w:pPr>
              <w:jc w:val="right"/>
              <w:ind w:right="469"/>
              <w:spacing w:after="0" w:line="149" w:lineRule="exact"/>
              <w:rPr>
                <w:sz w:val="20"/>
                <w:szCs w:val="20"/>
                <w:color w:val="auto"/>
              </w:rPr>
            </w:pPr>
            <w:r>
              <w:rPr>
                <w:rFonts w:ascii="Arial" w:cs="Arial" w:eastAsia="Arial" w:hAnsi="Arial"/>
                <w:sz w:val="14"/>
                <w:szCs w:val="14"/>
                <w:color w:val="auto"/>
              </w:rPr>
              <w:t>102,791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27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18,939</w:t>
            </w:r>
          </w:p>
        </w:tc>
        <w:tc>
          <w:tcPr>
            <w:tcW w:w="7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17,650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State income tax loss carryforwards</w:t>
            </w:r>
          </w:p>
        </w:tc>
        <w:tc>
          <w:tcPr>
            <w:tcW w:w="2780" w:type="dxa"/>
            <w:vAlign w:val="bottom"/>
          </w:tcPr>
          <w:p>
            <w:pPr>
              <w:spacing w:after="0"/>
              <w:rPr>
                <w:sz w:val="12"/>
                <w:szCs w:val="12"/>
                <w:color w:val="auto"/>
              </w:rPr>
            </w:pPr>
          </w:p>
        </w:tc>
        <w:tc>
          <w:tcPr>
            <w:tcW w:w="166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10,753</w:t>
            </w:r>
          </w:p>
        </w:tc>
        <w:tc>
          <w:tcPr>
            <w:tcW w:w="740" w:type="dxa"/>
            <w:vAlign w:val="bottom"/>
          </w:tcPr>
          <w:p>
            <w:pPr>
              <w:spacing w:after="0"/>
              <w:rPr>
                <w:sz w:val="12"/>
                <w:szCs w:val="12"/>
                <w:color w:val="auto"/>
              </w:rPr>
            </w:pPr>
          </w:p>
        </w:tc>
        <w:tc>
          <w:tcPr>
            <w:tcW w:w="1000" w:type="dxa"/>
            <w:vAlign w:val="bottom"/>
          </w:tcPr>
          <w:p>
            <w:pPr>
              <w:jc w:val="right"/>
              <w:ind w:right="469"/>
              <w:spacing w:after="0" w:line="149" w:lineRule="exact"/>
              <w:rPr>
                <w:sz w:val="20"/>
                <w:szCs w:val="20"/>
                <w:color w:val="auto"/>
              </w:rPr>
            </w:pPr>
            <w:r>
              <w:rPr>
                <w:rFonts w:ascii="Arial" w:cs="Arial" w:eastAsia="Arial" w:hAnsi="Arial"/>
                <w:sz w:val="14"/>
                <w:szCs w:val="14"/>
                <w:color w:val="auto"/>
              </w:rPr>
              <w:t>12,068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operations</w:t>
            </w:r>
          </w:p>
        </w:tc>
        <w:tc>
          <w:tcPr>
            <w:tcW w:w="27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4,403</w:t>
            </w:r>
          </w:p>
        </w:tc>
        <w:tc>
          <w:tcPr>
            <w:tcW w:w="7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780" w:type="dxa"/>
            <w:vAlign w:val="bottom"/>
          </w:tcPr>
          <w:p>
            <w:pPr>
              <w:spacing w:after="0"/>
              <w:rPr>
                <w:sz w:val="12"/>
                <w:szCs w:val="12"/>
                <w:color w:val="auto"/>
              </w:rPr>
            </w:pPr>
          </w:p>
        </w:tc>
        <w:tc>
          <w:tcPr>
            <w:tcW w:w="1660" w:type="dxa"/>
            <w:vAlign w:val="bottom"/>
            <w:tcBorders>
              <w:bottom w:val="single" w:sz="8" w:color="auto"/>
            </w:tcBorders>
          </w:tcPr>
          <w:p>
            <w:pPr>
              <w:jc w:val="right"/>
              <w:ind w:right="589"/>
              <w:spacing w:after="0" w:line="149" w:lineRule="exact"/>
              <w:rPr>
                <w:sz w:val="20"/>
                <w:szCs w:val="20"/>
                <w:color w:val="auto"/>
              </w:rPr>
            </w:pPr>
            <w:r>
              <w:rPr>
                <w:rFonts w:ascii="Arial" w:cs="Arial" w:eastAsia="Arial" w:hAnsi="Arial"/>
                <w:sz w:val="14"/>
                <w:szCs w:val="14"/>
                <w:b w:val="1"/>
                <w:bCs w:val="1"/>
                <w:color w:val="auto"/>
              </w:rPr>
              <w:t>19,866</w:t>
            </w:r>
          </w:p>
        </w:tc>
        <w:tc>
          <w:tcPr>
            <w:tcW w:w="7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9"/>
              <w:spacing w:after="0" w:line="149" w:lineRule="exact"/>
              <w:rPr>
                <w:sz w:val="20"/>
                <w:szCs w:val="20"/>
                <w:color w:val="auto"/>
              </w:rPr>
            </w:pPr>
            <w:r>
              <w:rPr>
                <w:rFonts w:ascii="Arial" w:cs="Arial" w:eastAsia="Arial" w:hAnsi="Arial"/>
                <w:sz w:val="14"/>
                <w:szCs w:val="14"/>
                <w:color w:val="auto"/>
              </w:rPr>
              <w:t>25,480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w:t>
            </w:r>
          </w:p>
        </w:tc>
        <w:tc>
          <w:tcPr>
            <w:tcW w:w="278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237,790</w:t>
            </w:r>
          </w:p>
        </w:tc>
        <w:tc>
          <w:tcPr>
            <w:tcW w:w="1740" w:type="dxa"/>
            <w:vAlign w:val="bottom"/>
            <w:tcBorders>
              <w:bottom w:val="single" w:sz="8" w:color="auto"/>
            </w:tcBorders>
            <w:gridSpan w:val="2"/>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222,859</w:t>
            </w:r>
          </w:p>
        </w:tc>
        <w:tc>
          <w:tcPr>
            <w:tcW w:w="0" w:type="dxa"/>
            <w:vAlign w:val="bottom"/>
          </w:tcPr>
          <w:p>
            <w:pPr>
              <w:spacing w:after="0"/>
              <w:rPr>
                <w:sz w:val="1"/>
                <w:szCs w:val="1"/>
                <w:color w:val="auto"/>
              </w:rPr>
            </w:pPr>
          </w:p>
        </w:tc>
      </w:tr>
      <w:tr>
        <w:trPr>
          <w:trHeight w:val="156"/>
        </w:trPr>
        <w:tc>
          <w:tcPr>
            <w:tcW w:w="5240" w:type="dxa"/>
            <w:vAlign w:val="bottom"/>
            <w:gridSpan w:val="2"/>
          </w:tcPr>
          <w:p>
            <w:pPr>
              <w:spacing w:after="0" w:line="155" w:lineRule="exact"/>
              <w:rPr>
                <w:sz w:val="20"/>
                <w:szCs w:val="20"/>
                <w:color w:val="auto"/>
              </w:rPr>
            </w:pPr>
            <w:r>
              <w:rPr>
                <w:rFonts w:ascii="Arial" w:cs="Arial" w:eastAsia="Arial" w:hAnsi="Arial"/>
                <w:sz w:val="14"/>
                <w:szCs w:val="14"/>
                <w:color w:val="auto"/>
              </w:rPr>
              <w:t>Property, plant and equipment</w:t>
            </w:r>
          </w:p>
        </w:tc>
        <w:tc>
          <w:tcPr>
            <w:tcW w:w="2780" w:type="dxa"/>
            <w:vAlign w:val="bottom"/>
          </w:tcPr>
          <w:p>
            <w:pPr>
              <w:spacing w:after="0"/>
              <w:rPr>
                <w:sz w:val="13"/>
                <w:szCs w:val="13"/>
                <w:color w:val="auto"/>
              </w:rPr>
            </w:pPr>
          </w:p>
        </w:tc>
        <w:tc>
          <w:tcPr>
            <w:tcW w:w="1660" w:type="dxa"/>
            <w:vAlign w:val="bottom"/>
          </w:tcPr>
          <w:p>
            <w:pPr>
              <w:jc w:val="right"/>
              <w:ind w:right="589"/>
              <w:spacing w:after="0" w:line="155" w:lineRule="exact"/>
              <w:rPr>
                <w:sz w:val="20"/>
                <w:szCs w:val="20"/>
                <w:color w:val="auto"/>
              </w:rPr>
            </w:pPr>
            <w:r>
              <w:rPr>
                <w:rFonts w:ascii="Arial" w:cs="Arial" w:eastAsia="Arial" w:hAnsi="Arial"/>
                <w:sz w:val="14"/>
                <w:szCs w:val="14"/>
                <w:b w:val="1"/>
                <w:bCs w:val="1"/>
                <w:color w:val="auto"/>
              </w:rPr>
              <w:t>173,101</w:t>
            </w:r>
          </w:p>
        </w:tc>
        <w:tc>
          <w:tcPr>
            <w:tcW w:w="1740" w:type="dxa"/>
            <w:vAlign w:val="bottom"/>
            <w:gridSpan w:val="2"/>
          </w:tcPr>
          <w:p>
            <w:pPr>
              <w:jc w:val="right"/>
              <w:ind w:right="469"/>
              <w:spacing w:after="0" w:line="155" w:lineRule="exact"/>
              <w:rPr>
                <w:sz w:val="20"/>
                <w:szCs w:val="20"/>
                <w:color w:val="auto"/>
              </w:rPr>
            </w:pPr>
            <w:r>
              <w:rPr>
                <w:rFonts w:ascii="Arial" w:cs="Arial" w:eastAsia="Arial" w:hAnsi="Arial"/>
                <w:sz w:val="14"/>
                <w:szCs w:val="14"/>
                <w:color w:val="auto"/>
              </w:rPr>
              <w:t>153,615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pension cost</w:t>
            </w:r>
          </w:p>
        </w:tc>
        <w:tc>
          <w:tcPr>
            <w:tcW w:w="27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224,991</w:t>
            </w:r>
          </w:p>
        </w:tc>
        <w:tc>
          <w:tcPr>
            <w:tcW w:w="1740" w:type="dxa"/>
            <w:vAlign w:val="bottom"/>
            <w:gridSpan w:val="2"/>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207,312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2780" w:type="dxa"/>
            <w:vAlign w:val="bottom"/>
          </w:tcPr>
          <w:p>
            <w:pPr>
              <w:spacing w:after="0"/>
              <w:rPr>
                <w:sz w:val="12"/>
                <w:szCs w:val="12"/>
                <w:color w:val="auto"/>
              </w:rPr>
            </w:pPr>
          </w:p>
        </w:tc>
        <w:tc>
          <w:tcPr>
            <w:tcW w:w="166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48,387</w:t>
            </w:r>
          </w:p>
        </w:tc>
        <w:tc>
          <w:tcPr>
            <w:tcW w:w="740" w:type="dxa"/>
            <w:vAlign w:val="bottom"/>
          </w:tcPr>
          <w:p>
            <w:pPr>
              <w:spacing w:after="0"/>
              <w:rPr>
                <w:sz w:val="12"/>
                <w:szCs w:val="12"/>
                <w:color w:val="auto"/>
              </w:rPr>
            </w:pPr>
          </w:p>
        </w:tc>
        <w:tc>
          <w:tcPr>
            <w:tcW w:w="1000" w:type="dxa"/>
            <w:vAlign w:val="bottom"/>
          </w:tcPr>
          <w:p>
            <w:pPr>
              <w:jc w:val="right"/>
              <w:ind w:right="469"/>
              <w:spacing w:after="0" w:line="149" w:lineRule="exact"/>
              <w:rPr>
                <w:sz w:val="20"/>
                <w:szCs w:val="20"/>
                <w:color w:val="auto"/>
              </w:rPr>
            </w:pPr>
            <w:r>
              <w:rPr>
                <w:rFonts w:ascii="Arial" w:cs="Arial" w:eastAsia="Arial" w:hAnsi="Arial"/>
                <w:sz w:val="14"/>
                <w:szCs w:val="14"/>
                <w:color w:val="auto"/>
              </w:rPr>
              <w:t>23,811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other intangibles</w:t>
            </w:r>
          </w:p>
        </w:tc>
        <w:tc>
          <w:tcPr>
            <w:tcW w:w="278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164,138</w:t>
            </w:r>
          </w:p>
        </w:tc>
        <w:tc>
          <w:tcPr>
            <w:tcW w:w="1740" w:type="dxa"/>
            <w:vAlign w:val="bottom"/>
            <w:tcBorders>
              <w:bottom w:val="single" w:sz="8" w:color="auto"/>
            </w:tcBorders>
            <w:gridSpan w:val="2"/>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141,945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liability</w:t>
            </w:r>
          </w:p>
        </w:tc>
        <w:tc>
          <w:tcPr>
            <w:tcW w:w="278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610,617</w:t>
            </w:r>
          </w:p>
        </w:tc>
        <w:tc>
          <w:tcPr>
            <w:tcW w:w="1740" w:type="dxa"/>
            <w:vAlign w:val="bottom"/>
            <w:tcBorders>
              <w:bottom w:val="single" w:sz="8" w:color="auto"/>
            </w:tcBorders>
            <w:gridSpan w:val="2"/>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526,683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278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$372,827</w:t>
            </w:r>
          </w:p>
        </w:tc>
        <w:tc>
          <w:tcPr>
            <w:tcW w:w="1740" w:type="dxa"/>
            <w:vAlign w:val="bottom"/>
            <w:tcBorders>
              <w:bottom w:val="single" w:sz="8" w:color="auto"/>
            </w:tcBorders>
            <w:gridSpan w:val="2"/>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$303,824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has approximately $213 million in state income tax loss carryforwards. If unutilized, state income tax loss carryforwards will start to expire approximately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2005</w:t>
            </w:r>
          </w:p>
        </w:tc>
        <w:tc>
          <w:tcPr>
            <w:tcW w:w="4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420" w:type="dxa"/>
            <w:vAlign w:val="bottom"/>
            <w:shd w:val="clear" w:color="auto" w:fill="CCEEFF"/>
          </w:tcPr>
          <w:p>
            <w:pPr>
              <w:spacing w:after="0"/>
              <w:rPr>
                <w:sz w:val="14"/>
                <w:szCs w:val="14"/>
                <w:color w:val="auto"/>
              </w:rPr>
            </w:pP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2006</w:t>
            </w:r>
          </w:p>
        </w:tc>
        <w:tc>
          <w:tcPr>
            <w:tcW w:w="498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42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49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420" w:type="dxa"/>
            <w:vAlign w:val="bottom"/>
            <w:shd w:val="clear" w:color="auto" w:fill="CCEEFF"/>
          </w:tcPr>
          <w:p>
            <w:pPr>
              <w:spacing w:after="0"/>
              <w:rPr>
                <w:sz w:val="12"/>
                <w:szCs w:val="12"/>
                <w:color w:val="auto"/>
              </w:rPr>
            </w:pP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498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42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49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420" w:type="dxa"/>
            <w:vAlign w:val="bottom"/>
            <w:shd w:val="clear" w:color="auto" w:fill="CCEEFF"/>
          </w:tcPr>
          <w:p>
            <w:pPr>
              <w:spacing w:after="0"/>
              <w:rPr>
                <w:sz w:val="12"/>
                <w:szCs w:val="12"/>
                <w:color w:val="auto"/>
              </w:rPr>
            </w:pP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498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42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 to 2023</w:t>
            </w:r>
          </w:p>
        </w:tc>
        <w:tc>
          <w:tcPr>
            <w:tcW w:w="49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184.</w:t>
            </w:r>
            <w:r>
              <w:rPr>
                <w:rFonts w:ascii="Arial" w:cs="Arial" w:eastAsia="Arial" w:hAnsi="Arial"/>
                <w:sz w:val="14"/>
                <w:szCs w:val="14"/>
                <w:u w:val="single" w:color="auto"/>
                <w:color w:val="auto"/>
                <w:w w:val="85"/>
              </w:rPr>
              <w:t>0</w:t>
            </w:r>
          </w:p>
        </w:tc>
        <w:tc>
          <w:tcPr>
            <w:tcW w:w="420" w:type="dxa"/>
            <w:vAlign w:val="bottom"/>
            <w:shd w:val="clear" w:color="auto" w:fill="CCEEFF"/>
          </w:tcPr>
          <w:p>
            <w:pPr>
              <w:spacing w:after="0"/>
              <w:rPr>
                <w:sz w:val="12"/>
                <w:szCs w:val="12"/>
                <w:color w:val="auto"/>
              </w:rPr>
            </w:pPr>
          </w:p>
        </w:tc>
      </w:tr>
      <w:tr>
        <w:trPr>
          <w:trHeight w:val="156"/>
        </w:trPr>
        <w:tc>
          <w:tcPr>
            <w:tcW w:w="568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49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213.0</w:t>
            </w:r>
          </w:p>
        </w:tc>
        <w:tc>
          <w:tcPr>
            <w:tcW w:w="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r>
      <w:tr>
        <w:trPr>
          <w:trHeight w:val="21"/>
        </w:trPr>
        <w:tc>
          <w:tcPr>
            <w:tcW w:w="5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940" w:right="239" w:bottom="0"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E. DEBT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consists of the following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940" w:type="dxa"/>
            <w:vAlign w:val="bottom"/>
            <w:gridSpan w:val="2"/>
          </w:tcPr>
          <w:p>
            <w:pPr>
              <w:jc w:val="right"/>
              <w:ind w:right="749"/>
              <w:spacing w:after="0"/>
              <w:rPr>
                <w:sz w:val="20"/>
                <w:szCs w:val="20"/>
                <w:color w:val="auto"/>
              </w:rPr>
            </w:pPr>
            <w:r>
              <w:rPr>
                <w:rFonts w:ascii="Arial" w:cs="Arial" w:eastAsia="Arial" w:hAnsi="Arial"/>
                <w:sz w:val="13"/>
                <w:szCs w:val="13"/>
                <w:b w:val="1"/>
                <w:bCs w:val="1"/>
                <w:color w:val="auto"/>
              </w:rPr>
              <w:t>January 2,</w:t>
            </w:r>
          </w:p>
        </w:tc>
        <w:tc>
          <w:tcPr>
            <w:tcW w:w="2240" w:type="dxa"/>
            <w:vAlign w:val="bottom"/>
          </w:tcPr>
          <w:p>
            <w:pPr>
              <w:jc w:val="right"/>
              <w:ind w:right="690"/>
              <w:spacing w:after="0"/>
              <w:rPr>
                <w:sz w:val="20"/>
                <w:szCs w:val="20"/>
                <w:color w:val="auto"/>
              </w:rPr>
            </w:pPr>
            <w:r>
              <w:rPr>
                <w:rFonts w:ascii="Arial" w:cs="Arial" w:eastAsia="Arial" w:hAnsi="Arial"/>
                <w:sz w:val="13"/>
                <w:szCs w:val="13"/>
                <w:color w:val="auto"/>
              </w:rPr>
              <w:t>December 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09"/>
              <w:spacing w:after="0"/>
              <w:rPr>
                <w:sz w:val="20"/>
                <w:szCs w:val="20"/>
                <w:color w:val="auto"/>
              </w:rPr>
            </w:pPr>
            <w:r>
              <w:rPr>
                <w:rFonts w:ascii="Arial" w:cs="Arial" w:eastAsia="Arial" w:hAnsi="Arial"/>
                <w:sz w:val="13"/>
                <w:szCs w:val="13"/>
                <w:b w:val="1"/>
                <w:bCs w:val="1"/>
                <w:color w:val="auto"/>
                <w:w w:val="82"/>
              </w:rPr>
              <w:t>2005</w:t>
            </w:r>
          </w:p>
        </w:tc>
        <w:tc>
          <w:tcPr>
            <w:tcW w:w="2240" w:type="dxa"/>
            <w:vAlign w:val="bottom"/>
            <w:tcBorders>
              <w:bottom w:val="single" w:sz="8" w:color="auto"/>
            </w:tcBorders>
          </w:tcPr>
          <w:p>
            <w:pPr>
              <w:jc w:val="right"/>
              <w:ind w:right="790"/>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paper borrowings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749"/>
              <w:spacing w:after="0" w:line="149" w:lineRule="exact"/>
              <w:rPr>
                <w:sz w:val="20"/>
                <w:szCs w:val="20"/>
                <w:color w:val="auto"/>
              </w:rPr>
            </w:pPr>
            <w:r>
              <w:rPr>
                <w:rFonts w:ascii="Arial" w:cs="Arial" w:eastAsia="Arial" w:hAnsi="Arial"/>
                <w:sz w:val="14"/>
                <w:szCs w:val="14"/>
                <w:b w:val="1"/>
                <w:bCs w:val="1"/>
                <w:color w:val="auto"/>
              </w:rPr>
              <w:t>50.2</w:t>
            </w:r>
          </w:p>
        </w:tc>
        <w:tc>
          <w:tcPr>
            <w:tcW w:w="2240" w:type="dxa"/>
            <w:vAlign w:val="bottom"/>
            <w:shd w:val="clear" w:color="auto" w:fill="CCEEFF"/>
          </w:tcPr>
          <w:p>
            <w:pPr>
              <w:jc w:val="right"/>
              <w:ind w:right="690"/>
              <w:spacing w:after="0" w:line="149" w:lineRule="exact"/>
              <w:rPr>
                <w:sz w:val="20"/>
                <w:szCs w:val="20"/>
                <w:color w:val="auto"/>
              </w:rPr>
            </w:pPr>
            <w:r>
              <w:rPr>
                <w:rFonts w:ascii="Arial" w:cs="Arial" w:eastAsia="Arial" w:hAnsi="Arial"/>
                <w:sz w:val="14"/>
                <w:szCs w:val="14"/>
                <w:color w:val="auto"/>
              </w:rPr>
              <w:t>$ 188.3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5.5% unsecured notes due February 15, 2009</w:t>
            </w:r>
          </w:p>
        </w:tc>
        <w:tc>
          <w:tcPr>
            <w:tcW w:w="800" w:type="dxa"/>
            <w:vAlign w:val="bottom"/>
          </w:tcPr>
          <w:p>
            <w:pPr>
              <w:spacing w:after="0"/>
              <w:rPr>
                <w:sz w:val="12"/>
                <w:szCs w:val="12"/>
                <w:color w:val="auto"/>
              </w:rPr>
            </w:pPr>
          </w:p>
        </w:tc>
        <w:tc>
          <w:tcPr>
            <w:tcW w:w="1140" w:type="dxa"/>
            <w:vAlign w:val="bottom"/>
          </w:tcPr>
          <w:p>
            <w:pPr>
              <w:jc w:val="right"/>
              <w:ind w:right="749"/>
              <w:spacing w:after="0" w:line="149" w:lineRule="exact"/>
              <w:rPr>
                <w:sz w:val="20"/>
                <w:szCs w:val="20"/>
                <w:color w:val="auto"/>
              </w:rPr>
            </w:pPr>
            <w:r>
              <w:rPr>
                <w:rFonts w:ascii="Arial" w:cs="Arial" w:eastAsia="Arial" w:hAnsi="Arial"/>
                <w:sz w:val="14"/>
                <w:szCs w:val="14"/>
                <w:b w:val="1"/>
                <w:bCs w:val="1"/>
                <w:color w:val="auto"/>
                <w:w w:val="85"/>
              </w:rPr>
              <w:t>398.9</w:t>
            </w:r>
          </w:p>
        </w:tc>
        <w:tc>
          <w:tcPr>
            <w:tcW w:w="2240" w:type="dxa"/>
            <w:vAlign w:val="bottom"/>
          </w:tcPr>
          <w:p>
            <w:pPr>
              <w:jc w:val="right"/>
              <w:ind w:right="690"/>
              <w:spacing w:after="0" w:line="149" w:lineRule="exact"/>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4.0% notes due 2004–</w:t>
            </w:r>
          </w:p>
        </w:tc>
        <w:tc>
          <w:tcPr>
            <w:tcW w:w="8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749"/>
              <w:spacing w:after="0"/>
              <w:rPr>
                <w:sz w:val="20"/>
                <w:szCs w:val="20"/>
                <w:color w:val="auto"/>
              </w:rPr>
            </w:pPr>
            <w:r>
              <w:rPr>
                <w:rFonts w:ascii="Arial" w:cs="Arial" w:eastAsia="Arial" w:hAnsi="Arial"/>
                <w:sz w:val="14"/>
                <w:szCs w:val="14"/>
                <w:b w:val="1"/>
                <w:bCs w:val="1"/>
                <w:color w:val="auto"/>
              </w:rPr>
              <w:t>16.1</w:t>
            </w: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2006 (£8.35 million and £16.7 million)</w:t>
            </w:r>
          </w:p>
        </w:tc>
        <w:tc>
          <w:tcPr>
            <w:tcW w:w="8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2240" w:type="dxa"/>
            <w:vAlign w:val="bottom"/>
            <w:shd w:val="clear" w:color="auto" w:fill="CCEEFF"/>
          </w:tcPr>
          <w:p>
            <w:pPr>
              <w:jc w:val="right"/>
              <w:ind w:right="69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Other indebtedness</w:t>
            </w:r>
          </w:p>
        </w:tc>
        <w:tc>
          <w:tcPr>
            <w:tcW w:w="8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49"/>
              <w:spacing w:after="0" w:line="149" w:lineRule="exact"/>
              <w:rPr>
                <w:sz w:val="20"/>
                <w:szCs w:val="20"/>
                <w:color w:val="auto"/>
              </w:rPr>
            </w:pPr>
            <w:r>
              <w:rPr>
                <w:rFonts w:ascii="Arial" w:cs="Arial" w:eastAsia="Arial" w:hAnsi="Arial"/>
                <w:sz w:val="14"/>
                <w:szCs w:val="14"/>
                <w:b w:val="1"/>
                <w:bCs w:val="1"/>
                <w:color w:val="auto"/>
              </w:rPr>
              <w:t>18.9</w:t>
            </w:r>
          </w:p>
        </w:tc>
        <w:tc>
          <w:tcPr>
            <w:tcW w:w="2240" w:type="dxa"/>
            <w:vAlign w:val="bottom"/>
            <w:tcBorders>
              <w:bottom w:val="single" w:sz="8" w:color="auto"/>
            </w:tcBorders>
          </w:tcPr>
          <w:p>
            <w:pPr>
              <w:jc w:val="right"/>
              <w:ind w:right="69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8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49"/>
              <w:spacing w:after="0" w:line="149" w:lineRule="exact"/>
              <w:rPr>
                <w:sz w:val="20"/>
                <w:szCs w:val="20"/>
                <w:color w:val="auto"/>
              </w:rPr>
            </w:pPr>
            <w:r>
              <w:rPr>
                <w:rFonts w:ascii="Arial" w:cs="Arial" w:eastAsia="Arial" w:hAnsi="Arial"/>
                <w:sz w:val="14"/>
                <w:szCs w:val="14"/>
                <w:b w:val="1"/>
                <w:bCs w:val="1"/>
                <w:color w:val="auto"/>
                <w:w w:val="85"/>
              </w:rPr>
              <w:t>484.1</w:t>
            </w:r>
          </w:p>
        </w:tc>
        <w:tc>
          <w:tcPr>
            <w:tcW w:w="2240" w:type="dxa"/>
            <w:vAlign w:val="bottom"/>
            <w:shd w:val="clear" w:color="auto" w:fill="CCEEFF"/>
          </w:tcPr>
          <w:p>
            <w:pPr>
              <w:jc w:val="right"/>
              <w:ind w:right="690"/>
              <w:spacing w:after="0" w:line="149" w:lineRule="exact"/>
              <w:rPr>
                <w:sz w:val="20"/>
                <w:szCs w:val="20"/>
                <w:color w:val="auto"/>
              </w:rPr>
            </w:pPr>
            <w:r>
              <w:rPr>
                <w:rFonts w:ascii="Arial" w:cs="Arial" w:eastAsia="Arial" w:hAnsi="Arial"/>
                <w:sz w:val="14"/>
                <w:szCs w:val="14"/>
                <w:color w:val="auto"/>
              </w:rPr>
              <w:t>631.1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Less current portion</w:t>
            </w:r>
          </w:p>
        </w:tc>
        <w:tc>
          <w:tcPr>
            <w:tcW w:w="8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b w:val="1"/>
                <w:bCs w:val="1"/>
                <w:color w:val="auto"/>
                <w:w w:val="92"/>
              </w:rPr>
              <w:t>(58.2)</w:t>
            </w:r>
          </w:p>
        </w:tc>
        <w:tc>
          <w:tcPr>
            <w:tcW w:w="2240" w:type="dxa"/>
            <w:vAlign w:val="bottom"/>
            <w:tcBorders>
              <w:bottom w:val="single" w:sz="8" w:color="auto"/>
            </w:tcBorders>
          </w:tcPr>
          <w:p>
            <w:pPr>
              <w:jc w:val="right"/>
              <w:ind w:right="630"/>
              <w:spacing w:after="0" w:line="149" w:lineRule="exact"/>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749"/>
              <w:spacing w:after="0" w:line="149" w:lineRule="exact"/>
              <w:rPr>
                <w:sz w:val="20"/>
                <w:szCs w:val="20"/>
                <w:color w:val="auto"/>
              </w:rPr>
            </w:pPr>
            <w:r>
              <w:rPr>
                <w:rFonts w:ascii="Arial" w:cs="Arial" w:eastAsia="Arial" w:hAnsi="Arial"/>
                <w:sz w:val="14"/>
                <w:szCs w:val="14"/>
                <w:b w:val="1"/>
                <w:bCs w:val="1"/>
                <w:color w:val="auto"/>
                <w:w w:val="85"/>
              </w:rPr>
              <w:t>425.9</w:t>
            </w:r>
          </w:p>
        </w:tc>
        <w:tc>
          <w:tcPr>
            <w:tcW w:w="2240" w:type="dxa"/>
            <w:vAlign w:val="bottom"/>
            <w:tcBorders>
              <w:bottom w:val="single" w:sz="8" w:color="auto"/>
            </w:tcBorders>
            <w:shd w:val="clear" w:color="auto" w:fill="CCEEFF"/>
          </w:tcPr>
          <w:p>
            <w:pPr>
              <w:jc w:val="right"/>
              <w:ind w:right="690"/>
              <w:spacing w:after="0" w:line="149" w:lineRule="exact"/>
              <w:rPr>
                <w:sz w:val="20"/>
                <w:szCs w:val="20"/>
                <w:color w:val="auto"/>
              </w:rPr>
            </w:pPr>
            <w:r>
              <w:rPr>
                <w:rFonts w:ascii="Arial" w:cs="Arial" w:eastAsia="Arial" w:hAnsi="Arial"/>
                <w:sz w:val="14"/>
                <w:szCs w:val="14"/>
                <w:color w:val="auto"/>
              </w:rPr>
              <w:t>$ 422.5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During 2003, notes of £16.7 million were issued to FTC employees who were former FTC shareholders in connection with the acquisition. The noteholders, at their discretion, had the option of electing to receive 25% of their outstanding balance in January 2004 and in August 2004, 50% of the original outstanding balance (less the amount paid in January) was due for payment. Payments of $6.2 million and $8.8 million were made in January 2004 and August 2004, respectively. The remaining balance outstanding of £8.35 million is due for payment in August 2006.</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Interest on the 5.5% unsecured notes is payable semi-annually on February 15 and August 15.</w:t>
      </w:r>
    </w:p>
    <w:p>
      <w:pPr>
        <w:spacing w:after="0" w:line="127"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At January 2, 2005 and December 28, 2003, the average interest rate on the Company’s outstanding commercial paper borrowings was 2.2% and 1.1%, respectively. During the third quarter of 2004, the Company replaced its expiring $250 million 364-day revolving credit facility with a new $250 million revolving credit facility on essentially the same terms. The new facility expires in August 2005. In 2002, the Company replaced its revolving credit facility agreements with a new five-year $350 million revolving credit facility, which expires in August 2007. These revolving credit facility agreements support the issuance of the Company’s short-term commercial paper.</w:t>
      </w:r>
    </w:p>
    <w:p>
      <w:pPr>
        <w:spacing w:after="0" w:line="6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Under the terms of the five-year $350 million revolving credit facility, interest on borrowings is at floating rates, and depending on the Company’s long-term debt rating, the Company is required to pay an annual fee of 0.07% to 0.15% on the unused portion of the facility, and 0.25% to 0.75% on the used portion of the facility. Under the terms of the $250 million 364-day revolving credit facility, interest on borrowings is at floating rates, and based on the Company’s long-term debt rating, the Company is required to pay an annual fee of 0.05% to 0.125% on the unused portion of the facility, and 0.25% to 0.75% on the used portion of the facility. Also under the terms of the $250 million 364-day revolving credit facility, the Company has the right to extend the term of any borrowings for up to one year from the credit facility’s maturity date for an additional fee of 0.125%. Both revolving credit facilities contain certain covenants, including a financial covenant that the Company maintain at least $1 billion of consolidated shareholders’ equity.</w:t>
      </w:r>
    </w:p>
    <w:p>
      <w:pPr>
        <w:spacing w:after="0" w:line="83"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During 2004 and 2003, the Company had average borrowings outstanding of approximately $516.0 million and $605.7 million, respectively, at average annual interest rates of approximately 4.8% and 4.2%, respectively. The Company incurred net interest costs on its borrowings of $26.4 million and $26.9 million during 2004 and 2003, respectively. No interest expense was capitalized in 2004 or 2003.</w:t>
      </w:r>
    </w:p>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At January 2, 2005 and December 28, 2003, the fair value of the Company’s 5.5% unsecured notes, based on quoted market prices, totaled $423.0 million and $434.6 million, respectively, compared with the carrying amount of $398.9 million and $398.7 million,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The carrying value of the Company’s commercial paper borrowings and other unsecured debt at January 2, 2005 and December 28, 2003 approximates fair value.</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REDEEMABLE PREFERRED STOCK</w:t>
      </w:r>
    </w:p>
    <w:p>
      <w:pPr>
        <w:spacing w:after="0" w:line="10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connection with the acquisition of a cable television system in 1996, the Company issued 11,947 shares of its Series A Preferred Stock. On February 23, 2000, the Company issued an additional 1,275 shares related to this transaction. From 1998 to 2004, 955 shares of Series A Preferred Stock were redeemed at the request of Series A Preferred Stockholders.</w:t>
      </w:r>
    </w:p>
    <w:p>
      <w:pPr>
        <w:spacing w:after="0" w:line="76" w:lineRule="exact"/>
        <w:rPr>
          <w:sz w:val="20"/>
          <w:szCs w:val="20"/>
          <w:color w:val="auto"/>
        </w:rPr>
      </w:pPr>
    </w:p>
    <w:p>
      <w:pPr>
        <w:ind w:right="60"/>
        <w:spacing w:after="0" w:line="318" w:lineRule="auto"/>
        <w:rPr>
          <w:sz w:val="20"/>
          <w:szCs w:val="20"/>
          <w:color w:val="auto"/>
        </w:rPr>
      </w:pPr>
      <w:r>
        <w:rPr>
          <w:rFonts w:ascii="Arial" w:cs="Arial" w:eastAsia="Arial" w:hAnsi="Arial"/>
          <w:sz w:val="14"/>
          <w:szCs w:val="14"/>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 CAPITAL STOCK, STOCK AWARDS AND STOCK OPTIONS</w:t>
      </w:r>
    </w:p>
    <w:p>
      <w:pPr>
        <w:spacing w:after="0" w:line="104" w:lineRule="exact"/>
        <w:rPr>
          <w:sz w:val="20"/>
          <w:szCs w:val="20"/>
          <w:color w:val="auto"/>
        </w:rPr>
      </w:pPr>
    </w:p>
    <w:p>
      <w:pPr>
        <w:ind w:right="240"/>
        <w:spacing w:after="0" w:line="334" w:lineRule="auto"/>
        <w:rPr>
          <w:sz w:val="20"/>
          <w:szCs w:val="20"/>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color w:val="auto"/>
        </w:rPr>
        <w:t>Each share of Class A common stock and Class B common stock participates equally in dividends. The Class B stock has limited voting rights and as a class</w:t>
      </w:r>
      <w:r>
        <w:rPr>
          <w:rFonts w:ascii="Arial" w:cs="Arial" w:eastAsia="Arial" w:hAnsi="Arial"/>
          <w:sz w:val="15"/>
          <w:szCs w:val="15"/>
          <w:b w:val="1"/>
          <w:bCs w:val="1"/>
          <w:color w:val="auto"/>
        </w:rPr>
        <w:t xml:space="preserve"> </w:t>
      </w:r>
      <w:r>
        <w:rPr>
          <w:rFonts w:ascii="Arial" w:cs="Arial" w:eastAsia="Arial" w:hAnsi="Arial"/>
          <w:sz w:val="15"/>
          <w:szCs w:val="15"/>
          <w:color w:val="auto"/>
        </w:rPr>
        <w:t>has the right to elect 30% of the Board of Directors; the Class A stock has unlimited voting rights, including the right to elect a majority of the Board of Directors.</w:t>
      </w:r>
    </w:p>
    <w:p>
      <w:pPr>
        <w:spacing w:after="0" w:line="37"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During 2004 the Company did not purchase any shares of its Class B common stock. During 2003 and 2002, the Company purchased a total of 910 shares and 1,229 shares, respectively, of its Class B common stock at a cost of approximately $0.7 million and $0.8 million. At January 2, 2005, the Company has authorization from the Board of Directors to purchase up to 542,800 shares of Class B common stock.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2" w:name="page53"/>
    <w:bookmarkEnd w:id="52"/>
    <w:p>
      <w:pPr>
        <w:ind w:right="40"/>
        <w:spacing w:after="0" w:line="271"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In 1982, the Company adopted a long-term incentive compensation plan, which, among other provisions, authorizes the awarding of Class B common stock to</w:t>
      </w:r>
      <w:r>
        <w:rPr>
          <w:rFonts w:ascii="Arial" w:cs="Arial" w:eastAsia="Arial" w:hAnsi="Arial"/>
          <w:sz w:val="16"/>
          <w:szCs w:val="16"/>
          <w:b w:val="1"/>
          <w:bCs w:val="1"/>
          <w:color w:val="auto"/>
        </w:rPr>
        <w:t xml:space="preserve"> </w:t>
      </w:r>
      <w:r>
        <w:rPr>
          <w:rFonts w:ascii="Arial" w:cs="Arial" w:eastAsia="Arial" w:hAnsi="Arial"/>
          <w:sz w:val="16"/>
          <w:szCs w:val="16"/>
          <w:color w:val="auto"/>
        </w:rPr>
        <w:t>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January 2, 2005, there were 52,476 shares reserved for issuance under the incentive compensation plan. Of this number, 28,001 shares were subject to awards outstanding, and 24,475 shares were available for future awards. Activity related to stock awards under the long-term incentive compensation plan for the years ended January 2, 2005, December 28, 2003, and December 29, 2002,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2004</w:t>
            </w:r>
          </w:p>
        </w:tc>
        <w:tc>
          <w:tcPr>
            <w:tcW w:w="10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1217"/>
              <w:spacing w:after="0"/>
              <w:rPr>
                <w:sz w:val="20"/>
                <w:szCs w:val="20"/>
                <w:color w:val="auto"/>
              </w:rPr>
            </w:pPr>
            <w:r>
              <w:rPr>
                <w:rFonts w:ascii="Arial" w:cs="Arial" w:eastAsia="Arial" w:hAnsi="Arial"/>
                <w:sz w:val="13"/>
                <w:szCs w:val="13"/>
                <w:color w:val="auto"/>
              </w:rPr>
              <w:t>2003</w:t>
            </w:r>
          </w:p>
        </w:tc>
        <w:tc>
          <w:tcPr>
            <w:tcW w:w="3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197"/>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20" w:type="dxa"/>
            <w:vAlign w:val="bottom"/>
          </w:tcPr>
          <w:p>
            <w:pPr>
              <w:jc w:val="center"/>
              <w:ind w:right="417"/>
              <w:spacing w:after="0" w:line="124" w:lineRule="exact"/>
              <w:rPr>
                <w:sz w:val="20"/>
                <w:szCs w:val="20"/>
                <w:color w:val="auto"/>
              </w:rPr>
            </w:pPr>
            <w:r>
              <w:rPr>
                <w:rFonts w:ascii="Arial" w:cs="Arial" w:eastAsia="Arial" w:hAnsi="Arial"/>
                <w:sz w:val="13"/>
                <w:szCs w:val="13"/>
                <w:b w:val="1"/>
                <w:bCs w:val="1"/>
                <w:color w:val="auto"/>
                <w:w w:val="93"/>
              </w:rPr>
              <w:t>Number</w:t>
            </w:r>
          </w:p>
        </w:tc>
        <w:tc>
          <w:tcPr>
            <w:tcW w:w="1080" w:type="dxa"/>
            <w:vAlign w:val="bottom"/>
          </w:tcPr>
          <w:p>
            <w:pPr>
              <w:jc w:val="center"/>
              <w:ind w:right="137"/>
              <w:spacing w:after="0" w:line="124" w:lineRule="exact"/>
              <w:rPr>
                <w:sz w:val="20"/>
                <w:szCs w:val="20"/>
                <w:color w:val="auto"/>
              </w:rPr>
            </w:pPr>
            <w:r>
              <w:rPr>
                <w:rFonts w:ascii="Arial" w:cs="Arial" w:eastAsia="Arial" w:hAnsi="Arial"/>
                <w:sz w:val="13"/>
                <w:szCs w:val="13"/>
                <w:b w:val="1"/>
                <w:bCs w:val="1"/>
                <w:color w:val="auto"/>
                <w:w w:val="85"/>
              </w:rPr>
              <w:t>Average</w:t>
            </w:r>
          </w:p>
        </w:tc>
        <w:tc>
          <w:tcPr>
            <w:tcW w:w="280" w:type="dxa"/>
            <w:vAlign w:val="bottom"/>
          </w:tcPr>
          <w:p>
            <w:pPr>
              <w:spacing w:after="0"/>
              <w:rPr>
                <w:sz w:val="10"/>
                <w:szCs w:val="10"/>
                <w:color w:val="auto"/>
              </w:rPr>
            </w:pPr>
          </w:p>
        </w:tc>
        <w:tc>
          <w:tcPr>
            <w:tcW w:w="1100" w:type="dxa"/>
            <w:vAlign w:val="bottom"/>
          </w:tcPr>
          <w:p>
            <w:pPr>
              <w:jc w:val="center"/>
              <w:ind w:left="97"/>
              <w:spacing w:after="0" w:line="124" w:lineRule="exact"/>
              <w:rPr>
                <w:sz w:val="20"/>
                <w:szCs w:val="20"/>
                <w:color w:val="auto"/>
              </w:rPr>
            </w:pPr>
            <w:r>
              <w:rPr>
                <w:rFonts w:ascii="Arial" w:cs="Arial" w:eastAsia="Arial" w:hAnsi="Arial"/>
                <w:sz w:val="13"/>
                <w:szCs w:val="13"/>
                <w:color w:val="auto"/>
                <w:w w:val="90"/>
              </w:rPr>
              <w:t>Number</w:t>
            </w:r>
          </w:p>
        </w:tc>
        <w:tc>
          <w:tcPr>
            <w:tcW w:w="1700" w:type="dxa"/>
            <w:vAlign w:val="bottom"/>
          </w:tcPr>
          <w:p>
            <w:pPr>
              <w:jc w:val="center"/>
              <w:ind w:left="377"/>
              <w:spacing w:after="0" w:line="124" w:lineRule="exact"/>
              <w:rPr>
                <w:sz w:val="20"/>
                <w:szCs w:val="20"/>
                <w:color w:val="auto"/>
              </w:rPr>
            </w:pPr>
            <w:r>
              <w:rPr>
                <w:rFonts w:ascii="Arial" w:cs="Arial" w:eastAsia="Arial" w:hAnsi="Arial"/>
                <w:sz w:val="13"/>
                <w:szCs w:val="13"/>
                <w:color w:val="auto"/>
                <w:w w:val="86"/>
              </w:rPr>
              <w:t>Average</w:t>
            </w:r>
          </w:p>
        </w:tc>
        <w:tc>
          <w:tcPr>
            <w:tcW w:w="300" w:type="dxa"/>
            <w:vAlign w:val="bottom"/>
          </w:tcPr>
          <w:p>
            <w:pPr>
              <w:spacing w:after="0"/>
              <w:rPr>
                <w:sz w:val="10"/>
                <w:szCs w:val="10"/>
                <w:color w:val="auto"/>
              </w:rPr>
            </w:pPr>
          </w:p>
        </w:tc>
        <w:tc>
          <w:tcPr>
            <w:tcW w:w="1060" w:type="dxa"/>
            <w:vAlign w:val="bottom"/>
          </w:tcPr>
          <w:p>
            <w:pPr>
              <w:jc w:val="center"/>
              <w:ind w:left="77"/>
              <w:spacing w:after="0" w:line="124" w:lineRule="exact"/>
              <w:rPr>
                <w:sz w:val="20"/>
                <w:szCs w:val="20"/>
                <w:color w:val="auto"/>
              </w:rPr>
            </w:pPr>
            <w:r>
              <w:rPr>
                <w:rFonts w:ascii="Arial" w:cs="Arial" w:eastAsia="Arial" w:hAnsi="Arial"/>
                <w:sz w:val="13"/>
                <w:szCs w:val="13"/>
                <w:color w:val="auto"/>
                <w:w w:val="86"/>
              </w:rPr>
              <w:t>Number</w:t>
            </w:r>
          </w:p>
        </w:tc>
        <w:tc>
          <w:tcPr>
            <w:tcW w:w="1720" w:type="dxa"/>
            <w:vAlign w:val="bottom"/>
          </w:tcPr>
          <w:p>
            <w:pPr>
              <w:jc w:val="center"/>
              <w:ind w:left="357"/>
              <w:spacing w:after="0" w:line="124" w:lineRule="exact"/>
              <w:rPr>
                <w:sz w:val="20"/>
                <w:szCs w:val="20"/>
                <w:color w:val="auto"/>
              </w:rPr>
            </w:pPr>
            <w:r>
              <w:rPr>
                <w:rFonts w:ascii="Arial" w:cs="Arial" w:eastAsia="Arial" w:hAnsi="Arial"/>
                <w:sz w:val="13"/>
                <w:szCs w:val="13"/>
                <w:color w:val="auto"/>
                <w:w w:val="86"/>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20" w:type="dxa"/>
            <w:vAlign w:val="bottom"/>
          </w:tcPr>
          <w:p>
            <w:pPr>
              <w:jc w:val="center"/>
              <w:ind w:right="417"/>
              <w:spacing w:after="0" w:line="135" w:lineRule="exact"/>
              <w:rPr>
                <w:sz w:val="20"/>
                <w:szCs w:val="20"/>
                <w:color w:val="auto"/>
              </w:rPr>
            </w:pPr>
            <w:r>
              <w:rPr>
                <w:rFonts w:ascii="Arial" w:cs="Arial" w:eastAsia="Arial" w:hAnsi="Arial"/>
                <w:sz w:val="13"/>
                <w:szCs w:val="13"/>
                <w:b w:val="1"/>
                <w:bCs w:val="1"/>
                <w:color w:val="auto"/>
                <w:w w:val="81"/>
              </w:rPr>
              <w:t>of</w:t>
            </w:r>
          </w:p>
        </w:tc>
        <w:tc>
          <w:tcPr>
            <w:tcW w:w="10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0"/>
              </w:rPr>
              <w:t>Award</w:t>
            </w:r>
          </w:p>
        </w:tc>
        <w:tc>
          <w:tcPr>
            <w:tcW w:w="280" w:type="dxa"/>
            <w:vAlign w:val="bottom"/>
          </w:tcPr>
          <w:p>
            <w:pPr>
              <w:spacing w:after="0"/>
              <w:rPr>
                <w:sz w:val="11"/>
                <w:szCs w:val="11"/>
                <w:color w:val="auto"/>
              </w:rPr>
            </w:pPr>
          </w:p>
        </w:tc>
        <w:tc>
          <w:tcPr>
            <w:tcW w:w="11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1"/>
              </w:rPr>
              <w:t>of</w:t>
            </w:r>
          </w:p>
        </w:tc>
        <w:tc>
          <w:tcPr>
            <w:tcW w:w="1700" w:type="dxa"/>
            <w:vAlign w:val="bottom"/>
          </w:tcPr>
          <w:p>
            <w:pPr>
              <w:jc w:val="center"/>
              <w:ind w:left="377"/>
              <w:spacing w:after="0" w:line="135" w:lineRule="exact"/>
              <w:rPr>
                <w:sz w:val="20"/>
                <w:szCs w:val="20"/>
                <w:color w:val="auto"/>
              </w:rPr>
            </w:pPr>
            <w:r>
              <w:rPr>
                <w:rFonts w:ascii="Arial" w:cs="Arial" w:eastAsia="Arial" w:hAnsi="Arial"/>
                <w:sz w:val="13"/>
                <w:szCs w:val="13"/>
                <w:color w:val="auto"/>
                <w:w w:val="92"/>
              </w:rPr>
              <w:t>Award</w:t>
            </w:r>
          </w:p>
        </w:tc>
        <w:tc>
          <w:tcPr>
            <w:tcW w:w="300" w:type="dxa"/>
            <w:vAlign w:val="bottom"/>
          </w:tcPr>
          <w:p>
            <w:pPr>
              <w:spacing w:after="0"/>
              <w:rPr>
                <w:sz w:val="11"/>
                <w:szCs w:val="11"/>
                <w:color w:val="auto"/>
              </w:rPr>
            </w:pPr>
          </w:p>
        </w:tc>
        <w:tc>
          <w:tcPr>
            <w:tcW w:w="1060" w:type="dxa"/>
            <w:vAlign w:val="bottom"/>
          </w:tcPr>
          <w:p>
            <w:pPr>
              <w:jc w:val="center"/>
              <w:ind w:left="77"/>
              <w:spacing w:after="0" w:line="135" w:lineRule="exact"/>
              <w:rPr>
                <w:sz w:val="20"/>
                <w:szCs w:val="20"/>
                <w:color w:val="auto"/>
              </w:rPr>
            </w:pPr>
            <w:r>
              <w:rPr>
                <w:rFonts w:ascii="Arial" w:cs="Arial" w:eastAsia="Arial" w:hAnsi="Arial"/>
                <w:sz w:val="13"/>
                <w:szCs w:val="13"/>
                <w:color w:val="auto"/>
              </w:rPr>
              <w:t>of</w:t>
            </w:r>
          </w:p>
        </w:tc>
        <w:tc>
          <w:tcPr>
            <w:tcW w:w="1720" w:type="dxa"/>
            <w:vAlign w:val="bottom"/>
          </w:tcPr>
          <w:p>
            <w:pPr>
              <w:jc w:val="center"/>
              <w:ind w:left="377"/>
              <w:spacing w:after="0" w:line="135" w:lineRule="exact"/>
              <w:rPr>
                <w:sz w:val="20"/>
                <w:szCs w:val="20"/>
                <w:color w:val="auto"/>
              </w:rPr>
            </w:pPr>
            <w:r>
              <w:rPr>
                <w:rFonts w:ascii="Arial" w:cs="Arial" w:eastAsia="Arial" w:hAnsi="Arial"/>
                <w:sz w:val="13"/>
                <w:szCs w:val="13"/>
                <w:color w:val="auto"/>
                <w:w w:val="86"/>
              </w:rPr>
              <w:t>Award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397"/>
              <w:spacing w:after="0"/>
              <w:rPr>
                <w:sz w:val="20"/>
                <w:szCs w:val="20"/>
                <w:color w:val="auto"/>
              </w:rPr>
            </w:pPr>
            <w:r>
              <w:rPr>
                <w:rFonts w:ascii="Arial" w:cs="Arial" w:eastAsia="Arial" w:hAnsi="Arial"/>
                <w:sz w:val="13"/>
                <w:szCs w:val="13"/>
                <w:b w:val="1"/>
                <w:bCs w:val="1"/>
                <w:color w:val="auto"/>
                <w:w w:val="82"/>
              </w:rPr>
              <w:t>Shares</w:t>
            </w: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7"/>
              </w:rPr>
              <w:t>Price</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color w:val="auto"/>
                <w:w w:val="82"/>
              </w:rPr>
              <w:t>Shares</w:t>
            </w:r>
          </w:p>
        </w:tc>
        <w:tc>
          <w:tcPr>
            <w:tcW w:w="1700" w:type="dxa"/>
            <w:vAlign w:val="bottom"/>
            <w:tcBorders>
              <w:bottom w:val="single" w:sz="8" w:color="auto"/>
            </w:tcBorders>
          </w:tcPr>
          <w:p>
            <w:pPr>
              <w:jc w:val="center"/>
              <w:ind w:left="377"/>
              <w:spacing w:after="0"/>
              <w:rPr>
                <w:sz w:val="20"/>
                <w:szCs w:val="20"/>
                <w:color w:val="auto"/>
              </w:rPr>
            </w:pPr>
            <w:r>
              <w:rPr>
                <w:rFonts w:ascii="Arial" w:cs="Arial" w:eastAsia="Arial" w:hAnsi="Arial"/>
                <w:sz w:val="13"/>
                <w:szCs w:val="13"/>
                <w:color w:val="auto"/>
                <w:w w:val="87"/>
              </w:rPr>
              <w:t>Price</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77"/>
              </w:rPr>
              <w:t>Shares</w:t>
            </w:r>
          </w:p>
        </w:tc>
        <w:tc>
          <w:tcPr>
            <w:tcW w:w="1720" w:type="dxa"/>
            <w:vAlign w:val="bottom"/>
            <w:tcBorders>
              <w:bottom w:val="single" w:sz="8" w:color="auto"/>
            </w:tcBorders>
          </w:tcPr>
          <w:p>
            <w:pPr>
              <w:jc w:val="center"/>
              <w:ind w:left="357"/>
              <w:spacing w:after="0"/>
              <w:rPr>
                <w:sz w:val="20"/>
                <w:szCs w:val="20"/>
                <w:color w:val="auto"/>
              </w:rPr>
            </w:pPr>
            <w:r>
              <w:rPr>
                <w:rFonts w:ascii="Arial" w:cs="Arial" w:eastAsia="Arial" w:hAnsi="Arial"/>
                <w:sz w:val="13"/>
                <w:szCs w:val="13"/>
                <w:color w:val="auto"/>
                <w:w w:val="87"/>
              </w:rPr>
              <w:t>Price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Beginning of year</w:t>
            </w:r>
          </w:p>
        </w:tc>
        <w:tc>
          <w:tcPr>
            <w:tcW w:w="1820" w:type="dxa"/>
            <w:vAlign w:val="bottom"/>
            <w:shd w:val="clear" w:color="auto" w:fill="CCEEFF"/>
          </w:tcPr>
          <w:p>
            <w:pPr>
              <w:jc w:val="right"/>
              <w:ind w:right="917"/>
              <w:spacing w:after="0" w:line="135" w:lineRule="exact"/>
              <w:rPr>
                <w:sz w:val="20"/>
                <w:szCs w:val="20"/>
                <w:color w:val="auto"/>
              </w:rPr>
            </w:pPr>
            <w:r>
              <w:rPr>
                <w:rFonts w:ascii="Arial" w:cs="Arial" w:eastAsia="Arial" w:hAnsi="Arial"/>
                <w:sz w:val="13"/>
                <w:szCs w:val="13"/>
                <w:b w:val="1"/>
                <w:bCs w:val="1"/>
                <w:color w:val="auto"/>
              </w:rPr>
              <w:t>29,845</w:t>
            </w:r>
          </w:p>
        </w:tc>
        <w:tc>
          <w:tcPr>
            <w:tcW w:w="108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b w:val="1"/>
                <w:bCs w:val="1"/>
                <w:color w:val="auto"/>
              </w:rPr>
              <w:t>$643.89</w:t>
            </w:r>
          </w:p>
        </w:tc>
        <w:tc>
          <w:tcPr>
            <w:tcW w:w="13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27,625</w:t>
            </w:r>
          </w:p>
        </w:tc>
        <w:tc>
          <w:tcPr>
            <w:tcW w:w="170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$536.74</w:t>
            </w:r>
          </w:p>
        </w:tc>
        <w:tc>
          <w:tcPr>
            <w:tcW w:w="13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29,895</w:t>
            </w:r>
          </w:p>
        </w:tc>
        <w:tc>
          <w:tcPr>
            <w:tcW w:w="172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$539.25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ind w:left="280"/>
              <w:spacing w:after="0" w:line="135" w:lineRule="exact"/>
              <w:rPr>
                <w:sz w:val="20"/>
                <w:szCs w:val="20"/>
                <w:color w:val="auto"/>
              </w:rPr>
            </w:pPr>
            <w:r>
              <w:rPr>
                <w:rFonts w:ascii="Arial" w:cs="Arial" w:eastAsia="Arial" w:hAnsi="Arial"/>
                <w:sz w:val="13"/>
                <w:szCs w:val="13"/>
                <w:color w:val="auto"/>
              </w:rPr>
              <w:t>Awarded</w:t>
            </w:r>
          </w:p>
        </w:tc>
        <w:tc>
          <w:tcPr>
            <w:tcW w:w="1820" w:type="dxa"/>
            <w:vAlign w:val="bottom"/>
          </w:tcPr>
          <w:p>
            <w:pPr>
              <w:jc w:val="right"/>
              <w:ind w:right="917"/>
              <w:spacing w:after="0" w:line="135" w:lineRule="exact"/>
              <w:rPr>
                <w:sz w:val="20"/>
                <w:szCs w:val="20"/>
                <w:color w:val="auto"/>
              </w:rPr>
            </w:pPr>
            <w:r>
              <w:rPr>
                <w:rFonts w:ascii="Arial" w:cs="Arial" w:eastAsia="Arial" w:hAnsi="Arial"/>
                <w:sz w:val="13"/>
                <w:szCs w:val="13"/>
                <w:b w:val="1"/>
                <w:bCs w:val="1"/>
                <w:color w:val="auto"/>
              </w:rPr>
              <w:t>200</w:t>
            </w:r>
          </w:p>
        </w:tc>
        <w:tc>
          <w:tcPr>
            <w:tcW w:w="108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973.88</w:t>
            </w:r>
          </w:p>
        </w:tc>
        <w:tc>
          <w:tcPr>
            <w:tcW w:w="13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15,990</w:t>
            </w:r>
          </w:p>
        </w:tc>
        <w:tc>
          <w:tcPr>
            <w:tcW w:w="170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734.01</w:t>
            </w:r>
          </w:p>
        </w:tc>
        <w:tc>
          <w:tcPr>
            <w:tcW w:w="13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215</w:t>
            </w:r>
          </w:p>
        </w:tc>
        <w:tc>
          <w:tcPr>
            <w:tcW w:w="172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563.36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Vested</w:t>
            </w:r>
          </w:p>
        </w:tc>
        <w:tc>
          <w:tcPr>
            <w:tcW w:w="1820" w:type="dxa"/>
            <w:vAlign w:val="bottom"/>
            <w:shd w:val="clear" w:color="auto" w:fill="CCEEFF"/>
          </w:tcPr>
          <w:p>
            <w:pPr>
              <w:jc w:val="right"/>
              <w:ind w:right="857"/>
              <w:spacing w:after="0" w:line="135" w:lineRule="exact"/>
              <w:rPr>
                <w:sz w:val="20"/>
                <w:szCs w:val="20"/>
                <w:color w:val="auto"/>
              </w:rPr>
            </w:pPr>
            <w:r>
              <w:rPr>
                <w:rFonts w:ascii="Arial" w:cs="Arial" w:eastAsia="Arial" w:hAnsi="Arial"/>
                <w:sz w:val="13"/>
                <w:szCs w:val="13"/>
                <w:b w:val="1"/>
                <w:bCs w:val="1"/>
                <w:color w:val="auto"/>
              </w:rPr>
              <w:t>(561)</w:t>
            </w:r>
          </w:p>
        </w:tc>
        <w:tc>
          <w:tcPr>
            <w:tcW w:w="108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b w:val="1"/>
                <w:bCs w:val="1"/>
                <w:color w:val="auto"/>
              </w:rPr>
              <w:t>625.91</w:t>
            </w:r>
          </w:p>
        </w:tc>
        <w:tc>
          <w:tcPr>
            <w:tcW w:w="138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(12,752)</w:t>
            </w:r>
          </w:p>
        </w:tc>
        <w:tc>
          <w:tcPr>
            <w:tcW w:w="170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523.60</w:t>
            </w:r>
          </w:p>
        </w:tc>
        <w:tc>
          <w:tcPr>
            <w:tcW w:w="136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(601)</w:t>
            </w:r>
          </w:p>
        </w:tc>
        <w:tc>
          <w:tcPr>
            <w:tcW w:w="172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540.61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ind w:left="280"/>
              <w:spacing w:after="0" w:line="135" w:lineRule="exact"/>
              <w:rPr>
                <w:sz w:val="20"/>
                <w:szCs w:val="20"/>
                <w:color w:val="auto"/>
              </w:rPr>
            </w:pPr>
            <w:r>
              <w:rPr>
                <w:rFonts w:ascii="Arial" w:cs="Arial" w:eastAsia="Arial" w:hAnsi="Arial"/>
                <w:sz w:val="13"/>
                <w:szCs w:val="13"/>
                <w:color w:val="auto"/>
              </w:rPr>
              <w:t>Forfeited</w:t>
            </w:r>
          </w:p>
        </w:tc>
        <w:tc>
          <w:tcPr>
            <w:tcW w:w="1820" w:type="dxa"/>
            <w:vAlign w:val="bottom"/>
            <w:tcBorders>
              <w:bottom w:val="single" w:sz="8" w:color="auto"/>
            </w:tcBorders>
          </w:tcPr>
          <w:p>
            <w:pPr>
              <w:jc w:val="right"/>
              <w:ind w:right="857"/>
              <w:spacing w:after="0" w:line="135" w:lineRule="exact"/>
              <w:rPr>
                <w:sz w:val="20"/>
                <w:szCs w:val="20"/>
                <w:color w:val="auto"/>
              </w:rPr>
            </w:pPr>
            <w:r>
              <w:rPr>
                <w:rFonts w:ascii="Arial" w:cs="Arial" w:eastAsia="Arial" w:hAnsi="Arial"/>
                <w:sz w:val="13"/>
                <w:szCs w:val="13"/>
                <w:b w:val="1"/>
                <w:bCs w:val="1"/>
                <w:color w:val="auto"/>
              </w:rPr>
              <w:t>(1,483)</w:t>
            </w:r>
          </w:p>
        </w:tc>
        <w:tc>
          <w:tcPr>
            <w:tcW w:w="108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683.58</w:t>
            </w:r>
          </w:p>
        </w:tc>
        <w:tc>
          <w:tcPr>
            <w:tcW w:w="1380" w:type="dxa"/>
            <w:vAlign w:val="bottom"/>
            <w:tcBorders>
              <w:bottom w:val="single" w:sz="8" w:color="auto"/>
            </w:tcBorders>
            <w:gridSpan w:val="2"/>
          </w:tcPr>
          <w:p>
            <w:pPr>
              <w:jc w:val="right"/>
              <w:ind w:right="117"/>
              <w:spacing w:after="0" w:line="135" w:lineRule="exact"/>
              <w:rPr>
                <w:sz w:val="20"/>
                <w:szCs w:val="20"/>
                <w:color w:val="auto"/>
              </w:rPr>
            </w:pPr>
            <w:r>
              <w:rPr>
                <w:rFonts w:ascii="Arial" w:cs="Arial" w:eastAsia="Arial" w:hAnsi="Arial"/>
                <w:sz w:val="13"/>
                <w:szCs w:val="13"/>
                <w:color w:val="auto"/>
              </w:rPr>
              <w:t>(1,018)</w:t>
            </w:r>
          </w:p>
        </w:tc>
        <w:tc>
          <w:tcPr>
            <w:tcW w:w="170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color w:val="auto"/>
              </w:rPr>
              <w:t>658.44</w:t>
            </w:r>
          </w:p>
        </w:tc>
        <w:tc>
          <w:tcPr>
            <w:tcW w:w="1360" w:type="dxa"/>
            <w:vAlign w:val="bottom"/>
            <w:tcBorders>
              <w:bottom w:val="single" w:sz="8" w:color="auto"/>
            </w:tcBorders>
            <w:gridSpan w:val="2"/>
          </w:tcPr>
          <w:p>
            <w:pPr>
              <w:jc w:val="right"/>
              <w:ind w:right="137"/>
              <w:spacing w:after="0" w:line="135" w:lineRule="exact"/>
              <w:rPr>
                <w:sz w:val="20"/>
                <w:szCs w:val="20"/>
                <w:color w:val="auto"/>
              </w:rPr>
            </w:pPr>
            <w:r>
              <w:rPr>
                <w:rFonts w:ascii="Arial" w:cs="Arial" w:eastAsia="Arial" w:hAnsi="Arial"/>
                <w:sz w:val="13"/>
                <w:szCs w:val="13"/>
                <w:color w:val="auto"/>
              </w:rPr>
              <w:t>(1,884)</w:t>
            </w:r>
          </w:p>
        </w:tc>
        <w:tc>
          <w:tcPr>
            <w:tcW w:w="172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color w:val="auto"/>
              </w:rPr>
              <w:t>578.37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End of year</w:t>
            </w:r>
          </w:p>
        </w:tc>
        <w:tc>
          <w:tcPr>
            <w:tcW w:w="1820" w:type="dxa"/>
            <w:vAlign w:val="bottom"/>
            <w:tcBorders>
              <w:bottom w:val="single" w:sz="8" w:color="auto"/>
            </w:tcBorders>
            <w:shd w:val="clear" w:color="auto" w:fill="CCEEFF"/>
          </w:tcPr>
          <w:p>
            <w:pPr>
              <w:jc w:val="right"/>
              <w:ind w:right="917"/>
              <w:spacing w:after="0" w:line="135" w:lineRule="exact"/>
              <w:rPr>
                <w:sz w:val="20"/>
                <w:szCs w:val="20"/>
                <w:color w:val="auto"/>
              </w:rPr>
            </w:pPr>
            <w:r>
              <w:rPr>
                <w:rFonts w:ascii="Arial" w:cs="Arial" w:eastAsia="Arial" w:hAnsi="Arial"/>
                <w:sz w:val="13"/>
                <w:szCs w:val="13"/>
                <w:b w:val="1"/>
                <w:bCs w:val="1"/>
                <w:color w:val="auto"/>
              </w:rPr>
              <w:t>28,001</w:t>
            </w:r>
          </w:p>
        </w:tc>
        <w:tc>
          <w:tcPr>
            <w:tcW w:w="108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b w:val="1"/>
                <w:bCs w:val="1"/>
                <w:color w:val="auto"/>
              </w:rPr>
              <w:t>$644.51</w:t>
            </w:r>
          </w:p>
        </w:tc>
        <w:tc>
          <w:tcPr>
            <w:tcW w:w="1380" w:type="dxa"/>
            <w:vAlign w:val="bottom"/>
            <w:tcBorders>
              <w:bottom w:val="single" w:sz="8" w:color="auto"/>
            </w:tcBorders>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29,845</w:t>
            </w:r>
          </w:p>
        </w:tc>
        <w:tc>
          <w:tcPr>
            <w:tcW w:w="170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$643.89</w:t>
            </w:r>
          </w:p>
        </w:tc>
        <w:tc>
          <w:tcPr>
            <w:tcW w:w="1360" w:type="dxa"/>
            <w:vAlign w:val="bottom"/>
            <w:tcBorders>
              <w:bottom w:val="single" w:sz="8" w:color="auto"/>
            </w:tcBorders>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27,625</w:t>
            </w:r>
          </w:p>
        </w:tc>
        <w:tc>
          <w:tcPr>
            <w:tcW w:w="172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$536.74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addition to stock awards granted under the long-term incentive compensation plan, the Company also made stock awards of 2,550 shares in 2004, 1,050 shares in 2003, and 2,150 shares in 2002. Also, on January 3, 2005, the Company made stock awards of 13,090 shares.</w:t>
      </w:r>
    </w:p>
    <w:p>
      <w:pPr>
        <w:spacing w:after="0" w:line="6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For the share awards outstanding at January 2, 2005, the aforementioned restriction will lapse in 2005 for 15,491 shares, in 2006 for 450 shares, in 2007 for 17,435 shares, and in 2008 for 675 shares. Stock-based compensation costs resulting from stock awards reduced net income by $3.6 million ($0.38 per share, basic and diluted), $3.9 million ($0.41 per share, basic and diluted), and $3.5 million ($0.37 per share, basic and diluted) in 2004, 2003, and 2002, respectively.</w:t>
      </w:r>
    </w:p>
    <w:p>
      <w:pPr>
        <w:spacing w:after="0" w:line="72"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b w:val="1"/>
          <w:bCs w:val="1"/>
          <w:color w:val="auto"/>
        </w:rPr>
        <w:t xml:space="preserve">Stock Options. </w:t>
      </w:r>
      <w:r>
        <w:rPr>
          <w:rFonts w:ascii="Arial" w:cs="Arial" w:eastAsia="Arial" w:hAnsi="Arial"/>
          <w:sz w:val="15"/>
          <w:szCs w:val="15"/>
          <w:color w:val="auto"/>
        </w:rPr>
        <w:t>The Company’s employee stock option plan reserves 1,900,000 shares of the Company’s Class B common stock for options to be granted under the plan. The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price of the shares covered by an option cannot be less than the fair value on the granting date. At January 2, 2005, there were 421,125 shares reserved for issuance under the stock option plan, of which 122,250 shares were subject to options outstanding, and 298,875 shares were available for future grants.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Changes in options outstanding for the years ended January 2, 2005, December 28, 2003, and December 29, 2002,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jc w:val="right"/>
              <w:ind w:right="1366"/>
              <w:spacing w:after="0"/>
              <w:rPr>
                <w:sz w:val="20"/>
                <w:szCs w:val="20"/>
                <w:color w:val="auto"/>
              </w:rPr>
            </w:pPr>
            <w:r>
              <w:rPr>
                <w:rFonts w:ascii="Arial" w:cs="Arial" w:eastAsia="Arial" w:hAnsi="Arial"/>
                <w:sz w:val="11"/>
                <w:szCs w:val="11"/>
                <w:b w:val="1"/>
                <w:bCs w:val="1"/>
                <w:color w:val="auto"/>
              </w:rPr>
              <w:t>2004</w:t>
            </w:r>
          </w:p>
        </w:tc>
        <w:tc>
          <w:tcPr>
            <w:tcW w:w="3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ind w:right="1166"/>
              <w:spacing w:after="0"/>
              <w:rPr>
                <w:sz w:val="20"/>
                <w:szCs w:val="20"/>
                <w:color w:val="auto"/>
              </w:rPr>
            </w:pPr>
            <w:r>
              <w:rPr>
                <w:rFonts w:ascii="Arial" w:cs="Arial" w:eastAsia="Arial" w:hAnsi="Arial"/>
                <w:sz w:val="11"/>
                <w:szCs w:val="11"/>
                <w:color w:val="auto"/>
              </w:rPr>
              <w:t>2003</w:t>
            </w:r>
          </w:p>
        </w:tc>
        <w:tc>
          <w:tcPr>
            <w:tcW w:w="3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1226"/>
              <w:spacing w:after="0"/>
              <w:rPr>
                <w:sz w:val="20"/>
                <w:szCs w:val="20"/>
                <w:color w:val="auto"/>
              </w:rPr>
            </w:pPr>
            <w:r>
              <w:rPr>
                <w:rFonts w:ascii="Arial" w:cs="Arial" w:eastAsia="Arial" w:hAnsi="Arial"/>
                <w:sz w:val="11"/>
                <w:szCs w:val="11"/>
                <w:color w:val="auto"/>
              </w:rPr>
              <w:t>2002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20" w:type="dxa"/>
            <w:vAlign w:val="bottom"/>
          </w:tcPr>
          <w:p>
            <w:pPr>
              <w:jc w:val="right"/>
              <w:ind w:right="186"/>
              <w:spacing w:after="0" w:line="115" w:lineRule="exact"/>
              <w:rPr>
                <w:sz w:val="20"/>
                <w:szCs w:val="20"/>
                <w:color w:val="auto"/>
              </w:rPr>
            </w:pPr>
            <w:r>
              <w:rPr>
                <w:rFonts w:ascii="Arial" w:cs="Arial" w:eastAsia="Arial" w:hAnsi="Arial"/>
                <w:sz w:val="11"/>
                <w:szCs w:val="11"/>
                <w:b w:val="1"/>
                <w:bCs w:val="1"/>
                <w:color w:val="auto"/>
              </w:rPr>
              <w:t>Number</w:t>
            </w:r>
          </w:p>
        </w:tc>
        <w:tc>
          <w:tcPr>
            <w:tcW w:w="1840" w:type="dxa"/>
            <w:vAlign w:val="bottom"/>
          </w:tcPr>
          <w:p>
            <w:pPr>
              <w:jc w:val="center"/>
              <w:ind w:left="506"/>
              <w:spacing w:after="0" w:line="115" w:lineRule="exact"/>
              <w:rPr>
                <w:sz w:val="20"/>
                <w:szCs w:val="20"/>
                <w:color w:val="auto"/>
              </w:rPr>
            </w:pPr>
            <w:r>
              <w:rPr>
                <w:rFonts w:ascii="Arial" w:cs="Arial" w:eastAsia="Arial" w:hAnsi="Arial"/>
                <w:sz w:val="11"/>
                <w:szCs w:val="11"/>
                <w:b w:val="1"/>
                <w:bCs w:val="1"/>
                <w:color w:val="auto"/>
                <w:w w:val="82"/>
              </w:rPr>
              <w:t>Average</w:t>
            </w:r>
          </w:p>
        </w:tc>
        <w:tc>
          <w:tcPr>
            <w:tcW w:w="300" w:type="dxa"/>
            <w:vAlign w:val="bottom"/>
          </w:tcPr>
          <w:p>
            <w:pPr>
              <w:spacing w:after="0"/>
              <w:rPr>
                <w:sz w:val="9"/>
                <w:szCs w:val="9"/>
                <w:color w:val="auto"/>
              </w:rPr>
            </w:pPr>
          </w:p>
        </w:tc>
        <w:tc>
          <w:tcPr>
            <w:tcW w:w="1060" w:type="dxa"/>
            <w:vAlign w:val="bottom"/>
          </w:tcPr>
          <w:p>
            <w:pPr>
              <w:jc w:val="center"/>
              <w:ind w:left="146"/>
              <w:spacing w:after="0" w:line="115" w:lineRule="exact"/>
              <w:rPr>
                <w:sz w:val="20"/>
                <w:szCs w:val="20"/>
                <w:color w:val="auto"/>
              </w:rPr>
            </w:pPr>
            <w:r>
              <w:rPr>
                <w:rFonts w:ascii="Arial" w:cs="Arial" w:eastAsia="Arial" w:hAnsi="Arial"/>
                <w:sz w:val="11"/>
                <w:szCs w:val="11"/>
                <w:color w:val="auto"/>
                <w:w w:val="86"/>
              </w:rPr>
              <w:t>Number</w:t>
            </w:r>
          </w:p>
        </w:tc>
        <w:tc>
          <w:tcPr>
            <w:tcW w:w="1620" w:type="dxa"/>
            <w:vAlign w:val="bottom"/>
          </w:tcPr>
          <w:p>
            <w:pPr>
              <w:jc w:val="center"/>
              <w:ind w:left="446"/>
              <w:spacing w:after="0" w:line="115" w:lineRule="exact"/>
              <w:rPr>
                <w:sz w:val="20"/>
                <w:szCs w:val="20"/>
                <w:color w:val="auto"/>
              </w:rPr>
            </w:pPr>
            <w:r>
              <w:rPr>
                <w:rFonts w:ascii="Arial" w:cs="Arial" w:eastAsia="Arial" w:hAnsi="Arial"/>
                <w:sz w:val="11"/>
                <w:szCs w:val="11"/>
                <w:color w:val="auto"/>
                <w:w w:val="87"/>
              </w:rPr>
              <w:t>Average</w:t>
            </w:r>
          </w:p>
        </w:tc>
        <w:tc>
          <w:tcPr>
            <w:tcW w:w="300" w:type="dxa"/>
            <w:vAlign w:val="bottom"/>
          </w:tcPr>
          <w:p>
            <w:pPr>
              <w:spacing w:after="0"/>
              <w:rPr>
                <w:sz w:val="9"/>
                <w:szCs w:val="9"/>
                <w:color w:val="auto"/>
              </w:rPr>
            </w:pPr>
          </w:p>
        </w:tc>
        <w:tc>
          <w:tcPr>
            <w:tcW w:w="1080" w:type="dxa"/>
            <w:vAlign w:val="bottom"/>
          </w:tcPr>
          <w:p>
            <w:pPr>
              <w:jc w:val="center"/>
              <w:ind w:left="106"/>
              <w:spacing w:after="0" w:line="115" w:lineRule="exact"/>
              <w:rPr>
                <w:sz w:val="20"/>
                <w:szCs w:val="20"/>
                <w:color w:val="auto"/>
              </w:rPr>
            </w:pPr>
            <w:r>
              <w:rPr>
                <w:rFonts w:ascii="Arial" w:cs="Arial" w:eastAsia="Arial" w:hAnsi="Arial"/>
                <w:sz w:val="11"/>
                <w:szCs w:val="11"/>
                <w:color w:val="auto"/>
                <w:w w:val="91"/>
              </w:rPr>
              <w:t>Number</w:t>
            </w:r>
          </w:p>
        </w:tc>
        <w:tc>
          <w:tcPr>
            <w:tcW w:w="1700" w:type="dxa"/>
            <w:vAlign w:val="bottom"/>
          </w:tcPr>
          <w:p>
            <w:pPr>
              <w:jc w:val="center"/>
              <w:ind w:left="406"/>
              <w:spacing w:after="0" w:line="115" w:lineRule="exact"/>
              <w:rPr>
                <w:sz w:val="20"/>
                <w:szCs w:val="20"/>
                <w:color w:val="auto"/>
              </w:rPr>
            </w:pPr>
            <w:r>
              <w:rPr>
                <w:rFonts w:ascii="Arial" w:cs="Arial" w:eastAsia="Arial" w:hAnsi="Arial"/>
                <w:sz w:val="11"/>
                <w:szCs w:val="11"/>
                <w:color w:val="auto"/>
                <w:w w:val="87"/>
              </w:rPr>
              <w:t>Average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20" w:type="dxa"/>
            <w:vAlign w:val="bottom"/>
          </w:tcPr>
          <w:p>
            <w:pPr>
              <w:jc w:val="right"/>
              <w:ind w:right="386"/>
              <w:spacing w:after="0" w:line="122" w:lineRule="exact"/>
              <w:rPr>
                <w:sz w:val="20"/>
                <w:szCs w:val="20"/>
                <w:color w:val="auto"/>
              </w:rPr>
            </w:pPr>
            <w:r>
              <w:rPr>
                <w:rFonts w:ascii="Arial" w:cs="Arial" w:eastAsia="Arial" w:hAnsi="Arial"/>
                <w:sz w:val="11"/>
                <w:szCs w:val="11"/>
                <w:b w:val="1"/>
                <w:bCs w:val="1"/>
                <w:color w:val="auto"/>
              </w:rPr>
              <w:t>of</w:t>
            </w:r>
          </w:p>
        </w:tc>
        <w:tc>
          <w:tcPr>
            <w:tcW w:w="1840" w:type="dxa"/>
            <w:vAlign w:val="bottom"/>
          </w:tcPr>
          <w:p>
            <w:pPr>
              <w:jc w:val="center"/>
              <w:ind w:left="506"/>
              <w:spacing w:after="0" w:line="122" w:lineRule="exact"/>
              <w:rPr>
                <w:sz w:val="20"/>
                <w:szCs w:val="20"/>
                <w:color w:val="auto"/>
              </w:rPr>
            </w:pPr>
            <w:r>
              <w:rPr>
                <w:rFonts w:ascii="Arial" w:cs="Arial" w:eastAsia="Arial" w:hAnsi="Arial"/>
                <w:sz w:val="11"/>
                <w:szCs w:val="11"/>
                <w:b w:val="1"/>
                <w:bCs w:val="1"/>
                <w:color w:val="auto"/>
                <w:w w:val="90"/>
              </w:rPr>
              <w:t>Option</w:t>
            </w:r>
          </w:p>
        </w:tc>
        <w:tc>
          <w:tcPr>
            <w:tcW w:w="300" w:type="dxa"/>
            <w:vAlign w:val="bottom"/>
          </w:tcPr>
          <w:p>
            <w:pPr>
              <w:spacing w:after="0"/>
              <w:rPr>
                <w:sz w:val="10"/>
                <w:szCs w:val="10"/>
                <w:color w:val="auto"/>
              </w:rPr>
            </w:pPr>
          </w:p>
        </w:tc>
        <w:tc>
          <w:tcPr>
            <w:tcW w:w="1060" w:type="dxa"/>
            <w:vAlign w:val="bottom"/>
          </w:tcPr>
          <w:p>
            <w:pPr>
              <w:jc w:val="center"/>
              <w:ind w:left="146"/>
              <w:spacing w:after="0" w:line="122" w:lineRule="exact"/>
              <w:rPr>
                <w:sz w:val="20"/>
                <w:szCs w:val="20"/>
                <w:color w:val="auto"/>
              </w:rPr>
            </w:pPr>
            <w:r>
              <w:rPr>
                <w:rFonts w:ascii="Arial" w:cs="Arial" w:eastAsia="Arial" w:hAnsi="Arial"/>
                <w:sz w:val="11"/>
                <w:szCs w:val="11"/>
                <w:color w:val="auto"/>
              </w:rPr>
              <w:t>of</w:t>
            </w:r>
          </w:p>
        </w:tc>
        <w:tc>
          <w:tcPr>
            <w:tcW w:w="1620" w:type="dxa"/>
            <w:vAlign w:val="bottom"/>
          </w:tcPr>
          <w:p>
            <w:pPr>
              <w:jc w:val="center"/>
              <w:ind w:left="426"/>
              <w:spacing w:after="0" w:line="122" w:lineRule="exact"/>
              <w:rPr>
                <w:sz w:val="20"/>
                <w:szCs w:val="20"/>
                <w:color w:val="auto"/>
              </w:rPr>
            </w:pPr>
            <w:r>
              <w:rPr>
                <w:rFonts w:ascii="Arial" w:cs="Arial" w:eastAsia="Arial" w:hAnsi="Arial"/>
                <w:sz w:val="11"/>
                <w:szCs w:val="11"/>
                <w:color w:val="auto"/>
                <w:w w:val="92"/>
              </w:rPr>
              <w:t>Option</w:t>
            </w:r>
          </w:p>
        </w:tc>
        <w:tc>
          <w:tcPr>
            <w:tcW w:w="300" w:type="dxa"/>
            <w:vAlign w:val="bottom"/>
          </w:tcPr>
          <w:p>
            <w:pPr>
              <w:spacing w:after="0"/>
              <w:rPr>
                <w:sz w:val="10"/>
                <w:szCs w:val="10"/>
                <w:color w:val="auto"/>
              </w:rPr>
            </w:pPr>
          </w:p>
        </w:tc>
        <w:tc>
          <w:tcPr>
            <w:tcW w:w="108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86"/>
              </w:rPr>
              <w:t>of</w:t>
            </w:r>
          </w:p>
        </w:tc>
        <w:tc>
          <w:tcPr>
            <w:tcW w:w="1700" w:type="dxa"/>
            <w:vAlign w:val="bottom"/>
          </w:tcPr>
          <w:p>
            <w:pPr>
              <w:jc w:val="center"/>
              <w:ind w:left="386"/>
              <w:spacing w:after="0" w:line="122" w:lineRule="exact"/>
              <w:rPr>
                <w:sz w:val="20"/>
                <w:szCs w:val="20"/>
                <w:color w:val="auto"/>
              </w:rPr>
            </w:pPr>
            <w:r>
              <w:rPr>
                <w:rFonts w:ascii="Arial" w:cs="Arial" w:eastAsia="Arial" w:hAnsi="Arial"/>
                <w:sz w:val="11"/>
                <w:szCs w:val="11"/>
                <w:color w:val="auto"/>
                <w:w w:val="92"/>
              </w:rPr>
              <w:t>Option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Shares</w:t>
            </w:r>
          </w:p>
        </w:tc>
        <w:tc>
          <w:tcPr>
            <w:tcW w:w="1840" w:type="dxa"/>
            <w:vAlign w:val="bottom"/>
            <w:tcBorders>
              <w:bottom w:val="single" w:sz="8" w:color="auto"/>
            </w:tcBorders>
          </w:tcPr>
          <w:p>
            <w:pPr>
              <w:jc w:val="center"/>
              <w:ind w:left="506"/>
              <w:spacing w:after="0"/>
              <w:rPr>
                <w:sz w:val="20"/>
                <w:szCs w:val="20"/>
                <w:color w:val="auto"/>
              </w:rPr>
            </w:pPr>
            <w:r>
              <w:rPr>
                <w:rFonts w:ascii="Arial" w:cs="Arial" w:eastAsia="Arial" w:hAnsi="Arial"/>
                <w:sz w:val="11"/>
                <w:szCs w:val="11"/>
                <w:b w:val="1"/>
                <w:bCs w:val="1"/>
                <w:color w:val="auto"/>
                <w:w w:val="89"/>
              </w:rPr>
              <w:t>Price</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left="146"/>
              <w:spacing w:after="0"/>
              <w:rPr>
                <w:sz w:val="20"/>
                <w:szCs w:val="20"/>
                <w:color w:val="auto"/>
              </w:rPr>
            </w:pPr>
            <w:r>
              <w:rPr>
                <w:rFonts w:ascii="Arial" w:cs="Arial" w:eastAsia="Arial" w:hAnsi="Arial"/>
                <w:sz w:val="11"/>
                <w:szCs w:val="11"/>
                <w:color w:val="auto"/>
                <w:w w:val="85"/>
              </w:rPr>
              <w:t>Shares</w:t>
            </w:r>
          </w:p>
        </w:tc>
        <w:tc>
          <w:tcPr>
            <w:tcW w:w="1620" w:type="dxa"/>
            <w:vAlign w:val="bottom"/>
            <w:tcBorders>
              <w:bottom w:val="single" w:sz="8" w:color="auto"/>
            </w:tcBorders>
          </w:tcPr>
          <w:p>
            <w:pPr>
              <w:jc w:val="center"/>
              <w:ind w:left="426"/>
              <w:spacing w:after="0"/>
              <w:rPr>
                <w:sz w:val="20"/>
                <w:szCs w:val="20"/>
                <w:color w:val="auto"/>
              </w:rPr>
            </w:pPr>
            <w:r>
              <w:rPr>
                <w:rFonts w:ascii="Arial" w:cs="Arial" w:eastAsia="Arial" w:hAnsi="Arial"/>
                <w:sz w:val="11"/>
                <w:szCs w:val="11"/>
                <w:color w:val="auto"/>
                <w:w w:val="87"/>
              </w:rPr>
              <w:t>Price</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left="106"/>
              <w:spacing w:after="0"/>
              <w:rPr>
                <w:sz w:val="20"/>
                <w:szCs w:val="20"/>
                <w:color w:val="auto"/>
              </w:rPr>
            </w:pPr>
            <w:r>
              <w:rPr>
                <w:rFonts w:ascii="Arial" w:cs="Arial" w:eastAsia="Arial" w:hAnsi="Arial"/>
                <w:sz w:val="11"/>
                <w:szCs w:val="11"/>
                <w:color w:val="auto"/>
                <w:w w:val="80"/>
              </w:rPr>
              <w:t>Shares</w:t>
            </w:r>
          </w:p>
        </w:tc>
        <w:tc>
          <w:tcPr>
            <w:tcW w:w="1700" w:type="dxa"/>
            <w:vAlign w:val="bottom"/>
            <w:tcBorders>
              <w:bottom w:val="single" w:sz="8" w:color="auto"/>
            </w:tcBorders>
          </w:tcPr>
          <w:p>
            <w:pPr>
              <w:jc w:val="center"/>
              <w:ind w:left="386"/>
              <w:spacing w:after="0"/>
              <w:rPr>
                <w:sz w:val="20"/>
                <w:szCs w:val="20"/>
                <w:color w:val="auto"/>
              </w:rPr>
            </w:pPr>
            <w:r>
              <w:rPr>
                <w:rFonts w:ascii="Arial" w:cs="Arial" w:eastAsia="Arial" w:hAnsi="Arial"/>
                <w:sz w:val="11"/>
                <w:szCs w:val="11"/>
                <w:color w:val="auto"/>
                <w:w w:val="87"/>
              </w:rPr>
              <w:t>Price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Beginning of year</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152,475</w:t>
            </w:r>
          </w:p>
        </w:tc>
        <w:tc>
          <w:tcPr>
            <w:tcW w:w="184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b w:val="1"/>
                <w:bCs w:val="1"/>
                <w:color w:val="auto"/>
              </w:rPr>
              <w:t>$530.81</w:t>
            </w:r>
          </w:p>
        </w:tc>
        <w:tc>
          <w:tcPr>
            <w:tcW w:w="1360" w:type="dxa"/>
            <w:vAlign w:val="bottom"/>
            <w:gridSpan w:val="2"/>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163,900</w:t>
            </w:r>
          </w:p>
        </w:tc>
        <w:tc>
          <w:tcPr>
            <w:tcW w:w="16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$515.74</w:t>
            </w:r>
          </w:p>
        </w:tc>
        <w:tc>
          <w:tcPr>
            <w:tcW w:w="1380" w:type="dxa"/>
            <w:vAlign w:val="bottom"/>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170,575</w:t>
            </w:r>
          </w:p>
        </w:tc>
        <w:tc>
          <w:tcPr>
            <w:tcW w:w="170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$490.86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ind w:left="280"/>
              <w:spacing w:after="0" w:line="122" w:lineRule="exact"/>
              <w:rPr>
                <w:sz w:val="20"/>
                <w:szCs w:val="20"/>
                <w:color w:val="auto"/>
              </w:rPr>
            </w:pPr>
            <w:r>
              <w:rPr>
                <w:rFonts w:ascii="Arial" w:cs="Arial" w:eastAsia="Arial" w:hAnsi="Arial"/>
                <w:sz w:val="11"/>
                <w:szCs w:val="11"/>
                <w:color w:val="auto"/>
              </w:rPr>
              <w:t>Granted</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4,000</w:t>
            </w:r>
          </w:p>
        </w:tc>
        <w:tc>
          <w:tcPr>
            <w:tcW w:w="1840" w:type="dxa"/>
            <w:vAlign w:val="bottom"/>
          </w:tcPr>
          <w:p>
            <w:pPr>
              <w:jc w:val="right"/>
              <w:ind w:right="426"/>
              <w:spacing w:after="0" w:line="122" w:lineRule="exact"/>
              <w:rPr>
                <w:sz w:val="20"/>
                <w:szCs w:val="20"/>
                <w:color w:val="auto"/>
              </w:rPr>
            </w:pPr>
            <w:r>
              <w:rPr>
                <w:rFonts w:ascii="Arial" w:cs="Arial" w:eastAsia="Arial" w:hAnsi="Arial"/>
                <w:sz w:val="11"/>
                <w:szCs w:val="11"/>
                <w:b w:val="1"/>
                <w:bCs w:val="1"/>
                <w:color w:val="auto"/>
              </w:rPr>
              <w:t>953.50</w:t>
            </w:r>
          </w:p>
        </w:tc>
        <w:tc>
          <w:tcPr>
            <w:tcW w:w="1360" w:type="dxa"/>
            <w:vAlign w:val="bottom"/>
            <w:gridSpan w:val="2"/>
          </w:tcPr>
          <w:p>
            <w:pPr>
              <w:jc w:val="right"/>
              <w:ind w:right="146"/>
              <w:spacing w:after="0" w:line="122" w:lineRule="exact"/>
              <w:rPr>
                <w:sz w:val="20"/>
                <w:szCs w:val="20"/>
                <w:color w:val="auto"/>
              </w:rPr>
            </w:pPr>
            <w:r>
              <w:rPr>
                <w:rFonts w:ascii="Arial" w:cs="Arial" w:eastAsia="Arial" w:hAnsi="Arial"/>
                <w:sz w:val="11"/>
                <w:szCs w:val="11"/>
                <w:color w:val="auto"/>
              </w:rPr>
              <w:t>5,000</w:t>
            </w:r>
          </w:p>
        </w:tc>
        <w:tc>
          <w:tcPr>
            <w:tcW w:w="16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803.70</w:t>
            </w:r>
          </w:p>
        </w:tc>
        <w:tc>
          <w:tcPr>
            <w:tcW w:w="138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11,500</w:t>
            </w:r>
          </w:p>
        </w:tc>
        <w:tc>
          <w:tcPr>
            <w:tcW w:w="170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729.00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Exercised</w:t>
            </w:r>
          </w:p>
        </w:tc>
        <w:tc>
          <w:tcPr>
            <w:tcW w:w="122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b w:val="1"/>
                <w:bCs w:val="1"/>
                <w:color w:val="auto"/>
              </w:rPr>
              <w:t>(33,225)</w:t>
            </w:r>
          </w:p>
        </w:tc>
        <w:tc>
          <w:tcPr>
            <w:tcW w:w="184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b w:val="1"/>
                <w:bCs w:val="1"/>
                <w:color w:val="auto"/>
              </w:rPr>
              <w:t>467.68</w:t>
            </w:r>
          </w:p>
        </w:tc>
        <w:tc>
          <w:tcPr>
            <w:tcW w:w="1360" w:type="dxa"/>
            <w:vAlign w:val="bottom"/>
            <w:gridSpan w:val="2"/>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(15,675)</w:t>
            </w:r>
          </w:p>
        </w:tc>
        <w:tc>
          <w:tcPr>
            <w:tcW w:w="16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450.87</w:t>
            </w:r>
          </w:p>
        </w:tc>
        <w:tc>
          <w:tcPr>
            <w:tcW w:w="1380" w:type="dxa"/>
            <w:vAlign w:val="bottom"/>
            <w:gridSpan w:val="2"/>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(16,675)</w:t>
            </w:r>
          </w:p>
        </w:tc>
        <w:tc>
          <w:tcPr>
            <w:tcW w:w="170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404.14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ind w:left="280"/>
              <w:spacing w:after="0" w:line="122" w:lineRule="exact"/>
              <w:rPr>
                <w:sz w:val="20"/>
                <w:szCs w:val="20"/>
                <w:color w:val="auto"/>
              </w:rPr>
            </w:pPr>
            <w:r>
              <w:rPr>
                <w:rFonts w:ascii="Arial" w:cs="Arial" w:eastAsia="Arial" w:hAnsi="Arial"/>
                <w:sz w:val="11"/>
                <w:szCs w:val="11"/>
                <w:color w:val="auto"/>
              </w:rPr>
              <w:t>Forfeited</w:t>
            </w:r>
          </w:p>
        </w:tc>
        <w:tc>
          <w:tcPr>
            <w:tcW w:w="1220" w:type="dxa"/>
            <w:vAlign w:val="bottom"/>
            <w:tcBorders>
              <w:bottom w:val="single" w:sz="8" w:color="auto"/>
            </w:tcBorders>
          </w:tcPr>
          <w:p>
            <w:pPr>
              <w:jc w:val="right"/>
              <w:ind w:right="146"/>
              <w:spacing w:after="0" w:line="122" w:lineRule="exact"/>
              <w:rPr>
                <w:sz w:val="20"/>
                <w:szCs w:val="20"/>
                <w:color w:val="auto"/>
              </w:rPr>
            </w:pPr>
            <w:r>
              <w:rPr>
                <w:rFonts w:ascii="Arial" w:cs="Arial" w:eastAsia="Arial" w:hAnsi="Arial"/>
                <w:sz w:val="11"/>
                <w:szCs w:val="11"/>
                <w:b w:val="1"/>
                <w:bCs w:val="1"/>
                <w:color w:val="auto"/>
              </w:rPr>
              <w:t>(1,000)</w:t>
            </w:r>
          </w:p>
        </w:tc>
        <w:tc>
          <w:tcPr>
            <w:tcW w:w="1840" w:type="dxa"/>
            <w:vAlign w:val="bottom"/>
            <w:tcBorders>
              <w:bottom w:val="single" w:sz="8" w:color="auto"/>
            </w:tcBorders>
          </w:tcPr>
          <w:p>
            <w:pPr>
              <w:jc w:val="right"/>
              <w:ind w:right="426"/>
              <w:spacing w:after="0" w:line="122" w:lineRule="exact"/>
              <w:rPr>
                <w:sz w:val="20"/>
                <w:szCs w:val="20"/>
                <w:color w:val="auto"/>
              </w:rPr>
            </w:pPr>
            <w:r>
              <w:rPr>
                <w:rFonts w:ascii="Arial" w:cs="Arial" w:eastAsia="Arial" w:hAnsi="Arial"/>
                <w:sz w:val="11"/>
                <w:szCs w:val="11"/>
                <w:b w:val="1"/>
                <w:bCs w:val="1"/>
                <w:color w:val="auto"/>
              </w:rPr>
              <w:t>621.38</w:t>
            </w:r>
          </w:p>
        </w:tc>
        <w:tc>
          <w:tcPr>
            <w:tcW w:w="1360" w:type="dxa"/>
            <w:vAlign w:val="bottom"/>
            <w:tcBorders>
              <w:bottom w:val="single" w:sz="8" w:color="auto"/>
            </w:tcBorders>
            <w:gridSpan w:val="2"/>
          </w:tcPr>
          <w:p>
            <w:pPr>
              <w:jc w:val="right"/>
              <w:ind w:right="106"/>
              <w:spacing w:after="0" w:line="122" w:lineRule="exact"/>
              <w:rPr>
                <w:sz w:val="20"/>
                <w:szCs w:val="20"/>
                <w:color w:val="auto"/>
              </w:rPr>
            </w:pPr>
            <w:r>
              <w:rPr>
                <w:rFonts w:ascii="Arial" w:cs="Arial" w:eastAsia="Arial" w:hAnsi="Arial"/>
                <w:sz w:val="11"/>
                <w:szCs w:val="11"/>
                <w:color w:val="auto"/>
              </w:rPr>
              <w:t>(750)</w:t>
            </w:r>
          </w:p>
        </w:tc>
        <w:tc>
          <w:tcPr>
            <w:tcW w:w="1620" w:type="dxa"/>
            <w:vAlign w:val="bottom"/>
            <w:tcBorders>
              <w:bottom w:val="single" w:sz="8" w:color="auto"/>
            </w:tcBorders>
          </w:tcPr>
          <w:p>
            <w:pPr>
              <w:jc w:val="right"/>
              <w:ind w:right="346"/>
              <w:spacing w:after="0" w:line="122" w:lineRule="exact"/>
              <w:rPr>
                <w:sz w:val="20"/>
                <w:szCs w:val="20"/>
                <w:color w:val="auto"/>
              </w:rPr>
            </w:pPr>
            <w:r>
              <w:rPr>
                <w:rFonts w:ascii="Arial" w:cs="Arial" w:eastAsia="Arial" w:hAnsi="Arial"/>
                <w:sz w:val="11"/>
                <w:szCs w:val="11"/>
                <w:color w:val="auto"/>
              </w:rPr>
              <w:t>729.00</w:t>
            </w:r>
          </w:p>
        </w:tc>
        <w:tc>
          <w:tcPr>
            <w:tcW w:w="1380" w:type="dxa"/>
            <w:vAlign w:val="bottom"/>
            <w:tcBorders>
              <w:bottom w:val="single" w:sz="8" w:color="auto"/>
            </w:tcBorders>
            <w:gridSpan w:val="2"/>
          </w:tcPr>
          <w:p>
            <w:pPr>
              <w:jc w:val="right"/>
              <w:ind w:right="146"/>
              <w:spacing w:after="0" w:line="122" w:lineRule="exact"/>
              <w:rPr>
                <w:sz w:val="20"/>
                <w:szCs w:val="20"/>
                <w:color w:val="auto"/>
              </w:rPr>
            </w:pPr>
            <w:r>
              <w:rPr>
                <w:rFonts w:ascii="Arial" w:cs="Arial" w:eastAsia="Arial" w:hAnsi="Arial"/>
                <w:sz w:val="11"/>
                <w:szCs w:val="11"/>
                <w:color w:val="auto"/>
              </w:rPr>
              <w:t>(1,500)</w:t>
            </w:r>
          </w:p>
        </w:tc>
        <w:tc>
          <w:tcPr>
            <w:tcW w:w="1700" w:type="dxa"/>
            <w:vAlign w:val="bottom"/>
            <w:tcBorders>
              <w:bottom w:val="single" w:sz="8" w:color="auto"/>
            </w:tcBorders>
          </w:tcPr>
          <w:p>
            <w:pPr>
              <w:jc w:val="right"/>
              <w:ind w:right="346"/>
              <w:spacing w:after="0" w:line="122" w:lineRule="exact"/>
              <w:rPr>
                <w:sz w:val="20"/>
                <w:szCs w:val="20"/>
                <w:color w:val="auto"/>
              </w:rPr>
            </w:pPr>
            <w:r>
              <w:rPr>
                <w:rFonts w:ascii="Arial" w:cs="Arial" w:eastAsia="Arial" w:hAnsi="Arial"/>
                <w:sz w:val="11"/>
                <w:szCs w:val="11"/>
                <w:color w:val="auto"/>
              </w:rPr>
              <w:t>561.77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220" w:type="dxa"/>
            <w:vAlign w:val="bottom"/>
            <w:tcBorders>
              <w:bottom w:val="single" w:sz="8" w:color="auto"/>
            </w:tcBorders>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122,250</w:t>
            </w:r>
          </w:p>
        </w:tc>
        <w:tc>
          <w:tcPr>
            <w:tcW w:w="1840" w:type="dxa"/>
            <w:vAlign w:val="bottom"/>
            <w:tcBorders>
              <w:bottom w:val="single" w:sz="8" w:color="auto"/>
            </w:tcBorders>
            <w:shd w:val="clear" w:color="auto" w:fill="CCEEFF"/>
          </w:tcPr>
          <w:p>
            <w:pPr>
              <w:jc w:val="right"/>
              <w:ind w:right="426"/>
              <w:spacing w:after="0" w:line="122" w:lineRule="exact"/>
              <w:rPr>
                <w:sz w:val="20"/>
                <w:szCs w:val="20"/>
                <w:color w:val="auto"/>
              </w:rPr>
            </w:pPr>
            <w:r>
              <w:rPr>
                <w:rFonts w:ascii="Arial" w:cs="Arial" w:eastAsia="Arial" w:hAnsi="Arial"/>
                <w:sz w:val="11"/>
                <w:szCs w:val="11"/>
                <w:b w:val="1"/>
                <w:bCs w:val="1"/>
                <w:color w:val="auto"/>
              </w:rPr>
              <w:t>$561.05</w:t>
            </w:r>
          </w:p>
        </w:tc>
        <w:tc>
          <w:tcPr>
            <w:tcW w:w="1360" w:type="dxa"/>
            <w:vAlign w:val="bottom"/>
            <w:tcBorders>
              <w:bottom w:val="single" w:sz="8" w:color="auto"/>
            </w:tcBorders>
            <w:gridSpan w:val="2"/>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152,475</w:t>
            </w:r>
          </w:p>
        </w:tc>
        <w:tc>
          <w:tcPr>
            <w:tcW w:w="1620" w:type="dxa"/>
            <w:vAlign w:val="bottom"/>
            <w:tcBorders>
              <w:bottom w:val="single" w:sz="8" w:color="auto"/>
            </w:tcBorders>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$530.81</w:t>
            </w:r>
          </w:p>
        </w:tc>
        <w:tc>
          <w:tcPr>
            <w:tcW w:w="1380" w:type="dxa"/>
            <w:vAlign w:val="bottom"/>
            <w:tcBorders>
              <w:bottom w:val="single" w:sz="8" w:color="auto"/>
            </w:tcBorders>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163,900</w:t>
            </w:r>
          </w:p>
        </w:tc>
        <w:tc>
          <w:tcPr>
            <w:tcW w:w="1700" w:type="dxa"/>
            <w:vAlign w:val="bottom"/>
            <w:tcBorders>
              <w:bottom w:val="single" w:sz="8" w:color="auto"/>
            </w:tcBorders>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$515.74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color w:val="auto"/>
        </w:rPr>
        <w:t>Of the shares covered by options outstanding at the end of 2004, 103,750 are now exercisable, 10,500 will become exercisable in 2005, 4,750 will become exercisable in 2006, 2,250 will become exercisable in 2007, and 1,000 will become exercisable in 2008. Information related to stock options outstanding at January 2, 2005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11"/>
                <w:szCs w:val="11"/>
                <w:color w:val="auto"/>
                <w:w w:val="85"/>
              </w:rPr>
              <w:t>Weighted</w:t>
            </w: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22"/>
        </w:trPr>
        <w:tc>
          <w:tcPr>
            <w:tcW w:w="24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2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1700" w:type="dxa"/>
            <w:vAlign w:val="bottom"/>
          </w:tcPr>
          <w:p>
            <w:pPr>
              <w:jc w:val="center"/>
              <w:spacing w:after="0" w:line="122" w:lineRule="exact"/>
              <w:rPr>
                <w:sz w:val="20"/>
                <w:szCs w:val="20"/>
                <w:color w:val="auto"/>
              </w:rPr>
            </w:pPr>
            <w:r>
              <w:rPr>
                <w:rFonts w:ascii="Arial" w:cs="Arial" w:eastAsia="Arial" w:hAnsi="Arial"/>
                <w:sz w:val="11"/>
                <w:szCs w:val="11"/>
                <w:color w:val="auto"/>
                <w:w w:val="90"/>
              </w:rPr>
              <w:t>Weighted</w:t>
            </w:r>
          </w:p>
        </w:tc>
        <w:tc>
          <w:tcPr>
            <w:tcW w:w="1840" w:type="dxa"/>
            <w:vAlign w:val="bottom"/>
          </w:tcPr>
          <w:p>
            <w:pPr>
              <w:spacing w:after="0"/>
              <w:rPr>
                <w:sz w:val="10"/>
                <w:szCs w:val="10"/>
                <w:color w:val="auto"/>
              </w:rPr>
            </w:pPr>
          </w:p>
        </w:tc>
        <w:tc>
          <w:tcPr>
            <w:tcW w:w="156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0"/>
              </w:rPr>
              <w:t>Weighted</w:t>
            </w:r>
          </w:p>
        </w:tc>
      </w:tr>
      <w:tr>
        <w:trPr>
          <w:trHeight w:val="122"/>
        </w:trPr>
        <w:tc>
          <w:tcPr>
            <w:tcW w:w="2420" w:type="dxa"/>
            <w:vAlign w:val="bottom"/>
          </w:tcPr>
          <w:p>
            <w:pPr>
              <w:spacing w:after="0"/>
              <w:rPr>
                <w:sz w:val="10"/>
                <w:szCs w:val="10"/>
                <w:color w:val="auto"/>
              </w:rPr>
            </w:pPr>
          </w:p>
        </w:tc>
        <w:tc>
          <w:tcPr>
            <w:tcW w:w="208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91"/>
              </w:rPr>
              <w:t>Number</w:t>
            </w:r>
          </w:p>
        </w:tc>
        <w:tc>
          <w:tcPr>
            <w:tcW w:w="1820" w:type="dxa"/>
            <w:vAlign w:val="bottom"/>
          </w:tcPr>
          <w:p>
            <w:pPr>
              <w:jc w:val="center"/>
              <w:spacing w:after="0" w:line="122" w:lineRule="exact"/>
              <w:rPr>
                <w:sz w:val="20"/>
                <w:szCs w:val="20"/>
                <w:color w:val="auto"/>
              </w:rPr>
            </w:pPr>
            <w:r>
              <w:rPr>
                <w:rFonts w:ascii="Arial" w:cs="Arial" w:eastAsia="Arial" w:hAnsi="Arial"/>
                <w:sz w:val="11"/>
                <w:szCs w:val="11"/>
                <w:color w:val="auto"/>
                <w:w w:val="91"/>
              </w:rPr>
              <w:t>Remaining</w:t>
            </w:r>
          </w:p>
        </w:tc>
        <w:tc>
          <w:tcPr>
            <w:tcW w:w="170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1840" w:type="dxa"/>
            <w:vAlign w:val="bottom"/>
          </w:tcPr>
          <w:p>
            <w:pPr>
              <w:jc w:val="center"/>
              <w:spacing w:after="0" w:line="122" w:lineRule="exact"/>
              <w:rPr>
                <w:sz w:val="20"/>
                <w:szCs w:val="20"/>
                <w:color w:val="auto"/>
              </w:rPr>
            </w:pPr>
            <w:r>
              <w:rPr>
                <w:rFonts w:ascii="Arial" w:cs="Arial" w:eastAsia="Arial" w:hAnsi="Arial"/>
                <w:sz w:val="11"/>
                <w:szCs w:val="11"/>
                <w:color w:val="auto"/>
                <w:w w:val="86"/>
              </w:rPr>
              <w:t>Number</w:t>
            </w:r>
          </w:p>
        </w:tc>
        <w:tc>
          <w:tcPr>
            <w:tcW w:w="156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87"/>
              </w:rPr>
              <w:t>Average</w:t>
            </w:r>
          </w:p>
        </w:tc>
      </w:tr>
      <w:tr>
        <w:trPr>
          <w:trHeight w:val="122"/>
        </w:trPr>
        <w:tc>
          <w:tcPr>
            <w:tcW w:w="2420" w:type="dxa"/>
            <w:vAlign w:val="bottom"/>
          </w:tcPr>
          <w:p>
            <w:pPr>
              <w:jc w:val="right"/>
              <w:ind w:right="946"/>
              <w:spacing w:after="0" w:line="122" w:lineRule="exact"/>
              <w:rPr>
                <w:sz w:val="20"/>
                <w:szCs w:val="20"/>
                <w:color w:val="auto"/>
              </w:rPr>
            </w:pPr>
            <w:r>
              <w:rPr>
                <w:rFonts w:ascii="Arial" w:cs="Arial" w:eastAsia="Arial" w:hAnsi="Arial"/>
                <w:sz w:val="11"/>
                <w:szCs w:val="11"/>
                <w:color w:val="auto"/>
              </w:rPr>
              <w:t>Range of</w:t>
            </w:r>
          </w:p>
        </w:tc>
        <w:tc>
          <w:tcPr>
            <w:tcW w:w="208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87"/>
              </w:rPr>
              <w:t>Outstanding</w:t>
            </w:r>
          </w:p>
        </w:tc>
        <w:tc>
          <w:tcPr>
            <w:tcW w:w="182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1700" w:type="dxa"/>
            <w:vAlign w:val="bottom"/>
          </w:tcPr>
          <w:p>
            <w:pPr>
              <w:jc w:val="center"/>
              <w:spacing w:after="0" w:line="122" w:lineRule="exact"/>
              <w:rPr>
                <w:sz w:val="20"/>
                <w:szCs w:val="20"/>
                <w:color w:val="auto"/>
              </w:rPr>
            </w:pPr>
            <w:r>
              <w:rPr>
                <w:rFonts w:ascii="Arial" w:cs="Arial" w:eastAsia="Arial" w:hAnsi="Arial"/>
                <w:sz w:val="11"/>
                <w:szCs w:val="11"/>
                <w:color w:val="auto"/>
                <w:w w:val="89"/>
              </w:rPr>
              <w:t>Exercise</w:t>
            </w:r>
          </w:p>
        </w:tc>
        <w:tc>
          <w:tcPr>
            <w:tcW w:w="1840" w:type="dxa"/>
            <w:vAlign w:val="bottom"/>
          </w:tcPr>
          <w:p>
            <w:pPr>
              <w:jc w:val="center"/>
              <w:spacing w:after="0" w:line="122" w:lineRule="exact"/>
              <w:rPr>
                <w:sz w:val="20"/>
                <w:szCs w:val="20"/>
                <w:color w:val="auto"/>
              </w:rPr>
            </w:pPr>
            <w:r>
              <w:rPr>
                <w:rFonts w:ascii="Arial" w:cs="Arial" w:eastAsia="Arial" w:hAnsi="Arial"/>
                <w:sz w:val="11"/>
                <w:szCs w:val="11"/>
                <w:color w:val="auto"/>
                <w:w w:val="87"/>
              </w:rPr>
              <w:t>Exercisable</w:t>
            </w:r>
          </w:p>
        </w:tc>
        <w:tc>
          <w:tcPr>
            <w:tcW w:w="156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89"/>
              </w:rPr>
              <w:t>Exercise</w:t>
            </w:r>
          </w:p>
        </w:tc>
      </w:tr>
      <w:tr>
        <w:trPr>
          <w:trHeight w:val="138"/>
        </w:trPr>
        <w:tc>
          <w:tcPr>
            <w:tcW w:w="242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color w:val="auto"/>
              </w:rPr>
              <w:t>Exercise Prices</w:t>
            </w:r>
          </w:p>
        </w:tc>
        <w:tc>
          <w:tcPr>
            <w:tcW w:w="2080" w:type="dxa"/>
            <w:vAlign w:val="bottom"/>
            <w:tcBorders>
              <w:bottom w:val="single" w:sz="8" w:color="auto"/>
            </w:tcBorders>
          </w:tcPr>
          <w:p>
            <w:pPr>
              <w:jc w:val="center"/>
              <w:ind w:left="146"/>
              <w:spacing w:after="0"/>
              <w:rPr>
                <w:sz w:val="20"/>
                <w:szCs w:val="20"/>
                <w:color w:val="auto"/>
              </w:rPr>
            </w:pPr>
            <w:r>
              <w:rPr>
                <w:rFonts w:ascii="Arial" w:cs="Arial" w:eastAsia="Arial" w:hAnsi="Arial"/>
                <w:sz w:val="11"/>
                <w:szCs w:val="11"/>
                <w:color w:val="auto"/>
                <w:w w:val="87"/>
              </w:rPr>
              <w:t>at 1/2/2005</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Life (yrs.)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7"/>
              </w:rPr>
              <w:t>Price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at 1/2/2005</w:t>
            </w:r>
          </w:p>
        </w:tc>
        <w:tc>
          <w:tcPr>
            <w:tcW w:w="156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color w:val="auto"/>
                <w:w w:val="87"/>
              </w:rPr>
              <w:t>Price</w:t>
            </w:r>
          </w:p>
        </w:tc>
      </w:tr>
      <w:tr>
        <w:trPr>
          <w:trHeight w:val="122"/>
        </w:trPr>
        <w:tc>
          <w:tcPr>
            <w:tcW w:w="2420" w:type="dxa"/>
            <w:vAlign w:val="bottom"/>
            <w:shd w:val="clear" w:color="auto" w:fill="CCEEFF"/>
          </w:tcPr>
          <w:p>
            <w:pPr>
              <w:jc w:val="right"/>
              <w:ind w:right="926"/>
              <w:spacing w:after="0" w:line="122" w:lineRule="exact"/>
              <w:rPr>
                <w:sz w:val="20"/>
                <w:szCs w:val="20"/>
                <w:color w:val="auto"/>
              </w:rPr>
            </w:pPr>
            <w:r>
              <w:rPr>
                <w:rFonts w:ascii="Arial" w:cs="Arial" w:eastAsia="Arial" w:hAnsi="Arial"/>
                <w:sz w:val="11"/>
                <w:szCs w:val="11"/>
                <w:color w:val="auto"/>
              </w:rPr>
              <w:t>$222–299</w:t>
            </w:r>
          </w:p>
        </w:tc>
        <w:tc>
          <w:tcPr>
            <w:tcW w:w="208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500</w:t>
            </w:r>
          </w:p>
        </w:tc>
        <w:tc>
          <w:tcPr>
            <w:tcW w:w="182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1.0</w:t>
            </w:r>
          </w:p>
        </w:tc>
        <w:tc>
          <w:tcPr>
            <w:tcW w:w="170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$298.75</w:t>
            </w:r>
          </w:p>
        </w:tc>
        <w:tc>
          <w:tcPr>
            <w:tcW w:w="1840" w:type="dxa"/>
            <w:vAlign w:val="bottom"/>
            <w:shd w:val="clear" w:color="auto" w:fill="CCEEFF"/>
          </w:tcPr>
          <w:p>
            <w:pPr>
              <w:jc w:val="right"/>
              <w:ind w:right="646"/>
              <w:spacing w:after="0" w:line="122" w:lineRule="exact"/>
              <w:rPr>
                <w:sz w:val="20"/>
                <w:szCs w:val="20"/>
                <w:color w:val="auto"/>
              </w:rPr>
            </w:pPr>
            <w:r>
              <w:rPr>
                <w:rFonts w:ascii="Arial" w:cs="Arial" w:eastAsia="Arial" w:hAnsi="Arial"/>
                <w:sz w:val="11"/>
                <w:szCs w:val="11"/>
                <w:color w:val="auto"/>
              </w:rPr>
              <w:t>500</w:t>
            </w:r>
          </w:p>
        </w:tc>
        <w:tc>
          <w:tcPr>
            <w:tcW w:w="15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$298.75</w:t>
            </w:r>
          </w:p>
        </w:tc>
      </w:tr>
      <w:tr>
        <w:trPr>
          <w:trHeight w:val="122"/>
        </w:trPr>
        <w:tc>
          <w:tcPr>
            <w:tcW w:w="242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344</w:t>
            </w:r>
          </w:p>
        </w:tc>
        <w:tc>
          <w:tcPr>
            <w:tcW w:w="208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5,000</w:t>
            </w:r>
          </w:p>
        </w:tc>
        <w:tc>
          <w:tcPr>
            <w:tcW w:w="182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2.0</w:t>
            </w:r>
          </w:p>
        </w:tc>
        <w:tc>
          <w:tcPr>
            <w:tcW w:w="170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343.94</w:t>
            </w:r>
          </w:p>
        </w:tc>
        <w:tc>
          <w:tcPr>
            <w:tcW w:w="1840" w:type="dxa"/>
            <w:vAlign w:val="bottom"/>
          </w:tcPr>
          <w:p>
            <w:pPr>
              <w:jc w:val="right"/>
              <w:ind w:right="646"/>
              <w:spacing w:after="0" w:line="122" w:lineRule="exact"/>
              <w:rPr>
                <w:sz w:val="20"/>
                <w:szCs w:val="20"/>
                <w:color w:val="auto"/>
              </w:rPr>
            </w:pPr>
            <w:r>
              <w:rPr>
                <w:rFonts w:ascii="Arial" w:cs="Arial" w:eastAsia="Arial" w:hAnsi="Arial"/>
                <w:sz w:val="11"/>
                <w:szCs w:val="11"/>
                <w:color w:val="auto"/>
              </w:rPr>
              <w:t>5,000</w:t>
            </w:r>
          </w:p>
        </w:tc>
        <w:tc>
          <w:tcPr>
            <w:tcW w:w="156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343.94</w:t>
            </w:r>
          </w:p>
        </w:tc>
      </w:tr>
      <w:tr>
        <w:trPr>
          <w:trHeight w:val="122"/>
        </w:trPr>
        <w:tc>
          <w:tcPr>
            <w:tcW w:w="2420" w:type="dxa"/>
            <w:vAlign w:val="bottom"/>
            <w:shd w:val="clear" w:color="auto" w:fill="CCEEFF"/>
          </w:tcPr>
          <w:p>
            <w:pPr>
              <w:jc w:val="right"/>
              <w:ind w:right="926"/>
              <w:spacing w:after="0" w:line="122" w:lineRule="exact"/>
              <w:rPr>
                <w:sz w:val="20"/>
                <w:szCs w:val="20"/>
                <w:color w:val="auto"/>
              </w:rPr>
            </w:pPr>
            <w:r>
              <w:rPr>
                <w:rFonts w:ascii="Arial" w:cs="Arial" w:eastAsia="Arial" w:hAnsi="Arial"/>
                <w:sz w:val="11"/>
                <w:szCs w:val="11"/>
                <w:color w:val="auto"/>
              </w:rPr>
              <w:t>472–484</w:t>
            </w:r>
          </w:p>
        </w:tc>
        <w:tc>
          <w:tcPr>
            <w:tcW w:w="208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12,125</w:t>
            </w:r>
          </w:p>
        </w:tc>
        <w:tc>
          <w:tcPr>
            <w:tcW w:w="182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3.7</w:t>
            </w:r>
          </w:p>
        </w:tc>
        <w:tc>
          <w:tcPr>
            <w:tcW w:w="170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473.70</w:t>
            </w:r>
          </w:p>
        </w:tc>
        <w:tc>
          <w:tcPr>
            <w:tcW w:w="1840" w:type="dxa"/>
            <w:vAlign w:val="bottom"/>
            <w:shd w:val="clear" w:color="auto" w:fill="CCEEFF"/>
          </w:tcPr>
          <w:p>
            <w:pPr>
              <w:jc w:val="right"/>
              <w:ind w:right="646"/>
              <w:spacing w:after="0" w:line="122" w:lineRule="exact"/>
              <w:rPr>
                <w:sz w:val="20"/>
                <w:szCs w:val="20"/>
                <w:color w:val="auto"/>
              </w:rPr>
            </w:pPr>
            <w:r>
              <w:rPr>
                <w:rFonts w:ascii="Arial" w:cs="Arial" w:eastAsia="Arial" w:hAnsi="Arial"/>
                <w:sz w:val="11"/>
                <w:szCs w:val="11"/>
                <w:color w:val="auto"/>
              </w:rPr>
              <w:t>12,125</w:t>
            </w:r>
          </w:p>
        </w:tc>
        <w:tc>
          <w:tcPr>
            <w:tcW w:w="15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473.70</w:t>
            </w:r>
          </w:p>
        </w:tc>
      </w:tr>
      <w:tr>
        <w:trPr>
          <w:trHeight w:val="122"/>
        </w:trPr>
        <w:tc>
          <w:tcPr>
            <w:tcW w:w="242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500–596</w:t>
            </w:r>
          </w:p>
        </w:tc>
        <w:tc>
          <w:tcPr>
            <w:tcW w:w="208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85,625</w:t>
            </w:r>
          </w:p>
        </w:tc>
        <w:tc>
          <w:tcPr>
            <w:tcW w:w="182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6.0</w:t>
            </w:r>
          </w:p>
        </w:tc>
        <w:tc>
          <w:tcPr>
            <w:tcW w:w="170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535.51</w:t>
            </w:r>
          </w:p>
        </w:tc>
        <w:tc>
          <w:tcPr>
            <w:tcW w:w="1840" w:type="dxa"/>
            <w:vAlign w:val="bottom"/>
          </w:tcPr>
          <w:p>
            <w:pPr>
              <w:jc w:val="right"/>
              <w:ind w:right="646"/>
              <w:spacing w:after="0" w:line="122" w:lineRule="exact"/>
              <w:rPr>
                <w:sz w:val="20"/>
                <w:szCs w:val="20"/>
                <w:color w:val="auto"/>
              </w:rPr>
            </w:pPr>
            <w:r>
              <w:rPr>
                <w:rFonts w:ascii="Arial" w:cs="Arial" w:eastAsia="Arial" w:hAnsi="Arial"/>
                <w:sz w:val="11"/>
                <w:szCs w:val="11"/>
                <w:color w:val="auto"/>
              </w:rPr>
              <w:t>79,875</w:t>
            </w:r>
          </w:p>
        </w:tc>
        <w:tc>
          <w:tcPr>
            <w:tcW w:w="156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530.99</w:t>
            </w:r>
          </w:p>
        </w:tc>
      </w:tr>
      <w:tr>
        <w:trPr>
          <w:trHeight w:val="122"/>
        </w:trPr>
        <w:tc>
          <w:tcPr>
            <w:tcW w:w="2420" w:type="dxa"/>
            <w:vAlign w:val="bottom"/>
            <w:shd w:val="clear" w:color="auto" w:fill="CCEEFF"/>
          </w:tcPr>
          <w:p>
            <w:pPr>
              <w:jc w:val="right"/>
              <w:ind w:right="926"/>
              <w:spacing w:after="0" w:line="122" w:lineRule="exact"/>
              <w:rPr>
                <w:sz w:val="20"/>
                <w:szCs w:val="20"/>
                <w:color w:val="auto"/>
              </w:rPr>
            </w:pPr>
            <w:r>
              <w:rPr>
                <w:rFonts w:ascii="Arial" w:cs="Arial" w:eastAsia="Arial" w:hAnsi="Arial"/>
                <w:sz w:val="11"/>
                <w:szCs w:val="11"/>
                <w:color w:val="auto"/>
              </w:rPr>
              <w:t>693</w:t>
            </w:r>
          </w:p>
        </w:tc>
        <w:tc>
          <w:tcPr>
            <w:tcW w:w="208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500</w:t>
            </w:r>
          </w:p>
        </w:tc>
        <w:tc>
          <w:tcPr>
            <w:tcW w:w="182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9.0</w:t>
            </w:r>
          </w:p>
        </w:tc>
        <w:tc>
          <w:tcPr>
            <w:tcW w:w="170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692.51</w:t>
            </w:r>
          </w:p>
        </w:tc>
        <w:tc>
          <w:tcPr>
            <w:tcW w:w="1840" w:type="dxa"/>
            <w:vAlign w:val="bottom"/>
            <w:shd w:val="clear" w:color="auto" w:fill="CCEEFF"/>
          </w:tcPr>
          <w:p>
            <w:pPr>
              <w:jc w:val="right"/>
              <w:ind w:right="646"/>
              <w:spacing w:after="0" w:line="122" w:lineRule="exact"/>
              <w:rPr>
                <w:sz w:val="20"/>
                <w:szCs w:val="20"/>
                <w:color w:val="auto"/>
              </w:rPr>
            </w:pPr>
            <w:r>
              <w:rPr>
                <w:rFonts w:ascii="Arial" w:cs="Arial" w:eastAsia="Arial" w:hAnsi="Arial"/>
                <w:sz w:val="11"/>
                <w:szCs w:val="11"/>
                <w:color w:val="auto"/>
              </w:rPr>
              <w:t>125</w:t>
            </w:r>
          </w:p>
        </w:tc>
        <w:tc>
          <w:tcPr>
            <w:tcW w:w="15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692.51</w:t>
            </w:r>
          </w:p>
        </w:tc>
      </w:tr>
      <w:tr>
        <w:trPr>
          <w:trHeight w:val="122"/>
        </w:trPr>
        <w:tc>
          <w:tcPr>
            <w:tcW w:w="242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729</w:t>
            </w:r>
          </w:p>
        </w:tc>
        <w:tc>
          <w:tcPr>
            <w:tcW w:w="208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10,000</w:t>
            </w:r>
          </w:p>
        </w:tc>
        <w:tc>
          <w:tcPr>
            <w:tcW w:w="182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8.0</w:t>
            </w:r>
          </w:p>
        </w:tc>
        <w:tc>
          <w:tcPr>
            <w:tcW w:w="170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729.00</w:t>
            </w:r>
          </w:p>
        </w:tc>
        <w:tc>
          <w:tcPr>
            <w:tcW w:w="1840" w:type="dxa"/>
            <w:vAlign w:val="bottom"/>
          </w:tcPr>
          <w:p>
            <w:pPr>
              <w:jc w:val="right"/>
              <w:ind w:right="646"/>
              <w:spacing w:after="0" w:line="122" w:lineRule="exact"/>
              <w:rPr>
                <w:sz w:val="20"/>
                <w:szCs w:val="20"/>
                <w:color w:val="auto"/>
              </w:rPr>
            </w:pPr>
            <w:r>
              <w:rPr>
                <w:rFonts w:ascii="Arial" w:cs="Arial" w:eastAsia="Arial" w:hAnsi="Arial"/>
                <w:sz w:val="11"/>
                <w:szCs w:val="11"/>
                <w:color w:val="auto"/>
              </w:rPr>
              <w:t>5,000</w:t>
            </w:r>
          </w:p>
        </w:tc>
        <w:tc>
          <w:tcPr>
            <w:tcW w:w="156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729.00</w:t>
            </w:r>
          </w:p>
        </w:tc>
      </w:tr>
      <w:tr>
        <w:trPr>
          <w:trHeight w:val="122"/>
        </w:trPr>
        <w:tc>
          <w:tcPr>
            <w:tcW w:w="2420" w:type="dxa"/>
            <w:vAlign w:val="bottom"/>
            <w:shd w:val="clear" w:color="auto" w:fill="CCEEFF"/>
          </w:tcPr>
          <w:p>
            <w:pPr>
              <w:jc w:val="right"/>
              <w:ind w:right="926"/>
              <w:spacing w:after="0" w:line="122" w:lineRule="exact"/>
              <w:rPr>
                <w:sz w:val="20"/>
                <w:szCs w:val="20"/>
                <w:color w:val="auto"/>
              </w:rPr>
            </w:pPr>
            <w:r>
              <w:rPr>
                <w:rFonts w:ascii="Arial" w:cs="Arial" w:eastAsia="Arial" w:hAnsi="Arial"/>
                <w:sz w:val="11"/>
                <w:szCs w:val="11"/>
                <w:color w:val="auto"/>
              </w:rPr>
              <w:t>816</w:t>
            </w:r>
          </w:p>
        </w:tc>
        <w:tc>
          <w:tcPr>
            <w:tcW w:w="208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4,500</w:t>
            </w:r>
          </w:p>
        </w:tc>
        <w:tc>
          <w:tcPr>
            <w:tcW w:w="182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9.0</w:t>
            </w:r>
          </w:p>
        </w:tc>
        <w:tc>
          <w:tcPr>
            <w:tcW w:w="170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816.05</w:t>
            </w:r>
          </w:p>
        </w:tc>
        <w:tc>
          <w:tcPr>
            <w:tcW w:w="1840" w:type="dxa"/>
            <w:vAlign w:val="bottom"/>
            <w:shd w:val="clear" w:color="auto" w:fill="CCEEFF"/>
          </w:tcPr>
          <w:p>
            <w:pPr>
              <w:jc w:val="right"/>
              <w:ind w:right="646"/>
              <w:spacing w:after="0" w:line="122" w:lineRule="exact"/>
              <w:rPr>
                <w:sz w:val="20"/>
                <w:szCs w:val="20"/>
                <w:color w:val="auto"/>
              </w:rPr>
            </w:pPr>
            <w:r>
              <w:rPr>
                <w:rFonts w:ascii="Arial" w:cs="Arial" w:eastAsia="Arial" w:hAnsi="Arial"/>
                <w:sz w:val="11"/>
                <w:szCs w:val="11"/>
                <w:color w:val="auto"/>
              </w:rPr>
              <w:t>1,125</w:t>
            </w:r>
          </w:p>
        </w:tc>
        <w:tc>
          <w:tcPr>
            <w:tcW w:w="15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816.05</w:t>
            </w:r>
          </w:p>
        </w:tc>
      </w:tr>
      <w:tr>
        <w:trPr>
          <w:trHeight w:val="136"/>
        </w:trPr>
        <w:tc>
          <w:tcPr>
            <w:tcW w:w="2420" w:type="dxa"/>
            <w:vAlign w:val="bottom"/>
          </w:tcPr>
          <w:p>
            <w:pPr>
              <w:jc w:val="right"/>
              <w:ind w:right="926"/>
              <w:spacing w:after="0"/>
              <w:rPr>
                <w:sz w:val="20"/>
                <w:szCs w:val="20"/>
                <w:color w:val="auto"/>
              </w:rPr>
            </w:pPr>
            <w:r>
              <w:rPr>
                <w:rFonts w:ascii="Arial" w:cs="Arial" w:eastAsia="Arial" w:hAnsi="Arial"/>
                <w:sz w:val="11"/>
                <w:szCs w:val="11"/>
                <w:color w:val="auto"/>
              </w:rPr>
              <w:t>954</w:t>
            </w:r>
          </w:p>
        </w:tc>
        <w:tc>
          <w:tcPr>
            <w:tcW w:w="2080" w:type="dxa"/>
            <w:vAlign w:val="bottom"/>
          </w:tcPr>
          <w:p>
            <w:pPr>
              <w:jc w:val="right"/>
              <w:ind w:right="686"/>
              <w:spacing w:after="0"/>
              <w:rPr>
                <w:sz w:val="20"/>
                <w:szCs w:val="20"/>
                <w:color w:val="auto"/>
              </w:rPr>
            </w:pPr>
            <w:r>
              <w:rPr>
                <w:rFonts w:ascii="Arial" w:cs="Arial" w:eastAsia="Arial" w:hAnsi="Arial"/>
                <w:sz w:val="11"/>
                <w:szCs w:val="11"/>
                <w:color w:val="auto"/>
              </w:rPr>
              <w:t>4,000</w:t>
            </w:r>
          </w:p>
        </w:tc>
        <w:tc>
          <w:tcPr>
            <w:tcW w:w="1820" w:type="dxa"/>
            <w:vAlign w:val="bottom"/>
          </w:tcPr>
          <w:p>
            <w:pPr>
              <w:jc w:val="right"/>
              <w:ind w:right="686"/>
              <w:spacing w:after="0"/>
              <w:rPr>
                <w:sz w:val="20"/>
                <w:szCs w:val="20"/>
                <w:color w:val="auto"/>
              </w:rPr>
            </w:pPr>
            <w:r>
              <w:rPr>
                <w:rFonts w:ascii="Arial" w:cs="Arial" w:eastAsia="Arial" w:hAnsi="Arial"/>
                <w:sz w:val="11"/>
                <w:szCs w:val="11"/>
                <w:color w:val="auto"/>
              </w:rPr>
              <w:t>10.0</w:t>
            </w:r>
          </w:p>
        </w:tc>
        <w:tc>
          <w:tcPr>
            <w:tcW w:w="1700" w:type="dxa"/>
            <w:vAlign w:val="bottom"/>
          </w:tcPr>
          <w:p>
            <w:pPr>
              <w:jc w:val="right"/>
              <w:ind w:right="666"/>
              <w:spacing w:after="0"/>
              <w:rPr>
                <w:sz w:val="20"/>
                <w:szCs w:val="20"/>
                <w:color w:val="auto"/>
              </w:rPr>
            </w:pPr>
            <w:r>
              <w:rPr>
                <w:rFonts w:ascii="Arial" w:cs="Arial" w:eastAsia="Arial" w:hAnsi="Arial"/>
                <w:sz w:val="11"/>
                <w:szCs w:val="11"/>
                <w:color w:val="auto"/>
              </w:rPr>
              <w:t>953.50</w:t>
            </w:r>
          </w:p>
        </w:tc>
        <w:tc>
          <w:tcPr>
            <w:tcW w:w="1840" w:type="dxa"/>
            <w:vAlign w:val="bottom"/>
          </w:tcPr>
          <w:p>
            <w:pPr>
              <w:jc w:val="right"/>
              <w:ind w:right="646"/>
              <w:spacing w:after="0"/>
              <w:rPr>
                <w:sz w:val="20"/>
                <w:szCs w:val="20"/>
                <w:color w:val="auto"/>
              </w:rPr>
            </w:pPr>
            <w:r>
              <w:rPr>
                <w:rFonts w:ascii="Arial" w:cs="Arial" w:eastAsia="Arial" w:hAnsi="Arial"/>
                <w:sz w:val="11"/>
                <w:szCs w:val="11"/>
                <w:color w:val="auto"/>
              </w:rPr>
              <w:t>—</w:t>
            </w:r>
          </w:p>
        </w:tc>
        <w:tc>
          <w:tcPr>
            <w:tcW w:w="1560" w:type="dxa"/>
            <w:vAlign w:val="bottom"/>
          </w:tcPr>
          <w:p>
            <w:pPr>
              <w:jc w:val="right"/>
              <w:ind w:right="466"/>
              <w:spacing w:after="0"/>
              <w:rPr>
                <w:sz w:val="20"/>
                <w:szCs w:val="20"/>
                <w:color w:val="auto"/>
              </w:rPr>
            </w:pPr>
            <w:r>
              <w:rPr>
                <w:rFonts w:ascii="Arial" w:cs="Arial" w:eastAsia="Arial" w:hAnsi="Arial"/>
                <w:sz w:val="11"/>
                <w:szCs w:val="11"/>
                <w:color w:val="auto"/>
              </w:rPr>
              <w:t>—</w:t>
            </w:r>
          </w:p>
        </w:tc>
      </w:tr>
    </w:tbl>
    <w:p>
      <w:pPr>
        <w:spacing w:after="0" w:line="83" w:lineRule="exact"/>
        <w:rPr>
          <w:sz w:val="20"/>
          <w:szCs w:val="20"/>
          <w:color w:val="auto"/>
        </w:rPr>
      </w:pPr>
    </w:p>
    <w:p>
      <w:pPr>
        <w:jc w:val="both"/>
        <w:ind w:right="380"/>
        <w:spacing w:after="0" w:line="278" w:lineRule="auto"/>
        <w:rPr>
          <w:sz w:val="20"/>
          <w:szCs w:val="20"/>
          <w:color w:val="auto"/>
        </w:rPr>
      </w:pPr>
      <w:r>
        <w:rPr>
          <w:rFonts w:ascii="Arial" w:cs="Arial" w:eastAsia="Arial" w:hAnsi="Arial"/>
          <w:sz w:val="16"/>
          <w:szCs w:val="16"/>
          <w:color w:val="auto"/>
        </w:rPr>
        <w:t>All options were granted at an exercise price equal to or greater than the fair market value of the Company’s common stock at the date of grant. The weighted average fair value for options granted during 2004, 2003 and 2002 was $274.93, $229.81, and $197.89, respectively. The fair value of options at date of grant was estimated using the Black-Scholes method utilizing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40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2004</w:t>
            </w: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color w:val="auto"/>
              </w:rPr>
              <w:t>2003</w:t>
            </w: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2002</w:t>
            </w: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life (years)</w:t>
            </w:r>
          </w:p>
        </w:tc>
        <w:tc>
          <w:tcPr>
            <w:tcW w:w="4200" w:type="dxa"/>
            <w:vAlign w:val="bottom"/>
            <w:shd w:val="clear" w:color="auto" w:fill="CCEEFF"/>
          </w:tcPr>
          <w:p>
            <w:pPr>
              <w:jc w:val="right"/>
              <w:ind w:right="590"/>
              <w:spacing w:after="0" w:line="149" w:lineRule="exact"/>
              <w:rPr>
                <w:sz w:val="20"/>
                <w:szCs w:val="20"/>
                <w:color w:val="auto"/>
              </w:rPr>
            </w:pPr>
            <w:r>
              <w:rPr>
                <w:rFonts w:ascii="Arial" w:cs="Arial" w:eastAsia="Arial" w:hAnsi="Arial"/>
                <w:sz w:val="14"/>
                <w:szCs w:val="14"/>
                <w:b w:val="1"/>
                <w:bCs w:val="1"/>
                <w:color w:val="auto"/>
              </w:rPr>
              <w:t>7</w:t>
            </w:r>
          </w:p>
        </w:tc>
        <w:tc>
          <w:tcPr>
            <w:tcW w:w="1500" w:type="dxa"/>
            <w:vAlign w:val="bottom"/>
            <w:shd w:val="clear" w:color="auto" w:fill="CCEEFF"/>
          </w:tcPr>
          <w:p>
            <w:pPr>
              <w:jc w:val="right"/>
              <w:ind w:right="570"/>
              <w:spacing w:after="0" w:line="149" w:lineRule="exact"/>
              <w:rPr>
                <w:sz w:val="20"/>
                <w:szCs w:val="20"/>
                <w:color w:val="auto"/>
              </w:rPr>
            </w:pPr>
            <w:r>
              <w:rPr>
                <w:rFonts w:ascii="Arial" w:cs="Arial" w:eastAsia="Arial" w:hAnsi="Arial"/>
                <w:sz w:val="14"/>
                <w:szCs w:val="14"/>
                <w:color w:val="auto"/>
              </w:rPr>
              <w:t>7</w:t>
            </w:r>
          </w:p>
        </w:tc>
        <w:tc>
          <w:tcPr>
            <w:tcW w:w="1300" w:type="dxa"/>
            <w:vAlign w:val="bottom"/>
            <w:shd w:val="clear" w:color="auto" w:fill="CCEEFF"/>
          </w:tcPr>
          <w:p>
            <w:pPr>
              <w:jc w:val="right"/>
              <w:ind w:right="370"/>
              <w:spacing w:after="0" w:line="149"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Interest rate</w:t>
            </w:r>
          </w:p>
        </w:tc>
        <w:tc>
          <w:tcPr>
            <w:tcW w:w="4200" w:type="dxa"/>
            <w:vAlign w:val="bottom"/>
          </w:tcPr>
          <w:p>
            <w:pPr>
              <w:jc w:val="right"/>
              <w:ind w:right="450"/>
              <w:spacing w:after="0" w:line="149" w:lineRule="exact"/>
              <w:rPr>
                <w:sz w:val="20"/>
                <w:szCs w:val="20"/>
                <w:color w:val="auto"/>
              </w:rPr>
            </w:pPr>
            <w:r>
              <w:rPr>
                <w:rFonts w:ascii="Arial" w:cs="Arial" w:eastAsia="Arial" w:hAnsi="Arial"/>
                <w:sz w:val="14"/>
                <w:szCs w:val="14"/>
                <w:b w:val="1"/>
                <w:bCs w:val="1"/>
                <w:color w:val="auto"/>
              </w:rPr>
              <w:t>3.85%</w:t>
            </w:r>
          </w:p>
        </w:tc>
        <w:tc>
          <w:tcPr>
            <w:tcW w:w="1500" w:type="dxa"/>
            <w:vAlign w:val="bottom"/>
          </w:tcPr>
          <w:p>
            <w:pPr>
              <w:jc w:val="right"/>
              <w:ind w:right="450"/>
              <w:spacing w:after="0" w:line="149" w:lineRule="exact"/>
              <w:rPr>
                <w:sz w:val="20"/>
                <w:szCs w:val="20"/>
                <w:color w:val="auto"/>
              </w:rPr>
            </w:pPr>
            <w:r>
              <w:rPr>
                <w:rFonts w:ascii="Arial" w:cs="Arial" w:eastAsia="Arial" w:hAnsi="Arial"/>
                <w:sz w:val="14"/>
                <w:szCs w:val="14"/>
                <w:color w:val="auto"/>
              </w:rPr>
              <w:t>4.38%</w:t>
            </w:r>
          </w:p>
        </w:tc>
        <w:tc>
          <w:tcPr>
            <w:tcW w:w="130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3.69%</w:t>
            </w: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4200" w:type="dxa"/>
            <w:vAlign w:val="bottom"/>
            <w:shd w:val="clear" w:color="auto" w:fill="CCEEFF"/>
          </w:tcPr>
          <w:p>
            <w:pPr>
              <w:jc w:val="right"/>
              <w:ind w:right="450"/>
              <w:spacing w:after="0" w:line="149" w:lineRule="exact"/>
              <w:rPr>
                <w:sz w:val="20"/>
                <w:szCs w:val="20"/>
                <w:color w:val="auto"/>
              </w:rPr>
            </w:pPr>
            <w:r>
              <w:rPr>
                <w:rFonts w:ascii="Arial" w:cs="Arial" w:eastAsia="Arial" w:hAnsi="Arial"/>
                <w:sz w:val="14"/>
                <w:szCs w:val="14"/>
                <w:b w:val="1"/>
                <w:bCs w:val="1"/>
                <w:color w:val="auto"/>
              </w:rPr>
              <w:t>20.24%</w:t>
            </w:r>
          </w:p>
        </w:tc>
        <w:tc>
          <w:tcPr>
            <w:tcW w:w="1500" w:type="dxa"/>
            <w:vAlign w:val="bottom"/>
            <w:shd w:val="clear" w:color="auto" w:fill="CCEEFF"/>
          </w:tcPr>
          <w:p>
            <w:pPr>
              <w:jc w:val="right"/>
              <w:ind w:right="450"/>
              <w:spacing w:after="0" w:line="149" w:lineRule="exact"/>
              <w:rPr>
                <w:sz w:val="20"/>
                <w:szCs w:val="20"/>
                <w:color w:val="auto"/>
              </w:rPr>
            </w:pPr>
            <w:r>
              <w:rPr>
                <w:rFonts w:ascii="Arial" w:cs="Arial" w:eastAsia="Arial" w:hAnsi="Arial"/>
                <w:sz w:val="14"/>
                <w:szCs w:val="14"/>
                <w:color w:val="auto"/>
              </w:rPr>
              <w:t>20.43%</w:t>
            </w:r>
          </w:p>
        </w:tc>
        <w:tc>
          <w:tcPr>
            <w:tcW w:w="130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21.74%</w:t>
            </w:r>
          </w:p>
        </w:tc>
      </w:tr>
      <w:tr>
        <w:trPr>
          <w:trHeight w:val="186"/>
        </w:trPr>
        <w:tc>
          <w:tcPr>
            <w:tcW w:w="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Dividend yield</w:t>
            </w:r>
          </w:p>
        </w:tc>
        <w:tc>
          <w:tcPr>
            <w:tcW w:w="4200" w:type="dxa"/>
            <w:vAlign w:val="bottom"/>
          </w:tcPr>
          <w:p>
            <w:pPr>
              <w:jc w:val="right"/>
              <w:ind w:right="450"/>
              <w:spacing w:after="0"/>
              <w:rPr>
                <w:sz w:val="20"/>
                <w:szCs w:val="20"/>
                <w:color w:val="auto"/>
              </w:rPr>
            </w:pPr>
            <w:r>
              <w:rPr>
                <w:rFonts w:ascii="Arial" w:cs="Arial" w:eastAsia="Arial" w:hAnsi="Arial"/>
                <w:sz w:val="14"/>
                <w:szCs w:val="14"/>
                <w:b w:val="1"/>
                <w:bCs w:val="1"/>
                <w:color w:val="auto"/>
              </w:rPr>
              <w:t>0.73%</w:t>
            </w:r>
          </w:p>
        </w:tc>
        <w:tc>
          <w:tcPr>
            <w:tcW w:w="1500" w:type="dxa"/>
            <w:vAlign w:val="bottom"/>
          </w:tcPr>
          <w:p>
            <w:pPr>
              <w:jc w:val="right"/>
              <w:ind w:right="450"/>
              <w:spacing w:after="0"/>
              <w:rPr>
                <w:sz w:val="20"/>
                <w:szCs w:val="20"/>
                <w:color w:val="auto"/>
              </w:rPr>
            </w:pPr>
            <w:r>
              <w:rPr>
                <w:rFonts w:ascii="Arial" w:cs="Arial" w:eastAsia="Arial" w:hAnsi="Arial"/>
                <w:sz w:val="14"/>
                <w:szCs w:val="14"/>
                <w:color w:val="auto"/>
              </w:rPr>
              <w:t>0.71%</w:t>
            </w:r>
          </w:p>
        </w:tc>
        <w:tc>
          <w:tcPr>
            <w:tcW w:w="1300" w:type="dxa"/>
            <w:vAlign w:val="bottom"/>
          </w:tcPr>
          <w:p>
            <w:pPr>
              <w:jc w:val="right"/>
              <w:ind w:right="250"/>
              <w:spacing w:after="0"/>
              <w:rPr>
                <w:sz w:val="20"/>
                <w:szCs w:val="20"/>
                <w:color w:val="auto"/>
              </w:rPr>
            </w:pPr>
            <w:r>
              <w:rPr>
                <w:rFonts w:ascii="Arial" w:cs="Arial" w:eastAsia="Arial" w:hAnsi="Arial"/>
                <w:sz w:val="14"/>
                <w:szCs w:val="14"/>
                <w:color w:val="auto"/>
              </w:rPr>
              <w:t>0.77%</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Refer to Note A for additional disclosures surrounding stock option accounting.</w:t>
      </w:r>
    </w:p>
    <w:p>
      <w:pPr>
        <w:spacing w:after="0" w:line="127" w:lineRule="exact"/>
        <w:rPr>
          <w:sz w:val="20"/>
          <w:szCs w:val="20"/>
          <w:color w:val="auto"/>
        </w:rPr>
      </w:pPr>
    </w:p>
    <w:p>
      <w:pPr>
        <w:ind w:right="180"/>
        <w:spacing w:after="0" w:line="297" w:lineRule="auto"/>
        <w:rPr>
          <w:sz w:val="20"/>
          <w:szCs w:val="20"/>
          <w:color w:val="auto"/>
        </w:rPr>
      </w:pPr>
      <w:r>
        <w:rPr>
          <w:rFonts w:ascii="Arial" w:cs="Arial" w:eastAsia="Arial" w:hAnsi="Arial"/>
          <w:sz w:val="15"/>
          <w:szCs w:val="15"/>
          <w:color w:val="auto"/>
        </w:rPr>
        <w:t>The Company also maintains a stock option plan at its Kaplan subsidiary that provides for the issuance of Kaplan stock options to certain members of Kaplan’s management. The Kaplan stock option plan was adopted in 1997 and initially reserved 15 percent, or 150,000 shares, of Kaplan’s common stock for options to be granted under the plan. Under the provisions of this plan, options are issued with an exercise price equal to the estimated fair value of Kaplan’s common stock and options vest ratably over the number of years specified (generally 4 to 5 years) at the time of the grant. Upon exercise, an option holder receives cash equal to the</w:t>
      </w:r>
    </w:p>
    <w:p>
      <w:pPr>
        <w:spacing w:after="0" w:line="200" w:lineRule="exact"/>
        <w:rPr>
          <w:sz w:val="20"/>
          <w:szCs w:val="20"/>
          <w:color w:val="auto"/>
        </w:rPr>
      </w:pPr>
    </w:p>
    <w:p>
      <w:pPr>
        <w:spacing w:after="0" w:line="29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right="100"/>
        <w:spacing w:after="0" w:line="293" w:lineRule="auto"/>
        <w:rPr>
          <w:sz w:val="20"/>
          <w:szCs w:val="20"/>
          <w:color w:val="auto"/>
        </w:rPr>
      </w:pPr>
      <w:r>
        <w:rPr>
          <w:rFonts w:ascii="Arial" w:cs="Arial" w:eastAsia="Arial" w:hAnsi="Arial"/>
          <w:sz w:val="16"/>
          <w:szCs w:val="16"/>
          <w:color w:val="auto"/>
        </w:rPr>
        <w:t>difference between the exercise price and the then fair value. The fair value of Kaplan’s common stock is determined by the Company’s compensation committee of the Board of Directors. In January 2005, the committee set the fair value price at $2,080 per share.</w:t>
      </w:r>
    </w:p>
    <w:p>
      <w:pPr>
        <w:spacing w:after="0" w:line="64"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In September 2003, the committee set the fair value price of Kaplan common stock at $1,625 per share, and announced an offer totaling $138 million for approximately 55% of the stock options outstanding at Kaplan. The Company’s offer included a 10% premium over the then current valuation price of Kaplan common stock of $1,625 per share. As a result of this offer, 100% of the eligible stock options were tendered. The Company paid out $118.7 million in the fourth quarter of 2003, and $10.3 million in 2004, with the remainder of the payouts, related to 6,131 tendered stock options, to be made at the time of their scheduled vesting from 2005 to 2008 if the option holder is still employed at Kaplan. Additionally, stock compensation expense will be recorded on these remaining exercised stock options over the remaining vesting periods of 2005 to 2008. A small number of key Kaplan executives continue to hold the remaining 68,000 of outstanding Kaplan stock options, with roughly half of these options expiring in 2007 and half expiring in 2011. In January 2005, 15,353 Kaplan stock options were exercised, and 10,582 Kaplan stock options were awarded at an option price of $2,080.</w:t>
      </w:r>
    </w:p>
    <w:p>
      <w:pPr>
        <w:spacing w:after="0" w:line="72"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For 2004, 2003, and 2002, the Company recorded expense of $32.5 million, $119.1 million, and $34.5 million, respectively, related to this plan. In 2004, 2003, and 2002 payouts from option exercises totaled $10.3 million, $119.6 million and $1.5 million, respectively. At December 31, 2004, the Company’s stock-based compensation accrual balance totaled $96.2 million.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Changes in Kaplan stock options outstanding for the years ended January 2, 2005, December 28, 2003, and December 29, 2002,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2004</w:t>
            </w: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2003</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2002</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340" w:type="dxa"/>
            <w:vAlign w:val="bottom"/>
            <w:gridSpan w:val="3"/>
          </w:tcPr>
          <w:p>
            <w:pPr>
              <w:jc w:val="center"/>
              <w:ind w:right="360"/>
              <w:spacing w:after="0" w:line="124" w:lineRule="exact"/>
              <w:rPr>
                <w:sz w:val="20"/>
                <w:szCs w:val="20"/>
                <w:color w:val="auto"/>
              </w:rPr>
            </w:pPr>
            <w:r>
              <w:rPr>
                <w:rFonts w:ascii="Arial" w:cs="Arial" w:eastAsia="Arial" w:hAnsi="Arial"/>
                <w:sz w:val="13"/>
                <w:szCs w:val="13"/>
                <w:b w:val="1"/>
                <w:bCs w:val="1"/>
                <w:color w:val="auto"/>
                <w:w w:val="93"/>
              </w:rPr>
              <w:t>Number</w:t>
            </w:r>
          </w:p>
        </w:tc>
        <w:tc>
          <w:tcPr>
            <w:tcW w:w="80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5"/>
              </w:rPr>
              <w:t>Average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center"/>
              <w:ind w:right="160"/>
              <w:spacing w:after="0" w:line="124" w:lineRule="exact"/>
              <w:rPr>
                <w:sz w:val="20"/>
                <w:szCs w:val="20"/>
                <w:color w:val="auto"/>
              </w:rPr>
            </w:pPr>
            <w:r>
              <w:rPr>
                <w:rFonts w:ascii="Arial" w:cs="Arial" w:eastAsia="Arial" w:hAnsi="Arial"/>
                <w:sz w:val="13"/>
                <w:szCs w:val="13"/>
                <w:color w:val="auto"/>
                <w:w w:val="90"/>
              </w:rPr>
              <w:t>Number</w:t>
            </w:r>
          </w:p>
        </w:tc>
        <w:tc>
          <w:tcPr>
            <w:tcW w:w="1240" w:type="dxa"/>
            <w:vAlign w:val="bottom"/>
            <w:gridSpan w:val="3"/>
          </w:tcPr>
          <w:p>
            <w:pPr>
              <w:jc w:val="center"/>
              <w:ind w:left="257"/>
              <w:spacing w:after="0" w:line="124" w:lineRule="exact"/>
              <w:rPr>
                <w:sz w:val="20"/>
                <w:szCs w:val="20"/>
                <w:color w:val="auto"/>
              </w:rPr>
            </w:pPr>
            <w:r>
              <w:rPr>
                <w:rFonts w:ascii="Arial" w:cs="Arial" w:eastAsia="Arial" w:hAnsi="Arial"/>
                <w:sz w:val="13"/>
                <w:szCs w:val="13"/>
                <w:color w:val="auto"/>
                <w:w w:val="82"/>
              </w:rPr>
              <w:t>Average</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2"/>
          </w:tcPr>
          <w:p>
            <w:pPr>
              <w:jc w:val="center"/>
              <w:ind w:right="140"/>
              <w:spacing w:after="0" w:line="124" w:lineRule="exact"/>
              <w:rPr>
                <w:sz w:val="20"/>
                <w:szCs w:val="20"/>
                <w:color w:val="auto"/>
              </w:rPr>
            </w:pPr>
            <w:r>
              <w:rPr>
                <w:rFonts w:ascii="Arial" w:cs="Arial" w:eastAsia="Arial" w:hAnsi="Arial"/>
                <w:sz w:val="13"/>
                <w:szCs w:val="13"/>
                <w:color w:val="auto"/>
                <w:w w:val="90"/>
              </w:rPr>
              <w:t>Number</w:t>
            </w:r>
          </w:p>
        </w:tc>
        <w:tc>
          <w:tcPr>
            <w:tcW w:w="1220" w:type="dxa"/>
            <w:vAlign w:val="bottom"/>
            <w:gridSpan w:val="3"/>
          </w:tcPr>
          <w:p>
            <w:pPr>
              <w:jc w:val="center"/>
              <w:ind w:left="257"/>
              <w:spacing w:after="0" w:line="124" w:lineRule="exact"/>
              <w:rPr>
                <w:sz w:val="20"/>
                <w:szCs w:val="20"/>
                <w:color w:val="auto"/>
              </w:rPr>
            </w:pPr>
            <w:r>
              <w:rPr>
                <w:rFonts w:ascii="Arial" w:cs="Arial" w:eastAsia="Arial" w:hAnsi="Arial"/>
                <w:sz w:val="13"/>
                <w:szCs w:val="13"/>
                <w:color w:val="auto"/>
                <w:w w:val="86"/>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81"/>
              </w:rPr>
              <w:t>of</w:t>
            </w: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Option</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1"/>
              </w:rPr>
              <w:t>of</w:t>
            </w:r>
          </w:p>
        </w:tc>
        <w:tc>
          <w:tcPr>
            <w:tcW w:w="1240" w:type="dxa"/>
            <w:vAlign w:val="bottom"/>
            <w:gridSpan w:val="3"/>
          </w:tcPr>
          <w:p>
            <w:pPr>
              <w:jc w:val="center"/>
              <w:ind w:left="257"/>
              <w:spacing w:after="0" w:line="135" w:lineRule="exact"/>
              <w:rPr>
                <w:sz w:val="20"/>
                <w:szCs w:val="20"/>
                <w:color w:val="auto"/>
              </w:rPr>
            </w:pPr>
            <w:r>
              <w:rPr>
                <w:rFonts w:ascii="Arial" w:cs="Arial" w:eastAsia="Arial" w:hAnsi="Arial"/>
                <w:sz w:val="13"/>
                <w:szCs w:val="13"/>
                <w:color w:val="auto"/>
                <w:w w:val="93"/>
              </w:rPr>
              <w:t>Option</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1"/>
              </w:rPr>
              <w:t>of</w:t>
            </w:r>
          </w:p>
        </w:tc>
        <w:tc>
          <w:tcPr>
            <w:tcW w:w="1220" w:type="dxa"/>
            <w:vAlign w:val="bottom"/>
            <w:gridSpan w:val="3"/>
          </w:tcPr>
          <w:p>
            <w:pPr>
              <w:jc w:val="center"/>
              <w:ind w:left="257"/>
              <w:spacing w:after="0" w:line="135" w:lineRule="exact"/>
              <w:rPr>
                <w:sz w:val="20"/>
                <w:szCs w:val="20"/>
                <w:color w:val="auto"/>
              </w:rPr>
            </w:pPr>
            <w:r>
              <w:rPr>
                <w:rFonts w:ascii="Arial" w:cs="Arial" w:eastAsia="Arial" w:hAnsi="Arial"/>
                <w:sz w:val="13"/>
                <w:szCs w:val="13"/>
                <w:color w:val="auto"/>
                <w:w w:val="88"/>
              </w:rPr>
              <w:t>Option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b w:val="1"/>
                <w:bCs w:val="1"/>
                <w:color w:val="auto"/>
                <w:w w:val="82"/>
              </w:rPr>
              <w:t>Shares</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color w:val="auto"/>
                <w:w w:val="82"/>
              </w:rPr>
              <w:t>Shares</w:t>
            </w:r>
          </w:p>
        </w:tc>
        <w:tc>
          <w:tcPr>
            <w:tcW w:w="6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color w:val="auto"/>
                <w:w w:val="87"/>
              </w:rPr>
              <w:t>Price</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color w:val="auto"/>
                <w:w w:val="82"/>
              </w:rPr>
              <w:t>Shares</w:t>
            </w:r>
          </w:p>
        </w:tc>
        <w:tc>
          <w:tcPr>
            <w:tcW w:w="6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87"/>
              </w:rPr>
              <w:t>Price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Beginning of Year</w:t>
            </w:r>
          </w:p>
        </w:tc>
        <w:tc>
          <w:tcPr>
            <w:tcW w:w="1340" w:type="dxa"/>
            <w:vAlign w:val="bottom"/>
            <w:gridSpan w:val="3"/>
            <w:shd w:val="clear" w:color="auto" w:fill="CCEEFF"/>
          </w:tcPr>
          <w:p>
            <w:pPr>
              <w:jc w:val="right"/>
              <w:ind w:right="680"/>
              <w:spacing w:after="0" w:line="135" w:lineRule="exact"/>
              <w:rPr>
                <w:sz w:val="20"/>
                <w:szCs w:val="20"/>
                <w:color w:val="auto"/>
              </w:rPr>
            </w:pPr>
            <w:r>
              <w:rPr>
                <w:rFonts w:ascii="Arial" w:cs="Arial" w:eastAsia="Arial" w:hAnsi="Arial"/>
                <w:sz w:val="13"/>
                <w:szCs w:val="13"/>
                <w:b w:val="1"/>
                <w:bCs w:val="1"/>
                <w:color w:val="auto"/>
              </w:rPr>
              <w:t>68,000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$596.17</w:t>
            </w:r>
          </w:p>
        </w:tc>
        <w:tc>
          <w:tcPr>
            <w:tcW w:w="18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147,463</w:t>
            </w:r>
          </w:p>
        </w:tc>
        <w:tc>
          <w:tcPr>
            <w:tcW w:w="6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311.24</w:t>
            </w:r>
          </w:p>
        </w:tc>
        <w:tc>
          <w:tcPr>
            <w:tcW w:w="104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142,578</w:t>
            </w:r>
          </w:p>
        </w:tc>
        <w:tc>
          <w:tcPr>
            <w:tcW w:w="12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$296.69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ind w:left="260"/>
              <w:spacing w:after="0" w:line="135" w:lineRule="exact"/>
              <w:rPr>
                <w:sz w:val="20"/>
                <w:szCs w:val="20"/>
                <w:color w:val="auto"/>
              </w:rPr>
            </w:pPr>
            <w:r>
              <w:rPr>
                <w:rFonts w:ascii="Arial" w:cs="Arial" w:eastAsia="Arial" w:hAnsi="Arial"/>
                <w:sz w:val="13"/>
                <w:szCs w:val="13"/>
                <w:color w:val="auto"/>
              </w:rPr>
              <w:t>Granted</w:t>
            </w:r>
          </w:p>
        </w:tc>
        <w:tc>
          <w:tcPr>
            <w:tcW w:w="320" w:type="dxa"/>
            <w:vAlign w:val="bottom"/>
          </w:tcPr>
          <w:p>
            <w:pPr>
              <w:spacing w:after="0"/>
              <w:rPr>
                <w:sz w:val="11"/>
                <w:szCs w:val="11"/>
                <w:color w:val="auto"/>
              </w:rPr>
            </w:pPr>
          </w:p>
        </w:tc>
        <w:tc>
          <w:tcPr>
            <w:tcW w:w="102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w:t>
            </w:r>
          </w:p>
        </w:tc>
        <w:tc>
          <w:tcPr>
            <w:tcW w:w="106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16,037</w:t>
            </w:r>
          </w:p>
        </w:tc>
        <w:tc>
          <w:tcPr>
            <w:tcW w:w="62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2"/>
              </w:rPr>
              <w:t>1,546.23</w:t>
            </w:r>
          </w:p>
        </w:tc>
        <w:tc>
          <w:tcPr>
            <w:tcW w:w="104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6,475</w:t>
            </w:r>
          </w:p>
        </w:tc>
        <w:tc>
          <w:tcPr>
            <w:tcW w:w="12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652.00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Exercised</w:t>
            </w:r>
          </w:p>
        </w:tc>
        <w:tc>
          <w:tcPr>
            <w:tcW w:w="3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80"/>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w:t>
            </w:r>
          </w:p>
        </w:tc>
        <w:tc>
          <w:tcPr>
            <w:tcW w:w="1060" w:type="dxa"/>
            <w:vAlign w:val="bottom"/>
            <w:gridSpan w:val="4"/>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(94,652)</w:t>
            </w:r>
          </w:p>
        </w:tc>
        <w:tc>
          <w:tcPr>
            <w:tcW w:w="62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303.66</w:t>
            </w:r>
          </w:p>
        </w:tc>
        <w:tc>
          <w:tcPr>
            <w:tcW w:w="104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(540)</w:t>
            </w:r>
          </w:p>
        </w:tc>
        <w:tc>
          <w:tcPr>
            <w:tcW w:w="12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ind w:left="260"/>
              <w:spacing w:after="0" w:line="135" w:lineRule="exact"/>
              <w:rPr>
                <w:sz w:val="20"/>
                <w:szCs w:val="20"/>
                <w:color w:val="auto"/>
              </w:rPr>
            </w:pPr>
            <w:r>
              <w:rPr>
                <w:rFonts w:ascii="Arial" w:cs="Arial" w:eastAsia="Arial" w:hAnsi="Arial"/>
                <w:sz w:val="13"/>
                <w:szCs w:val="13"/>
                <w:color w:val="auto"/>
              </w:rPr>
              <w:t>Forfeited</w:t>
            </w:r>
          </w:p>
        </w:tc>
        <w:tc>
          <w:tcPr>
            <w:tcW w:w="320" w:type="dxa"/>
            <w:vAlign w:val="bottom"/>
          </w:tcPr>
          <w:p>
            <w:pPr>
              <w:spacing w:after="0"/>
              <w:rPr>
                <w:sz w:val="11"/>
                <w:szCs w:val="11"/>
                <w:color w:val="auto"/>
              </w:rPr>
            </w:pPr>
          </w:p>
        </w:tc>
        <w:tc>
          <w:tcPr>
            <w:tcW w:w="102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w:t>
            </w:r>
          </w:p>
        </w:tc>
        <w:tc>
          <w:tcPr>
            <w:tcW w:w="106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(848)</w:t>
            </w:r>
          </w:p>
        </w:tc>
        <w:tc>
          <w:tcPr>
            <w:tcW w:w="62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382.12</w:t>
            </w:r>
          </w:p>
        </w:tc>
        <w:tc>
          <w:tcPr>
            <w:tcW w:w="104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(1,050)</w:t>
            </w:r>
          </w:p>
        </w:tc>
        <w:tc>
          <w:tcPr>
            <w:tcW w:w="12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403.76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End of year</w:t>
            </w:r>
          </w:p>
        </w:tc>
        <w:tc>
          <w:tcPr>
            <w:tcW w:w="1340" w:type="dxa"/>
            <w:vAlign w:val="bottom"/>
            <w:gridSpan w:val="3"/>
            <w:shd w:val="clear" w:color="auto" w:fill="CCEEFF"/>
          </w:tcPr>
          <w:p>
            <w:pPr>
              <w:jc w:val="right"/>
              <w:ind w:right="680"/>
              <w:spacing w:after="0" w:line="135" w:lineRule="exact"/>
              <w:rPr>
                <w:sz w:val="20"/>
                <w:szCs w:val="20"/>
                <w:color w:val="auto"/>
              </w:rPr>
            </w:pPr>
            <w:r>
              <w:rPr>
                <w:rFonts w:ascii="Arial" w:cs="Arial" w:eastAsia="Arial" w:hAnsi="Arial"/>
                <w:sz w:val="13"/>
                <w:szCs w:val="13"/>
                <w:b w:val="1"/>
                <w:bCs w:val="1"/>
                <w:color w:val="auto"/>
              </w:rPr>
              <w:t>68,000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596.17</w:t>
            </w:r>
          </w:p>
        </w:tc>
        <w:tc>
          <w:tcPr>
            <w:tcW w:w="18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68,000</w:t>
            </w:r>
          </w:p>
        </w:tc>
        <w:tc>
          <w:tcPr>
            <w:tcW w:w="6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596.17</w:t>
            </w:r>
          </w:p>
        </w:tc>
        <w:tc>
          <w:tcPr>
            <w:tcW w:w="104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147,463</w:t>
            </w:r>
          </w:p>
        </w:tc>
        <w:tc>
          <w:tcPr>
            <w:tcW w:w="12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311.24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20"/>
        <w:spacing w:after="0" w:line="369" w:lineRule="auto"/>
        <w:rPr>
          <w:sz w:val="20"/>
          <w:szCs w:val="20"/>
          <w:color w:val="auto"/>
        </w:rPr>
      </w:pPr>
      <w:r>
        <w:rPr>
          <w:rFonts w:ascii="Arial" w:cs="Arial" w:eastAsia="Arial" w:hAnsi="Arial"/>
          <w:sz w:val="14"/>
          <w:szCs w:val="14"/>
          <w:color w:val="auto"/>
        </w:rPr>
        <w:t>Of the shares covered by options outstanding at the end of 2004, 47,836 are now exercisable, 7,034 will become exercisable in 2005, 6,935 will become exercisable in 2006, 3,397 will become exercisable in 2007, and 2,798 will become exercisable in 2008. Information related to stock options outstanding at January 2, 2005,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660" w:type="dxa"/>
            <w:vAlign w:val="bottom"/>
          </w:tcPr>
          <w:p>
            <w:pPr>
              <w:jc w:val="center"/>
              <w:spacing w:after="0"/>
              <w:rPr>
                <w:sz w:val="20"/>
                <w:szCs w:val="20"/>
                <w:color w:val="auto"/>
              </w:rPr>
            </w:pPr>
            <w:r>
              <w:rPr>
                <w:rFonts w:ascii="Arial" w:cs="Arial" w:eastAsia="Arial" w:hAnsi="Arial"/>
                <w:sz w:val="11"/>
                <w:szCs w:val="11"/>
                <w:color w:val="auto"/>
                <w:w w:val="90"/>
              </w:rPr>
              <w:t>Weighted</w:t>
            </w:r>
          </w:p>
        </w:tc>
        <w:tc>
          <w:tcPr>
            <w:tcW w:w="244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660" w:type="dxa"/>
            <w:vAlign w:val="bottom"/>
          </w:tcPr>
          <w:p>
            <w:pPr>
              <w:jc w:val="center"/>
              <w:ind w:left="6"/>
              <w:spacing w:after="0" w:line="122" w:lineRule="exact"/>
              <w:rPr>
                <w:sz w:val="20"/>
                <w:szCs w:val="20"/>
                <w:color w:val="auto"/>
              </w:rPr>
            </w:pPr>
            <w:r>
              <w:rPr>
                <w:rFonts w:ascii="Arial" w:cs="Arial" w:eastAsia="Arial" w:hAnsi="Arial"/>
                <w:sz w:val="11"/>
                <w:szCs w:val="11"/>
                <w:color w:val="auto"/>
                <w:w w:val="87"/>
              </w:rPr>
              <w:t>Average</w:t>
            </w:r>
          </w:p>
        </w:tc>
        <w:tc>
          <w:tcPr>
            <w:tcW w:w="244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296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86"/>
              </w:rPr>
              <w:t>Number</w:t>
            </w:r>
          </w:p>
        </w:tc>
        <w:tc>
          <w:tcPr>
            <w:tcW w:w="2660" w:type="dxa"/>
            <w:vAlign w:val="bottom"/>
          </w:tcPr>
          <w:p>
            <w:pPr>
              <w:jc w:val="center"/>
              <w:spacing w:after="0" w:line="122" w:lineRule="exact"/>
              <w:rPr>
                <w:sz w:val="20"/>
                <w:szCs w:val="20"/>
                <w:color w:val="auto"/>
              </w:rPr>
            </w:pPr>
            <w:r>
              <w:rPr>
                <w:rFonts w:ascii="Arial" w:cs="Arial" w:eastAsia="Arial" w:hAnsi="Arial"/>
                <w:sz w:val="11"/>
                <w:szCs w:val="11"/>
                <w:color w:val="auto"/>
                <w:w w:val="87"/>
              </w:rPr>
              <w:t>Remaining</w:t>
            </w:r>
          </w:p>
        </w:tc>
        <w:tc>
          <w:tcPr>
            <w:tcW w:w="244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91"/>
              </w:rPr>
              <w:t>Number</w:t>
            </w:r>
          </w:p>
        </w:tc>
      </w:tr>
      <w:tr>
        <w:trPr>
          <w:trHeight w:val="122"/>
        </w:trPr>
        <w:tc>
          <w:tcPr>
            <w:tcW w:w="3360" w:type="dxa"/>
            <w:vAlign w:val="bottom"/>
          </w:tcPr>
          <w:p>
            <w:pPr>
              <w:jc w:val="right"/>
              <w:ind w:right="1406"/>
              <w:spacing w:after="0" w:line="122" w:lineRule="exact"/>
              <w:rPr>
                <w:sz w:val="20"/>
                <w:szCs w:val="20"/>
                <w:color w:val="auto"/>
              </w:rPr>
            </w:pPr>
            <w:r>
              <w:rPr>
                <w:rFonts w:ascii="Arial" w:cs="Arial" w:eastAsia="Arial" w:hAnsi="Arial"/>
                <w:sz w:val="11"/>
                <w:szCs w:val="11"/>
                <w:color w:val="auto"/>
              </w:rPr>
              <w:t>Range of</w:t>
            </w:r>
          </w:p>
        </w:tc>
        <w:tc>
          <w:tcPr>
            <w:tcW w:w="296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0"/>
              </w:rPr>
              <w:t>Outstanding</w:t>
            </w:r>
          </w:p>
        </w:tc>
        <w:tc>
          <w:tcPr>
            <w:tcW w:w="266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244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87"/>
              </w:rPr>
              <w:t>Exercisable</w:t>
            </w:r>
          </w:p>
        </w:tc>
      </w:tr>
      <w:tr>
        <w:trPr>
          <w:trHeight w:val="138"/>
        </w:trPr>
        <w:tc>
          <w:tcPr>
            <w:tcW w:w="3360" w:type="dxa"/>
            <w:vAlign w:val="bottom"/>
            <w:tcBorders>
              <w:bottom w:val="single" w:sz="8" w:color="auto"/>
            </w:tcBorders>
          </w:tcPr>
          <w:p>
            <w:pPr>
              <w:jc w:val="right"/>
              <w:ind w:right="1286"/>
              <w:spacing w:after="0"/>
              <w:rPr>
                <w:sz w:val="20"/>
                <w:szCs w:val="20"/>
                <w:color w:val="auto"/>
              </w:rPr>
            </w:pPr>
            <w:r>
              <w:rPr>
                <w:rFonts w:ascii="Arial" w:cs="Arial" w:eastAsia="Arial" w:hAnsi="Arial"/>
                <w:sz w:val="11"/>
                <w:szCs w:val="11"/>
                <w:color w:val="auto"/>
              </w:rPr>
              <w:t>Exercise Prices</w:t>
            </w:r>
          </w:p>
        </w:tc>
        <w:tc>
          <w:tcPr>
            <w:tcW w:w="296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color w:val="auto"/>
                <w:w w:val="88"/>
              </w:rPr>
              <w:t>at 1/2/05</w:t>
            </w:r>
          </w:p>
        </w:tc>
        <w:tc>
          <w:tcPr>
            <w:tcW w:w="2660" w:type="dxa"/>
            <w:vAlign w:val="bottom"/>
            <w:tcBorders>
              <w:bottom w:val="single" w:sz="8" w:color="auto"/>
            </w:tcBorders>
          </w:tcPr>
          <w:p>
            <w:pPr>
              <w:jc w:val="center"/>
              <w:ind w:left="6"/>
              <w:spacing w:after="0"/>
              <w:rPr>
                <w:sz w:val="20"/>
                <w:szCs w:val="20"/>
                <w:color w:val="auto"/>
              </w:rPr>
            </w:pPr>
            <w:r>
              <w:rPr>
                <w:rFonts w:ascii="Arial" w:cs="Arial" w:eastAsia="Arial" w:hAnsi="Arial"/>
                <w:sz w:val="11"/>
                <w:szCs w:val="11"/>
                <w:color w:val="auto"/>
                <w:w w:val="95"/>
              </w:rPr>
              <w:t>Life (yrs.)</w:t>
            </w:r>
          </w:p>
        </w:tc>
        <w:tc>
          <w:tcPr>
            <w:tcW w:w="244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color w:val="auto"/>
                <w:w w:val="88"/>
              </w:rPr>
              <w:t>at 1/2/05</w:t>
            </w:r>
          </w:p>
        </w:tc>
      </w:tr>
      <w:tr>
        <w:trPr>
          <w:trHeight w:val="122"/>
        </w:trPr>
        <w:tc>
          <w:tcPr>
            <w:tcW w:w="3360" w:type="dxa"/>
            <w:vAlign w:val="bottom"/>
            <w:shd w:val="clear" w:color="auto" w:fill="CCEEFF"/>
          </w:tcPr>
          <w:p>
            <w:pPr>
              <w:jc w:val="right"/>
              <w:ind w:right="1446"/>
              <w:spacing w:after="0" w:line="122" w:lineRule="exact"/>
              <w:rPr>
                <w:sz w:val="20"/>
                <w:szCs w:val="20"/>
                <w:color w:val="auto"/>
              </w:rPr>
            </w:pPr>
            <w:r>
              <w:rPr>
                <w:rFonts w:ascii="Arial" w:cs="Arial" w:eastAsia="Arial" w:hAnsi="Arial"/>
                <w:sz w:val="11"/>
                <w:szCs w:val="11"/>
                <w:color w:val="auto"/>
              </w:rPr>
              <w:t>$  190</w:t>
            </w:r>
          </w:p>
        </w:tc>
        <w:tc>
          <w:tcPr>
            <w:tcW w:w="2960" w:type="dxa"/>
            <w:vAlign w:val="bottom"/>
            <w:shd w:val="clear" w:color="auto" w:fill="CCEEFF"/>
          </w:tcPr>
          <w:p>
            <w:pPr>
              <w:jc w:val="right"/>
              <w:ind w:right="1166"/>
              <w:spacing w:after="0" w:line="122" w:lineRule="exact"/>
              <w:rPr>
                <w:sz w:val="20"/>
                <w:szCs w:val="20"/>
                <w:color w:val="auto"/>
              </w:rPr>
            </w:pPr>
            <w:r>
              <w:rPr>
                <w:rFonts w:ascii="Arial" w:cs="Arial" w:eastAsia="Arial" w:hAnsi="Arial"/>
                <w:sz w:val="11"/>
                <w:szCs w:val="11"/>
                <w:color w:val="auto"/>
              </w:rPr>
              <w:t>31,341</w:t>
            </w:r>
          </w:p>
        </w:tc>
        <w:tc>
          <w:tcPr>
            <w:tcW w:w="2660" w:type="dxa"/>
            <w:vAlign w:val="bottom"/>
            <w:shd w:val="clear" w:color="auto" w:fill="CCEEFF"/>
          </w:tcPr>
          <w:p>
            <w:pPr>
              <w:jc w:val="right"/>
              <w:ind w:right="1086"/>
              <w:spacing w:after="0" w:line="122" w:lineRule="exact"/>
              <w:rPr>
                <w:sz w:val="20"/>
                <w:szCs w:val="20"/>
                <w:color w:val="auto"/>
              </w:rPr>
            </w:pPr>
            <w:r>
              <w:rPr>
                <w:rFonts w:ascii="Arial" w:cs="Arial" w:eastAsia="Arial" w:hAnsi="Arial"/>
                <w:sz w:val="11"/>
                <w:szCs w:val="11"/>
                <w:color w:val="auto"/>
              </w:rPr>
              <w:t>3.0</w:t>
            </w:r>
          </w:p>
        </w:tc>
        <w:tc>
          <w:tcPr>
            <w:tcW w:w="2440" w:type="dxa"/>
            <w:vAlign w:val="bottom"/>
            <w:shd w:val="clear" w:color="auto" w:fill="CCEEFF"/>
          </w:tcPr>
          <w:p>
            <w:pPr>
              <w:jc w:val="right"/>
              <w:ind w:right="926"/>
              <w:spacing w:after="0" w:line="122" w:lineRule="exact"/>
              <w:rPr>
                <w:sz w:val="20"/>
                <w:szCs w:val="20"/>
                <w:color w:val="auto"/>
              </w:rPr>
            </w:pPr>
            <w:r>
              <w:rPr>
                <w:rFonts w:ascii="Arial" w:cs="Arial" w:eastAsia="Arial" w:hAnsi="Arial"/>
                <w:sz w:val="11"/>
                <w:szCs w:val="11"/>
                <w:color w:val="auto"/>
              </w:rPr>
              <w:t>31,341</w:t>
            </w:r>
          </w:p>
        </w:tc>
      </w:tr>
      <w:tr>
        <w:trPr>
          <w:trHeight w:val="122"/>
        </w:trPr>
        <w:tc>
          <w:tcPr>
            <w:tcW w:w="3360" w:type="dxa"/>
            <w:vAlign w:val="bottom"/>
          </w:tcPr>
          <w:p>
            <w:pPr>
              <w:jc w:val="right"/>
              <w:ind w:right="1446"/>
              <w:spacing w:after="0" w:line="122" w:lineRule="exact"/>
              <w:rPr>
                <w:sz w:val="20"/>
                <w:szCs w:val="20"/>
                <w:color w:val="auto"/>
              </w:rPr>
            </w:pPr>
            <w:r>
              <w:rPr>
                <w:rFonts w:ascii="Arial" w:cs="Arial" w:eastAsia="Arial" w:hAnsi="Arial"/>
                <w:sz w:val="11"/>
                <w:szCs w:val="11"/>
                <w:color w:val="auto"/>
              </w:rPr>
              <w:t>375</w:t>
            </w:r>
          </w:p>
        </w:tc>
        <w:tc>
          <w:tcPr>
            <w:tcW w:w="2960" w:type="dxa"/>
            <w:vAlign w:val="bottom"/>
          </w:tcPr>
          <w:p>
            <w:pPr>
              <w:jc w:val="right"/>
              <w:ind w:right="1166"/>
              <w:spacing w:after="0" w:line="122" w:lineRule="exact"/>
              <w:rPr>
                <w:sz w:val="20"/>
                <w:szCs w:val="20"/>
                <w:color w:val="auto"/>
              </w:rPr>
            </w:pPr>
            <w:r>
              <w:rPr>
                <w:rFonts w:ascii="Arial" w:cs="Arial" w:eastAsia="Arial" w:hAnsi="Arial"/>
                <w:sz w:val="11"/>
                <w:szCs w:val="11"/>
                <w:color w:val="auto"/>
              </w:rPr>
              <w:t>500</w:t>
            </w:r>
          </w:p>
        </w:tc>
        <w:tc>
          <w:tcPr>
            <w:tcW w:w="2660" w:type="dxa"/>
            <w:vAlign w:val="bottom"/>
          </w:tcPr>
          <w:p>
            <w:pPr>
              <w:jc w:val="right"/>
              <w:ind w:right="1086"/>
              <w:spacing w:after="0" w:line="122" w:lineRule="exact"/>
              <w:rPr>
                <w:sz w:val="20"/>
                <w:szCs w:val="20"/>
                <w:color w:val="auto"/>
              </w:rPr>
            </w:pPr>
            <w:r>
              <w:rPr>
                <w:rFonts w:ascii="Arial" w:cs="Arial" w:eastAsia="Arial" w:hAnsi="Arial"/>
                <w:sz w:val="11"/>
                <w:szCs w:val="11"/>
                <w:color w:val="auto"/>
              </w:rPr>
              <w:t>4.6</w:t>
            </w:r>
          </w:p>
        </w:tc>
        <w:tc>
          <w:tcPr>
            <w:tcW w:w="244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400</w:t>
            </w:r>
          </w:p>
        </w:tc>
      </w:tr>
      <w:tr>
        <w:trPr>
          <w:trHeight w:val="122"/>
        </w:trPr>
        <w:tc>
          <w:tcPr>
            <w:tcW w:w="3360" w:type="dxa"/>
            <w:vAlign w:val="bottom"/>
            <w:shd w:val="clear" w:color="auto" w:fill="CCEEFF"/>
          </w:tcPr>
          <w:p>
            <w:pPr>
              <w:jc w:val="right"/>
              <w:ind w:right="1446"/>
              <w:spacing w:after="0" w:line="122" w:lineRule="exact"/>
              <w:rPr>
                <w:sz w:val="20"/>
                <w:szCs w:val="20"/>
                <w:color w:val="auto"/>
              </w:rPr>
            </w:pPr>
            <w:r>
              <w:rPr>
                <w:rFonts w:ascii="Arial" w:cs="Arial" w:eastAsia="Arial" w:hAnsi="Arial"/>
                <w:sz w:val="11"/>
                <w:szCs w:val="11"/>
                <w:color w:val="auto"/>
              </w:rPr>
              <w:t>526</w:t>
            </w:r>
          </w:p>
        </w:tc>
        <w:tc>
          <w:tcPr>
            <w:tcW w:w="2960" w:type="dxa"/>
            <w:vAlign w:val="bottom"/>
            <w:shd w:val="clear" w:color="auto" w:fill="CCEEFF"/>
          </w:tcPr>
          <w:p>
            <w:pPr>
              <w:jc w:val="right"/>
              <w:ind w:right="1166"/>
              <w:spacing w:after="0" w:line="122" w:lineRule="exact"/>
              <w:rPr>
                <w:sz w:val="20"/>
                <w:szCs w:val="20"/>
                <w:color w:val="auto"/>
              </w:rPr>
            </w:pPr>
            <w:r>
              <w:rPr>
                <w:rFonts w:ascii="Arial" w:cs="Arial" w:eastAsia="Arial" w:hAnsi="Arial"/>
                <w:sz w:val="11"/>
                <w:szCs w:val="11"/>
                <w:color w:val="auto"/>
              </w:rPr>
              <w:t>19,172</w:t>
            </w:r>
          </w:p>
        </w:tc>
        <w:tc>
          <w:tcPr>
            <w:tcW w:w="2660" w:type="dxa"/>
            <w:vAlign w:val="bottom"/>
            <w:shd w:val="clear" w:color="auto" w:fill="CCEEFF"/>
          </w:tcPr>
          <w:p>
            <w:pPr>
              <w:jc w:val="right"/>
              <w:ind w:right="1086"/>
              <w:spacing w:after="0" w:line="122" w:lineRule="exact"/>
              <w:rPr>
                <w:sz w:val="20"/>
                <w:szCs w:val="20"/>
                <w:color w:val="auto"/>
              </w:rPr>
            </w:pPr>
            <w:r>
              <w:rPr>
                <w:rFonts w:ascii="Arial" w:cs="Arial" w:eastAsia="Arial" w:hAnsi="Arial"/>
                <w:sz w:val="11"/>
                <w:szCs w:val="11"/>
                <w:color w:val="auto"/>
              </w:rPr>
              <w:t>6.0</w:t>
            </w:r>
          </w:p>
        </w:tc>
        <w:tc>
          <w:tcPr>
            <w:tcW w:w="2440" w:type="dxa"/>
            <w:vAlign w:val="bottom"/>
            <w:shd w:val="clear" w:color="auto" w:fill="CCEEFF"/>
          </w:tcPr>
          <w:p>
            <w:pPr>
              <w:jc w:val="right"/>
              <w:ind w:right="926"/>
              <w:spacing w:after="0" w:line="122" w:lineRule="exact"/>
              <w:rPr>
                <w:sz w:val="20"/>
                <w:szCs w:val="20"/>
                <w:color w:val="auto"/>
              </w:rPr>
            </w:pPr>
            <w:r>
              <w:rPr>
                <w:rFonts w:ascii="Arial" w:cs="Arial" w:eastAsia="Arial" w:hAnsi="Arial"/>
                <w:sz w:val="11"/>
                <w:szCs w:val="11"/>
                <w:color w:val="auto"/>
              </w:rPr>
              <w:t>12,098</w:t>
            </w:r>
          </w:p>
        </w:tc>
      </w:tr>
      <w:tr>
        <w:trPr>
          <w:trHeight w:val="122"/>
        </w:trPr>
        <w:tc>
          <w:tcPr>
            <w:tcW w:w="3360" w:type="dxa"/>
            <w:vAlign w:val="bottom"/>
          </w:tcPr>
          <w:p>
            <w:pPr>
              <w:jc w:val="right"/>
              <w:ind w:right="1446"/>
              <w:spacing w:after="0" w:line="122" w:lineRule="exact"/>
              <w:rPr>
                <w:sz w:val="20"/>
                <w:szCs w:val="20"/>
                <w:color w:val="auto"/>
              </w:rPr>
            </w:pPr>
            <w:r>
              <w:rPr>
                <w:rFonts w:ascii="Arial" w:cs="Arial" w:eastAsia="Arial" w:hAnsi="Arial"/>
                <w:sz w:val="11"/>
                <w:szCs w:val="11"/>
                <w:color w:val="auto"/>
              </w:rPr>
              <w:t>652</w:t>
            </w:r>
          </w:p>
        </w:tc>
        <w:tc>
          <w:tcPr>
            <w:tcW w:w="2960" w:type="dxa"/>
            <w:vAlign w:val="bottom"/>
          </w:tcPr>
          <w:p>
            <w:pPr>
              <w:jc w:val="right"/>
              <w:ind w:right="1166"/>
              <w:spacing w:after="0" w:line="122" w:lineRule="exact"/>
              <w:rPr>
                <w:sz w:val="20"/>
                <w:szCs w:val="20"/>
                <w:color w:val="auto"/>
              </w:rPr>
            </w:pPr>
            <w:r>
              <w:rPr>
                <w:rFonts w:ascii="Arial" w:cs="Arial" w:eastAsia="Arial" w:hAnsi="Arial"/>
                <w:sz w:val="11"/>
                <w:szCs w:val="11"/>
                <w:color w:val="auto"/>
              </w:rPr>
              <w:t>3,000</w:t>
            </w:r>
          </w:p>
        </w:tc>
        <w:tc>
          <w:tcPr>
            <w:tcW w:w="2660" w:type="dxa"/>
            <w:vAlign w:val="bottom"/>
          </w:tcPr>
          <w:p>
            <w:pPr>
              <w:jc w:val="right"/>
              <w:ind w:right="1086"/>
              <w:spacing w:after="0" w:line="122" w:lineRule="exact"/>
              <w:rPr>
                <w:sz w:val="20"/>
                <w:szCs w:val="20"/>
                <w:color w:val="auto"/>
              </w:rPr>
            </w:pPr>
            <w:r>
              <w:rPr>
                <w:rFonts w:ascii="Arial" w:cs="Arial" w:eastAsia="Arial" w:hAnsi="Arial"/>
                <w:sz w:val="11"/>
                <w:szCs w:val="11"/>
                <w:color w:val="auto"/>
              </w:rPr>
              <w:t>6.0</w:t>
            </w:r>
          </w:p>
        </w:tc>
        <w:tc>
          <w:tcPr>
            <w:tcW w:w="244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1,200</w:t>
            </w:r>
          </w:p>
        </w:tc>
      </w:tr>
      <w:tr>
        <w:trPr>
          <w:trHeight w:val="122"/>
        </w:trPr>
        <w:tc>
          <w:tcPr>
            <w:tcW w:w="3360" w:type="dxa"/>
            <w:vAlign w:val="bottom"/>
            <w:shd w:val="clear" w:color="auto" w:fill="CCEEFF"/>
          </w:tcPr>
          <w:p>
            <w:pPr>
              <w:jc w:val="right"/>
              <w:ind w:right="1446"/>
              <w:spacing w:after="0" w:line="122" w:lineRule="exact"/>
              <w:rPr>
                <w:sz w:val="20"/>
                <w:szCs w:val="20"/>
                <w:color w:val="auto"/>
              </w:rPr>
            </w:pPr>
            <w:r>
              <w:rPr>
                <w:rFonts w:ascii="Arial" w:cs="Arial" w:eastAsia="Arial" w:hAnsi="Arial"/>
                <w:sz w:val="11"/>
                <w:szCs w:val="11"/>
                <w:color w:val="auto"/>
              </w:rPr>
              <w:t>861</w:t>
            </w:r>
          </w:p>
        </w:tc>
        <w:tc>
          <w:tcPr>
            <w:tcW w:w="2960" w:type="dxa"/>
            <w:vAlign w:val="bottom"/>
            <w:shd w:val="clear" w:color="auto" w:fill="CCEEFF"/>
          </w:tcPr>
          <w:p>
            <w:pPr>
              <w:jc w:val="right"/>
              <w:ind w:right="1166"/>
              <w:spacing w:after="0" w:line="122" w:lineRule="exact"/>
              <w:rPr>
                <w:sz w:val="20"/>
                <w:szCs w:val="20"/>
                <w:color w:val="auto"/>
              </w:rPr>
            </w:pPr>
            <w:r>
              <w:rPr>
                <w:rFonts w:ascii="Arial" w:cs="Arial" w:eastAsia="Arial" w:hAnsi="Arial"/>
                <w:sz w:val="11"/>
                <w:szCs w:val="11"/>
                <w:color w:val="auto"/>
              </w:rPr>
              <w:t>487</w:t>
            </w:r>
          </w:p>
        </w:tc>
        <w:tc>
          <w:tcPr>
            <w:tcW w:w="2660" w:type="dxa"/>
            <w:vAlign w:val="bottom"/>
            <w:shd w:val="clear" w:color="auto" w:fill="CCEEFF"/>
          </w:tcPr>
          <w:p>
            <w:pPr>
              <w:jc w:val="right"/>
              <w:ind w:right="1086"/>
              <w:spacing w:after="0" w:line="122" w:lineRule="exact"/>
              <w:rPr>
                <w:sz w:val="20"/>
                <w:szCs w:val="20"/>
                <w:color w:val="auto"/>
              </w:rPr>
            </w:pPr>
            <w:r>
              <w:rPr>
                <w:rFonts w:ascii="Arial" w:cs="Arial" w:eastAsia="Arial" w:hAnsi="Arial"/>
                <w:sz w:val="11"/>
                <w:szCs w:val="11"/>
                <w:color w:val="auto"/>
              </w:rPr>
              <w:t>6.0</w:t>
            </w:r>
          </w:p>
        </w:tc>
        <w:tc>
          <w:tcPr>
            <w:tcW w:w="2440" w:type="dxa"/>
            <w:vAlign w:val="bottom"/>
            <w:shd w:val="clear" w:color="auto" w:fill="CCEEFF"/>
          </w:tcPr>
          <w:p>
            <w:pPr>
              <w:jc w:val="right"/>
              <w:ind w:right="926"/>
              <w:spacing w:after="0" w:line="122" w:lineRule="exact"/>
              <w:rPr>
                <w:sz w:val="20"/>
                <w:szCs w:val="20"/>
                <w:color w:val="auto"/>
              </w:rPr>
            </w:pPr>
            <w:r>
              <w:rPr>
                <w:rFonts w:ascii="Arial" w:cs="Arial" w:eastAsia="Arial" w:hAnsi="Arial"/>
                <w:sz w:val="11"/>
                <w:szCs w:val="11"/>
                <w:color w:val="auto"/>
              </w:rPr>
              <w:t>97</w:t>
            </w:r>
          </w:p>
        </w:tc>
      </w:tr>
      <w:tr>
        <w:trPr>
          <w:trHeight w:val="136"/>
        </w:trPr>
        <w:tc>
          <w:tcPr>
            <w:tcW w:w="3360" w:type="dxa"/>
            <w:vAlign w:val="bottom"/>
          </w:tcPr>
          <w:p>
            <w:pPr>
              <w:jc w:val="right"/>
              <w:ind w:right="1446"/>
              <w:spacing w:after="0"/>
              <w:rPr>
                <w:sz w:val="20"/>
                <w:szCs w:val="20"/>
                <w:color w:val="auto"/>
              </w:rPr>
            </w:pPr>
            <w:r>
              <w:rPr>
                <w:rFonts w:ascii="Arial" w:cs="Arial" w:eastAsia="Arial" w:hAnsi="Arial"/>
                <w:sz w:val="11"/>
                <w:szCs w:val="11"/>
                <w:color w:val="auto"/>
              </w:rPr>
              <w:t>1,625</w:t>
            </w:r>
          </w:p>
        </w:tc>
        <w:tc>
          <w:tcPr>
            <w:tcW w:w="2960" w:type="dxa"/>
            <w:vAlign w:val="bottom"/>
          </w:tcPr>
          <w:p>
            <w:pPr>
              <w:jc w:val="right"/>
              <w:ind w:right="1166"/>
              <w:spacing w:after="0"/>
              <w:rPr>
                <w:sz w:val="20"/>
                <w:szCs w:val="20"/>
                <w:color w:val="auto"/>
              </w:rPr>
            </w:pPr>
            <w:r>
              <w:rPr>
                <w:rFonts w:ascii="Arial" w:cs="Arial" w:eastAsia="Arial" w:hAnsi="Arial"/>
                <w:sz w:val="11"/>
                <w:szCs w:val="11"/>
                <w:color w:val="auto"/>
              </w:rPr>
              <w:t>13,500</w:t>
            </w:r>
          </w:p>
        </w:tc>
        <w:tc>
          <w:tcPr>
            <w:tcW w:w="2660" w:type="dxa"/>
            <w:vAlign w:val="bottom"/>
          </w:tcPr>
          <w:p>
            <w:pPr>
              <w:jc w:val="right"/>
              <w:ind w:right="1086"/>
              <w:spacing w:after="0"/>
              <w:rPr>
                <w:sz w:val="20"/>
                <w:szCs w:val="20"/>
                <w:color w:val="auto"/>
              </w:rPr>
            </w:pPr>
            <w:r>
              <w:rPr>
                <w:rFonts w:ascii="Arial" w:cs="Arial" w:eastAsia="Arial" w:hAnsi="Arial"/>
                <w:sz w:val="11"/>
                <w:szCs w:val="11"/>
                <w:color w:val="auto"/>
              </w:rPr>
              <w:t>7.0</w:t>
            </w:r>
          </w:p>
        </w:tc>
        <w:tc>
          <w:tcPr>
            <w:tcW w:w="2440" w:type="dxa"/>
            <w:vAlign w:val="bottom"/>
          </w:tcPr>
          <w:p>
            <w:pPr>
              <w:jc w:val="right"/>
              <w:ind w:right="926"/>
              <w:spacing w:after="0"/>
              <w:rPr>
                <w:sz w:val="20"/>
                <w:szCs w:val="20"/>
                <w:color w:val="auto"/>
              </w:rPr>
            </w:pPr>
            <w:r>
              <w:rPr>
                <w:rFonts w:ascii="Arial" w:cs="Arial" w:eastAsia="Arial" w:hAnsi="Arial"/>
                <w:sz w:val="11"/>
                <w:szCs w:val="11"/>
                <w:color w:val="auto"/>
              </w:rPr>
              <w:t>2,700</w:t>
            </w:r>
          </w:p>
        </w:tc>
      </w:tr>
    </w:tbl>
    <w:p>
      <w:pPr>
        <w:spacing w:after="0" w:line="79"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b w:val="1"/>
          <w:bCs w:val="1"/>
          <w:color w:val="auto"/>
        </w:rPr>
        <w:t xml:space="preserve">Average Number of Shares Outstanding. </w:t>
      </w:r>
      <w:r>
        <w:rPr>
          <w:rFonts w:ascii="Arial" w:cs="Arial" w:eastAsia="Arial" w:hAnsi="Arial"/>
          <w:sz w:val="15"/>
          <w:szCs w:val="15"/>
          <w:color w:val="auto"/>
        </w:rPr>
        <w:t>Basic earnings per share are based on the weighted average number of shares of common stock outstanding during each year.</w:t>
      </w:r>
      <w:r>
        <w:rPr>
          <w:rFonts w:ascii="Arial" w:cs="Arial" w:eastAsia="Arial" w:hAnsi="Arial"/>
          <w:sz w:val="15"/>
          <w:szCs w:val="15"/>
          <w:b w:val="1"/>
          <w:bCs w:val="1"/>
          <w:color w:val="auto"/>
        </w:rPr>
        <w:t xml:space="preserve"> </w:t>
      </w:r>
      <w:r>
        <w:rPr>
          <w:rFonts w:ascii="Arial" w:cs="Arial" w:eastAsia="Arial" w:hAnsi="Arial"/>
          <w:sz w:val="15"/>
          <w:szCs w:val="15"/>
          <w:color w:val="auto"/>
        </w:rPr>
        <w:t>Diluted earnings per common share are based upon the weighted average number of shares of common stock outstanding each year, adjusted for the dilutive effect of shares issuable under outstanding stock options. Basic and diluted weighted average share information for 2004, 2003 and 2002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360" w:type="dxa"/>
            <w:vAlign w:val="bottom"/>
          </w:tcPr>
          <w:p>
            <w:pPr>
              <w:jc w:val="center"/>
              <w:ind w:left="1933"/>
              <w:spacing w:after="0"/>
              <w:rPr>
                <w:sz w:val="20"/>
                <w:szCs w:val="20"/>
                <w:color w:val="auto"/>
              </w:rPr>
            </w:pPr>
            <w:r>
              <w:rPr>
                <w:rFonts w:ascii="Arial" w:cs="Arial" w:eastAsia="Arial" w:hAnsi="Arial"/>
                <w:sz w:val="13"/>
                <w:szCs w:val="13"/>
                <w:color w:val="auto"/>
                <w:w w:val="87"/>
              </w:rPr>
              <w:t>Basic</w:t>
            </w:r>
          </w:p>
        </w:tc>
        <w:tc>
          <w:tcPr>
            <w:tcW w:w="2120" w:type="dxa"/>
            <w:vAlign w:val="bottom"/>
          </w:tcPr>
          <w:p>
            <w:pPr>
              <w:ind w:left="900"/>
              <w:spacing w:after="0"/>
              <w:rPr>
                <w:sz w:val="20"/>
                <w:szCs w:val="20"/>
                <w:color w:val="auto"/>
              </w:rPr>
            </w:pPr>
            <w:r>
              <w:rPr>
                <w:rFonts w:ascii="Arial" w:cs="Arial" w:eastAsia="Arial" w:hAnsi="Arial"/>
                <w:sz w:val="13"/>
                <w:szCs w:val="13"/>
                <w:color w:val="auto"/>
              </w:rPr>
              <w:t>Dilutive</w:t>
            </w:r>
          </w:p>
        </w:tc>
        <w:tc>
          <w:tcPr>
            <w:tcW w:w="1760" w:type="dxa"/>
            <w:vAlign w:val="bottom"/>
          </w:tcPr>
          <w:p>
            <w:pPr>
              <w:jc w:val="center"/>
              <w:ind w:left="193"/>
              <w:spacing w:after="0"/>
              <w:rPr>
                <w:sz w:val="20"/>
                <w:szCs w:val="20"/>
                <w:color w:val="auto"/>
              </w:rPr>
            </w:pPr>
            <w:r>
              <w:rPr>
                <w:rFonts w:ascii="Arial" w:cs="Arial" w:eastAsia="Arial" w:hAnsi="Arial"/>
                <w:sz w:val="13"/>
                <w:szCs w:val="13"/>
                <w:color w:val="auto"/>
                <w:w w:val="93"/>
              </w:rPr>
              <w:t>Diluted</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360" w:type="dxa"/>
            <w:vAlign w:val="bottom"/>
          </w:tcPr>
          <w:p>
            <w:pPr>
              <w:jc w:val="center"/>
              <w:ind w:left="1933"/>
              <w:spacing w:after="0" w:line="135" w:lineRule="exact"/>
              <w:rPr>
                <w:sz w:val="20"/>
                <w:szCs w:val="20"/>
                <w:color w:val="auto"/>
              </w:rPr>
            </w:pPr>
            <w:r>
              <w:rPr>
                <w:rFonts w:ascii="Arial" w:cs="Arial" w:eastAsia="Arial" w:hAnsi="Arial"/>
                <w:sz w:val="13"/>
                <w:szCs w:val="13"/>
                <w:color w:val="auto"/>
                <w:w w:val="87"/>
              </w:rPr>
              <w:t>Weighted</w:t>
            </w:r>
          </w:p>
        </w:tc>
        <w:tc>
          <w:tcPr>
            <w:tcW w:w="2120" w:type="dxa"/>
            <w:vAlign w:val="bottom"/>
          </w:tcPr>
          <w:p>
            <w:pPr>
              <w:ind w:left="880"/>
              <w:spacing w:after="0" w:line="135" w:lineRule="exact"/>
              <w:rPr>
                <w:sz w:val="20"/>
                <w:szCs w:val="20"/>
                <w:color w:val="auto"/>
              </w:rPr>
            </w:pPr>
            <w:r>
              <w:rPr>
                <w:rFonts w:ascii="Arial" w:cs="Arial" w:eastAsia="Arial" w:hAnsi="Arial"/>
                <w:sz w:val="13"/>
                <w:szCs w:val="13"/>
                <w:color w:val="auto"/>
              </w:rPr>
              <w:t>Effect of</w:t>
            </w:r>
          </w:p>
        </w:tc>
        <w:tc>
          <w:tcPr>
            <w:tcW w:w="1760" w:type="dxa"/>
            <w:vAlign w:val="bottom"/>
          </w:tcPr>
          <w:p>
            <w:pPr>
              <w:ind w:left="780"/>
              <w:spacing w:after="0" w:line="135" w:lineRule="exact"/>
              <w:rPr>
                <w:sz w:val="20"/>
                <w:szCs w:val="20"/>
                <w:color w:val="auto"/>
              </w:rPr>
            </w:pPr>
            <w:r>
              <w:rPr>
                <w:rFonts w:ascii="Arial" w:cs="Arial" w:eastAsia="Arial" w:hAnsi="Arial"/>
                <w:sz w:val="13"/>
                <w:szCs w:val="13"/>
                <w:color w:val="auto"/>
              </w:rPr>
              <w:t>Weighted</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360" w:type="dxa"/>
            <w:vAlign w:val="bottom"/>
          </w:tcPr>
          <w:p>
            <w:pPr>
              <w:jc w:val="center"/>
              <w:ind w:left="1953"/>
              <w:spacing w:after="0" w:line="135" w:lineRule="exact"/>
              <w:rPr>
                <w:sz w:val="20"/>
                <w:szCs w:val="20"/>
                <w:color w:val="auto"/>
              </w:rPr>
            </w:pPr>
            <w:r>
              <w:rPr>
                <w:rFonts w:ascii="Arial" w:cs="Arial" w:eastAsia="Arial" w:hAnsi="Arial"/>
                <w:sz w:val="13"/>
                <w:szCs w:val="13"/>
                <w:color w:val="auto"/>
                <w:w w:val="86"/>
              </w:rPr>
              <w:t>Average</w:t>
            </w:r>
          </w:p>
        </w:tc>
        <w:tc>
          <w:tcPr>
            <w:tcW w:w="2120" w:type="dxa"/>
            <w:vAlign w:val="bottom"/>
          </w:tcPr>
          <w:p>
            <w:pPr>
              <w:ind w:left="960"/>
              <w:spacing w:after="0" w:line="135" w:lineRule="exact"/>
              <w:rPr>
                <w:sz w:val="20"/>
                <w:szCs w:val="20"/>
                <w:color w:val="auto"/>
              </w:rPr>
            </w:pPr>
            <w:r>
              <w:rPr>
                <w:rFonts w:ascii="Arial" w:cs="Arial" w:eastAsia="Arial" w:hAnsi="Arial"/>
                <w:sz w:val="13"/>
                <w:szCs w:val="13"/>
                <w:color w:val="auto"/>
              </w:rPr>
              <w:t>Stock</w:t>
            </w:r>
          </w:p>
        </w:tc>
        <w:tc>
          <w:tcPr>
            <w:tcW w:w="1760" w:type="dxa"/>
            <w:vAlign w:val="bottom"/>
          </w:tcPr>
          <w:p>
            <w:pPr>
              <w:jc w:val="center"/>
              <w:ind w:left="193"/>
              <w:spacing w:after="0" w:line="135" w:lineRule="exact"/>
              <w:rPr>
                <w:sz w:val="20"/>
                <w:szCs w:val="20"/>
                <w:color w:val="auto"/>
              </w:rPr>
            </w:pPr>
            <w:r>
              <w:rPr>
                <w:rFonts w:ascii="Arial" w:cs="Arial" w:eastAsia="Arial" w:hAnsi="Arial"/>
                <w:sz w:val="13"/>
                <w:szCs w:val="13"/>
                <w:color w:val="auto"/>
                <w:w w:val="86"/>
              </w:rPr>
              <w:t>Average</w:t>
            </w:r>
          </w:p>
        </w:tc>
      </w:tr>
      <w:tr>
        <w:trPr>
          <w:trHeight w:val="156"/>
        </w:trPr>
        <w:tc>
          <w:tcPr>
            <w:tcW w:w="20" w:type="dxa"/>
            <w:vAlign w:val="bottom"/>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c>
          <w:tcPr>
            <w:tcW w:w="4360" w:type="dxa"/>
            <w:vAlign w:val="bottom"/>
            <w:tcBorders>
              <w:bottom w:val="single" w:sz="8" w:color="auto"/>
            </w:tcBorders>
          </w:tcPr>
          <w:p>
            <w:pPr>
              <w:jc w:val="center"/>
              <w:ind w:left="1953"/>
              <w:spacing w:after="0"/>
              <w:rPr>
                <w:sz w:val="20"/>
                <w:szCs w:val="20"/>
                <w:color w:val="auto"/>
              </w:rPr>
            </w:pPr>
            <w:r>
              <w:rPr>
                <w:rFonts w:ascii="Arial" w:cs="Arial" w:eastAsia="Arial" w:hAnsi="Arial"/>
                <w:sz w:val="13"/>
                <w:szCs w:val="13"/>
                <w:color w:val="auto"/>
                <w:w w:val="82"/>
              </w:rPr>
              <w:t>Shares</w:t>
            </w:r>
          </w:p>
        </w:tc>
        <w:tc>
          <w:tcPr>
            <w:tcW w:w="212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Options</w:t>
            </w:r>
          </w:p>
        </w:tc>
        <w:tc>
          <w:tcPr>
            <w:tcW w:w="1760" w:type="dxa"/>
            <w:vAlign w:val="bottom"/>
            <w:tcBorders>
              <w:bottom w:val="single" w:sz="8" w:color="auto"/>
            </w:tcBorders>
          </w:tcPr>
          <w:p>
            <w:pPr>
              <w:jc w:val="center"/>
              <w:ind w:left="193"/>
              <w:spacing w:after="0"/>
              <w:rPr>
                <w:sz w:val="20"/>
                <w:szCs w:val="20"/>
                <w:color w:val="auto"/>
              </w:rPr>
            </w:pPr>
            <w:r>
              <w:rPr>
                <w:rFonts w:ascii="Arial" w:cs="Arial" w:eastAsia="Arial" w:hAnsi="Arial"/>
                <w:sz w:val="13"/>
                <w:szCs w:val="13"/>
                <w:color w:val="auto"/>
                <w:w w:val="82"/>
              </w:rPr>
              <w:t>Shares</w:t>
            </w: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jc w:val="right"/>
              <w:ind w:right="2808"/>
              <w:spacing w:after="0" w:line="149" w:lineRule="exact"/>
              <w:rPr>
                <w:sz w:val="20"/>
                <w:szCs w:val="20"/>
                <w:color w:val="auto"/>
              </w:rPr>
            </w:pPr>
            <w:r>
              <w:rPr>
                <w:rFonts w:ascii="Arial" w:cs="Arial" w:eastAsia="Arial" w:hAnsi="Arial"/>
                <w:sz w:val="14"/>
                <w:szCs w:val="14"/>
                <w:color w:val="auto"/>
                <w:w w:val="83"/>
              </w:rPr>
              <w:t>2004</w:t>
            </w:r>
          </w:p>
        </w:tc>
        <w:tc>
          <w:tcPr>
            <w:tcW w:w="4360" w:type="dxa"/>
            <w:vAlign w:val="bottom"/>
            <w:shd w:val="clear" w:color="auto" w:fill="CCEEFF"/>
          </w:tcPr>
          <w:p>
            <w:pPr>
              <w:jc w:val="center"/>
              <w:ind w:left="1953"/>
              <w:spacing w:after="0" w:line="149" w:lineRule="exact"/>
              <w:rPr>
                <w:sz w:val="20"/>
                <w:szCs w:val="20"/>
                <w:color w:val="auto"/>
              </w:rPr>
            </w:pPr>
            <w:r>
              <w:rPr>
                <w:rFonts w:ascii="Arial" w:cs="Arial" w:eastAsia="Arial" w:hAnsi="Arial"/>
                <w:sz w:val="14"/>
                <w:szCs w:val="14"/>
                <w:color w:val="auto"/>
                <w:w w:val="93"/>
              </w:rPr>
              <w:t>9,563,314</w:t>
            </w:r>
          </w:p>
        </w:tc>
        <w:tc>
          <w:tcPr>
            <w:tcW w:w="212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28,311</w:t>
            </w:r>
          </w:p>
        </w:tc>
        <w:tc>
          <w:tcPr>
            <w:tcW w:w="176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9,591,625</w:t>
            </w:r>
          </w:p>
        </w:tc>
      </w:tr>
      <w:tr>
        <w:trPr>
          <w:trHeight w:val="149"/>
        </w:trPr>
        <w:tc>
          <w:tcPr>
            <w:tcW w:w="20" w:type="dxa"/>
            <w:vAlign w:val="bottom"/>
          </w:tcPr>
          <w:p>
            <w:pPr>
              <w:spacing w:after="0"/>
              <w:rPr>
                <w:sz w:val="12"/>
                <w:szCs w:val="12"/>
                <w:color w:val="auto"/>
              </w:rPr>
            </w:pPr>
          </w:p>
        </w:tc>
        <w:tc>
          <w:tcPr>
            <w:tcW w:w="3160" w:type="dxa"/>
            <w:vAlign w:val="bottom"/>
          </w:tcPr>
          <w:p>
            <w:pPr>
              <w:jc w:val="right"/>
              <w:ind w:right="2808"/>
              <w:spacing w:after="0" w:line="149" w:lineRule="exact"/>
              <w:rPr>
                <w:sz w:val="20"/>
                <w:szCs w:val="20"/>
                <w:color w:val="auto"/>
              </w:rPr>
            </w:pPr>
            <w:r>
              <w:rPr>
                <w:rFonts w:ascii="Arial" w:cs="Arial" w:eastAsia="Arial" w:hAnsi="Arial"/>
                <w:sz w:val="14"/>
                <w:szCs w:val="14"/>
                <w:color w:val="auto"/>
                <w:w w:val="83"/>
              </w:rPr>
              <w:t>2003</w:t>
            </w:r>
          </w:p>
        </w:tc>
        <w:tc>
          <w:tcPr>
            <w:tcW w:w="4360" w:type="dxa"/>
            <w:vAlign w:val="bottom"/>
          </w:tcPr>
          <w:p>
            <w:pPr>
              <w:jc w:val="center"/>
              <w:ind w:left="1953"/>
              <w:spacing w:after="0" w:line="149" w:lineRule="exact"/>
              <w:rPr>
                <w:sz w:val="20"/>
                <w:szCs w:val="20"/>
                <w:color w:val="auto"/>
              </w:rPr>
            </w:pPr>
            <w:r>
              <w:rPr>
                <w:rFonts w:ascii="Arial" w:cs="Arial" w:eastAsia="Arial" w:hAnsi="Arial"/>
                <w:sz w:val="14"/>
                <w:szCs w:val="14"/>
                <w:color w:val="auto"/>
                <w:w w:val="93"/>
              </w:rPr>
              <w:t>9,530,209</w:t>
            </w:r>
          </w:p>
        </w:tc>
        <w:tc>
          <w:tcPr>
            <w:tcW w:w="2120" w:type="dxa"/>
            <w:vAlign w:val="bottom"/>
          </w:tcPr>
          <w:p>
            <w:pPr>
              <w:ind w:left="960"/>
              <w:spacing w:after="0" w:line="149" w:lineRule="exact"/>
              <w:rPr>
                <w:sz w:val="20"/>
                <w:szCs w:val="20"/>
                <w:color w:val="auto"/>
              </w:rPr>
            </w:pPr>
            <w:r>
              <w:rPr>
                <w:rFonts w:ascii="Arial" w:cs="Arial" w:eastAsia="Arial" w:hAnsi="Arial"/>
                <w:sz w:val="14"/>
                <w:szCs w:val="14"/>
                <w:color w:val="auto"/>
              </w:rPr>
              <w:t>24,454</w:t>
            </w:r>
          </w:p>
        </w:tc>
        <w:tc>
          <w:tcPr>
            <w:tcW w:w="1760" w:type="dxa"/>
            <w:vAlign w:val="bottom"/>
          </w:tcPr>
          <w:p>
            <w:pPr>
              <w:ind w:left="780"/>
              <w:spacing w:after="0" w:line="149" w:lineRule="exact"/>
              <w:rPr>
                <w:sz w:val="20"/>
                <w:szCs w:val="20"/>
                <w:color w:val="auto"/>
              </w:rPr>
            </w:pPr>
            <w:r>
              <w:rPr>
                <w:rFonts w:ascii="Arial" w:cs="Arial" w:eastAsia="Arial" w:hAnsi="Arial"/>
                <w:sz w:val="14"/>
                <w:szCs w:val="14"/>
                <w:color w:val="auto"/>
              </w:rPr>
              <w:t>9,554,663</w:t>
            </w: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jc w:val="right"/>
              <w:ind w:right="2808"/>
              <w:spacing w:after="0" w:line="149" w:lineRule="exact"/>
              <w:rPr>
                <w:sz w:val="20"/>
                <w:szCs w:val="20"/>
                <w:color w:val="auto"/>
              </w:rPr>
            </w:pPr>
            <w:r>
              <w:rPr>
                <w:rFonts w:ascii="Arial" w:cs="Arial" w:eastAsia="Arial" w:hAnsi="Arial"/>
                <w:sz w:val="14"/>
                <w:szCs w:val="14"/>
                <w:color w:val="auto"/>
                <w:w w:val="83"/>
              </w:rPr>
              <w:t>2002</w:t>
            </w:r>
          </w:p>
        </w:tc>
        <w:tc>
          <w:tcPr>
            <w:tcW w:w="4360" w:type="dxa"/>
            <w:vAlign w:val="bottom"/>
            <w:shd w:val="clear" w:color="auto" w:fill="CCEEFF"/>
          </w:tcPr>
          <w:p>
            <w:pPr>
              <w:jc w:val="center"/>
              <w:ind w:left="1953"/>
              <w:spacing w:after="0" w:line="149" w:lineRule="exact"/>
              <w:rPr>
                <w:sz w:val="20"/>
                <w:szCs w:val="20"/>
                <w:color w:val="auto"/>
              </w:rPr>
            </w:pPr>
            <w:r>
              <w:rPr>
                <w:rFonts w:ascii="Arial" w:cs="Arial" w:eastAsia="Arial" w:hAnsi="Arial"/>
                <w:sz w:val="14"/>
                <w:szCs w:val="14"/>
                <w:color w:val="auto"/>
                <w:w w:val="93"/>
              </w:rPr>
              <w:t>9,503,983</w:t>
            </w:r>
          </w:p>
        </w:tc>
        <w:tc>
          <w:tcPr>
            <w:tcW w:w="212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18,671</w:t>
            </w:r>
          </w:p>
        </w:tc>
        <w:tc>
          <w:tcPr>
            <w:tcW w:w="176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9,522,654</w:t>
            </w:r>
          </w:p>
        </w:tc>
      </w:tr>
    </w:tbl>
    <w:p>
      <w:pPr>
        <w:spacing w:after="0" w:line="9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2004, 2003 and 2002 diluted earnings per share amounts exclude the effects of 4,000, 16,750, and 11,500 stock options outstanding, respectively, as their inclusion would be antidilutive.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 PENSIONS AND OTHER POSTRETIREMENT PLANS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The Company maintains various pension and incentive savings plans and contributes to several multi-employer plans on behalf of certain union-represented employee groups.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employees are covered by these plans.</w:t>
      </w:r>
    </w:p>
    <w:p>
      <w:pPr>
        <w:spacing w:after="0" w:line="12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Company also provides health care and life insurance benefits to certain retired employees. These employees become eligible for benefits after meeting age and service requirements.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a measurement date of December 31 for its pension and other postretirement benefit plans.</w:t>
      </w:r>
    </w:p>
    <w:p>
      <w:pPr>
        <w:spacing w:after="0" w:line="127"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In 2004, 2003, and 2002, the Company offered several early retirement programs to certain groups of employees at The Washington Post newspaper, Newsweek and the corporate office, the effects of which are included below. Effective June 1, 2003, the retirement pension program for certain employees at The Washington Post newspaper and the corporate office was amended and provides for increased annuity payments for vested employees retiring after this date. This plan amendment resulted in a reduction in the pension credit of approximately $5.1 million and $2.6 million for the years ended January 2, 2005 and December 28, 2003,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obligation, asset and funding information for the Company’s defined benefit pension and postretirement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plans at January 2, 2005 and December 28, 2003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Pension Plans</w:t>
            </w:r>
          </w:p>
        </w:tc>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Postretirement Plans</w:t>
            </w: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2004</w:t>
            </w:r>
          </w:p>
        </w:tc>
        <w:tc>
          <w:tcPr>
            <w:tcW w:w="1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2003</w:t>
            </w: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2004</w:t>
            </w:r>
          </w:p>
        </w:tc>
        <w:tc>
          <w:tcPr>
            <w:tcW w:w="1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Change in Benefit Obligation</w:t>
            </w:r>
          </w:p>
        </w:tc>
        <w:tc>
          <w:tcPr>
            <w:tcW w:w="6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tcPr>
          <w:p>
            <w:pPr>
              <w:spacing w:after="0" w:line="122" w:lineRule="exact"/>
              <w:rPr>
                <w:sz w:val="20"/>
                <w:szCs w:val="20"/>
                <w:color w:val="auto"/>
              </w:rPr>
            </w:pPr>
            <w:r>
              <w:rPr>
                <w:rFonts w:ascii="Arial" w:cs="Arial" w:eastAsia="Arial" w:hAnsi="Arial"/>
                <w:sz w:val="11"/>
                <w:szCs w:val="11"/>
                <w:color w:val="auto"/>
              </w:rPr>
              <w:t>Benefit obligation at beginning of year</w:t>
            </w: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625,774</w:t>
            </w: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498,952</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0"/>
              </w:rPr>
              <w:t>120,444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466"/>
              <w:spacing w:after="0" w:line="122" w:lineRule="exact"/>
              <w:rPr>
                <w:sz w:val="20"/>
                <w:szCs w:val="20"/>
                <w:color w:val="auto"/>
              </w:rPr>
            </w:pPr>
            <w:r>
              <w:rPr>
                <w:rFonts w:ascii="Arial" w:cs="Arial" w:eastAsia="Arial" w:hAnsi="Arial"/>
                <w:sz w:val="11"/>
                <w:szCs w:val="11"/>
                <w:color w:val="auto"/>
                <w:w w:val="90"/>
              </w:rPr>
              <w:t>112,174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Service cost</w:t>
            </w:r>
          </w:p>
        </w:tc>
        <w:tc>
          <w:tcPr>
            <w:tcW w:w="6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22,896</w:t>
            </w:r>
          </w:p>
        </w:tc>
        <w:tc>
          <w:tcPr>
            <w:tcW w:w="128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19,965</w:t>
            </w: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rPr>
              <w:t>5,285</w:t>
            </w:r>
          </w:p>
        </w:tc>
        <w:tc>
          <w:tcPr>
            <w:tcW w:w="13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5,164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tcPr>
          <w:p>
            <w:pPr>
              <w:spacing w:after="0" w:line="122" w:lineRule="exact"/>
              <w:rPr>
                <w:sz w:val="20"/>
                <w:szCs w:val="20"/>
                <w:color w:val="auto"/>
              </w:rPr>
            </w:pPr>
            <w:r>
              <w:rPr>
                <w:rFonts w:ascii="Arial" w:cs="Arial" w:eastAsia="Arial" w:hAnsi="Arial"/>
                <w:sz w:val="11"/>
                <w:szCs w:val="11"/>
                <w:color w:val="auto"/>
              </w:rPr>
              <w:t>Interest cost</w:t>
            </w:r>
          </w:p>
        </w:tc>
        <w:tc>
          <w:tcPr>
            <w:tcW w:w="600" w:type="dxa"/>
            <w:vAlign w:val="bottom"/>
          </w:tcPr>
          <w:p>
            <w:pPr>
              <w:spacing w:after="0"/>
              <w:rPr>
                <w:sz w:val="10"/>
                <w:szCs w:val="10"/>
                <w:color w:val="auto"/>
              </w:rPr>
            </w:pPr>
          </w:p>
        </w:tc>
        <w:tc>
          <w:tcPr>
            <w:tcW w:w="68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37,153</w:t>
            </w:r>
          </w:p>
        </w:tc>
        <w:tc>
          <w:tcPr>
            <w:tcW w:w="1280" w:type="dxa"/>
            <w:vAlign w:val="bottom"/>
          </w:tcPr>
          <w:p>
            <w:pPr>
              <w:spacing w:after="0"/>
              <w:rPr>
                <w:sz w:val="10"/>
                <w:szCs w:val="10"/>
                <w:color w:val="auto"/>
              </w:rPr>
            </w:pPr>
          </w:p>
        </w:tc>
        <w:tc>
          <w:tcPr>
            <w:tcW w:w="104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33,696</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7,355</w:t>
            </w:r>
          </w:p>
        </w:tc>
        <w:tc>
          <w:tcPr>
            <w:tcW w:w="1380" w:type="dxa"/>
            <w:vAlign w:val="bottom"/>
          </w:tcPr>
          <w:p>
            <w:pPr>
              <w:spacing w:after="0"/>
              <w:rPr>
                <w:sz w:val="10"/>
                <w:szCs w:val="10"/>
                <w:color w:val="auto"/>
              </w:rPr>
            </w:pPr>
          </w:p>
        </w:tc>
        <w:tc>
          <w:tcPr>
            <w:tcW w:w="90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7,395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Amendments</w:t>
            </w:r>
          </w:p>
        </w:tc>
        <w:tc>
          <w:tcPr>
            <w:tcW w:w="6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218</w:t>
            </w:r>
          </w:p>
        </w:tc>
        <w:tc>
          <w:tcPr>
            <w:tcW w:w="128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60,697</w:t>
            </w: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rPr>
              <w:t>—</w:t>
            </w:r>
          </w:p>
        </w:tc>
        <w:tc>
          <w:tcPr>
            <w:tcW w:w="13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rPr>
              <w:t>(5,479)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tcPr>
          <w:p>
            <w:pPr>
              <w:spacing w:after="0" w:line="122" w:lineRule="exact"/>
              <w:rPr>
                <w:sz w:val="20"/>
                <w:szCs w:val="20"/>
                <w:color w:val="auto"/>
              </w:rPr>
            </w:pPr>
            <w:r>
              <w:rPr>
                <w:rFonts w:ascii="Arial" w:cs="Arial" w:eastAsia="Arial" w:hAnsi="Arial"/>
                <w:sz w:val="11"/>
                <w:szCs w:val="11"/>
                <w:color w:val="auto"/>
              </w:rPr>
              <w:t>Actuarial loss</w:t>
            </w:r>
          </w:p>
        </w:tc>
        <w:tc>
          <w:tcPr>
            <w:tcW w:w="600" w:type="dxa"/>
            <w:vAlign w:val="bottom"/>
          </w:tcPr>
          <w:p>
            <w:pPr>
              <w:spacing w:after="0"/>
              <w:rPr>
                <w:sz w:val="10"/>
                <w:szCs w:val="10"/>
                <w:color w:val="auto"/>
              </w:rPr>
            </w:pPr>
          </w:p>
        </w:tc>
        <w:tc>
          <w:tcPr>
            <w:tcW w:w="68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46,655</w:t>
            </w:r>
          </w:p>
        </w:tc>
        <w:tc>
          <w:tcPr>
            <w:tcW w:w="1280" w:type="dxa"/>
            <w:vAlign w:val="bottom"/>
          </w:tcPr>
          <w:p>
            <w:pPr>
              <w:spacing w:after="0"/>
              <w:rPr>
                <w:sz w:val="10"/>
                <w:szCs w:val="10"/>
                <w:color w:val="auto"/>
              </w:rPr>
            </w:pPr>
          </w:p>
        </w:tc>
        <w:tc>
          <w:tcPr>
            <w:tcW w:w="104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37,339</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5,764</w:t>
            </w:r>
          </w:p>
        </w:tc>
        <w:tc>
          <w:tcPr>
            <w:tcW w:w="1380" w:type="dxa"/>
            <w:vAlign w:val="bottom"/>
          </w:tcPr>
          <w:p>
            <w:pPr>
              <w:spacing w:after="0"/>
              <w:rPr>
                <w:sz w:val="10"/>
                <w:szCs w:val="10"/>
                <w:color w:val="auto"/>
              </w:rPr>
            </w:pPr>
          </w:p>
        </w:tc>
        <w:tc>
          <w:tcPr>
            <w:tcW w:w="90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6,733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Benefits paid</w:t>
            </w:r>
          </w:p>
        </w:tc>
        <w:tc>
          <w:tcPr>
            <w:tcW w:w="6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rPr>
              <w:t>(43,555)</w:t>
            </w:r>
          </w:p>
        </w:tc>
        <w:tc>
          <w:tcPr>
            <w:tcW w:w="128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(24,875)</w:t>
            </w:r>
          </w:p>
        </w:tc>
        <w:tc>
          <w:tcPr>
            <w:tcW w:w="3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auto"/>
              </w:rPr>
              <w:t>(6,308)</w:t>
            </w:r>
          </w:p>
        </w:tc>
        <w:tc>
          <w:tcPr>
            <w:tcW w:w="13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rPr>
              <w:t>(5,543)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Benefit obligation at end of year</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689,141</w:t>
            </w:r>
          </w:p>
        </w:tc>
        <w:tc>
          <w:tcPr>
            <w:tcW w:w="12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625,774</w:t>
            </w:r>
          </w:p>
        </w:tc>
        <w:tc>
          <w:tcPr>
            <w:tcW w:w="92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w w:val="90"/>
              </w:rPr>
              <w:t>132,540</w:t>
            </w:r>
          </w:p>
        </w:tc>
        <w:tc>
          <w:tcPr>
            <w:tcW w:w="13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w w:val="90"/>
              </w:rPr>
              <w:t>120,444</w:t>
            </w:r>
          </w:p>
        </w:tc>
        <w:tc>
          <w:tcPr>
            <w:tcW w:w="0" w:type="dxa"/>
            <w:vAlign w:val="bottom"/>
          </w:tcPr>
          <w:p>
            <w:pPr>
              <w:spacing w:after="0"/>
              <w:rPr>
                <w:sz w:val="1"/>
                <w:szCs w:val="1"/>
                <w:color w:val="auto"/>
              </w:rPr>
            </w:pPr>
          </w:p>
        </w:tc>
      </w:tr>
      <w:tr>
        <w:trPr>
          <w:trHeight w:val="21"/>
        </w:trPr>
        <w:tc>
          <w:tcPr>
            <w:tcW w:w="40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Change in Plan Assets</w:t>
            </w: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0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Fair value of assets at beginning of year</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w w:val="85"/>
              </w:rPr>
              <w:t>1,564,966</w:t>
            </w: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w w:val="85"/>
              </w:rPr>
              <w:t>1,362,084</w:t>
            </w:r>
          </w:p>
        </w:tc>
        <w:tc>
          <w:tcPr>
            <w:tcW w:w="9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rPr>
              <w:t>—</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tcPr>
          <w:p>
            <w:pPr>
              <w:spacing w:after="0" w:line="122" w:lineRule="exact"/>
              <w:rPr>
                <w:sz w:val="20"/>
                <w:szCs w:val="20"/>
                <w:color w:val="auto"/>
              </w:rPr>
            </w:pPr>
            <w:r>
              <w:rPr>
                <w:rFonts w:ascii="Arial" w:cs="Arial" w:eastAsia="Arial" w:hAnsi="Arial"/>
                <w:sz w:val="11"/>
                <w:szCs w:val="11"/>
                <w:color w:val="auto"/>
              </w:rPr>
              <w:t>Actual return on plan assets</w:t>
            </w:r>
          </w:p>
        </w:tc>
        <w:tc>
          <w:tcPr>
            <w:tcW w:w="600" w:type="dxa"/>
            <w:vAlign w:val="bottom"/>
          </w:tcPr>
          <w:p>
            <w:pPr>
              <w:spacing w:after="0"/>
              <w:rPr>
                <w:sz w:val="10"/>
                <w:szCs w:val="10"/>
                <w:color w:val="auto"/>
              </w:rPr>
            </w:pPr>
          </w:p>
        </w:tc>
        <w:tc>
          <w:tcPr>
            <w:tcW w:w="68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66,802</w:t>
            </w:r>
          </w:p>
        </w:tc>
        <w:tc>
          <w:tcPr>
            <w:tcW w:w="1280" w:type="dxa"/>
            <w:vAlign w:val="bottom"/>
          </w:tcPr>
          <w:p>
            <w:pPr>
              <w:spacing w:after="0"/>
              <w:rPr>
                <w:sz w:val="10"/>
                <w:szCs w:val="10"/>
                <w:color w:val="auto"/>
              </w:rPr>
            </w:pPr>
          </w:p>
        </w:tc>
        <w:tc>
          <w:tcPr>
            <w:tcW w:w="104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227,757</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w:t>
            </w:r>
          </w:p>
        </w:tc>
        <w:tc>
          <w:tcPr>
            <w:tcW w:w="1380" w:type="dxa"/>
            <w:vAlign w:val="bottom"/>
          </w:tcPr>
          <w:p>
            <w:pPr>
              <w:spacing w:after="0"/>
              <w:rPr>
                <w:sz w:val="10"/>
                <w:szCs w:val="10"/>
                <w:color w:val="auto"/>
              </w:rPr>
            </w:pPr>
          </w:p>
        </w:tc>
        <w:tc>
          <w:tcPr>
            <w:tcW w:w="90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Employer contributions</w:t>
            </w:r>
          </w:p>
        </w:tc>
        <w:tc>
          <w:tcPr>
            <w:tcW w:w="6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w:t>
            </w:r>
          </w:p>
        </w:tc>
        <w:tc>
          <w:tcPr>
            <w:tcW w:w="128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rPr>
              <w:t>6,308</w:t>
            </w:r>
          </w:p>
        </w:tc>
        <w:tc>
          <w:tcPr>
            <w:tcW w:w="13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5,543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tcPr>
          <w:p>
            <w:pPr>
              <w:spacing w:after="0" w:line="122" w:lineRule="exact"/>
              <w:rPr>
                <w:sz w:val="20"/>
                <w:szCs w:val="20"/>
                <w:color w:val="auto"/>
              </w:rPr>
            </w:pPr>
            <w:r>
              <w:rPr>
                <w:rFonts w:ascii="Arial" w:cs="Arial" w:eastAsia="Arial" w:hAnsi="Arial"/>
                <w:sz w:val="11"/>
                <w:szCs w:val="11"/>
                <w:color w:val="auto"/>
              </w:rPr>
              <w:t>Benefits paid</w:t>
            </w:r>
          </w:p>
        </w:tc>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b w:val="1"/>
                <w:bCs w:val="1"/>
                <w:color w:val="auto"/>
              </w:rPr>
              <w:t>(43,555)</w:t>
            </w:r>
          </w:p>
        </w:tc>
        <w:tc>
          <w:tcPr>
            <w:tcW w:w="1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6"/>
              <w:spacing w:after="0" w:line="122" w:lineRule="exact"/>
              <w:rPr>
                <w:sz w:val="20"/>
                <w:szCs w:val="20"/>
                <w:color w:val="auto"/>
              </w:rPr>
            </w:pPr>
            <w:r>
              <w:rPr>
                <w:rFonts w:ascii="Arial" w:cs="Arial" w:eastAsia="Arial" w:hAnsi="Arial"/>
                <w:sz w:val="11"/>
                <w:szCs w:val="11"/>
                <w:color w:val="auto"/>
              </w:rPr>
              <w:t>(24,875)</w:t>
            </w: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66"/>
              <w:spacing w:after="0" w:line="122" w:lineRule="exact"/>
              <w:rPr>
                <w:sz w:val="20"/>
                <w:szCs w:val="20"/>
                <w:color w:val="auto"/>
              </w:rPr>
            </w:pPr>
            <w:r>
              <w:rPr>
                <w:rFonts w:ascii="Arial" w:cs="Arial" w:eastAsia="Arial" w:hAnsi="Arial"/>
                <w:sz w:val="11"/>
                <w:szCs w:val="11"/>
                <w:b w:val="1"/>
                <w:bCs w:val="1"/>
                <w:color w:val="auto"/>
              </w:rPr>
              <w:t>(6,308)</w:t>
            </w:r>
          </w:p>
        </w:tc>
        <w:tc>
          <w:tcPr>
            <w:tcW w:w="13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26"/>
              <w:spacing w:after="0" w:line="122" w:lineRule="exact"/>
              <w:rPr>
                <w:sz w:val="20"/>
                <w:szCs w:val="20"/>
                <w:color w:val="auto"/>
              </w:rPr>
            </w:pPr>
            <w:r>
              <w:rPr>
                <w:rFonts w:ascii="Arial" w:cs="Arial" w:eastAsia="Arial" w:hAnsi="Arial"/>
                <w:sz w:val="11"/>
                <w:szCs w:val="11"/>
                <w:color w:val="auto"/>
              </w:rPr>
              <w:t>(5,543)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Fair value of assets at end of year</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w w:val="85"/>
              </w:rPr>
              <w:t>1,588,213</w:t>
            </w:r>
          </w:p>
        </w:tc>
        <w:tc>
          <w:tcPr>
            <w:tcW w:w="12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w w:val="85"/>
              </w:rPr>
              <w:t>1,564,966</w:t>
            </w:r>
          </w:p>
        </w:tc>
        <w:tc>
          <w:tcPr>
            <w:tcW w:w="92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rPr>
              <w:t>—</w:t>
            </w:r>
          </w:p>
        </w:tc>
        <w:tc>
          <w:tcPr>
            <w:tcW w:w="13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Funded status</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899,072</w:t>
            </w: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939,192</w:t>
            </w:r>
          </w:p>
        </w:tc>
        <w:tc>
          <w:tcPr>
            <w:tcW w:w="9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auto"/>
                <w:w w:val="84"/>
              </w:rPr>
              <w:t>(132,540)</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w w:val="84"/>
              </w:rPr>
              <w:t>(120,444)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tcPr>
          <w:p>
            <w:pPr>
              <w:spacing w:after="0" w:line="122" w:lineRule="exact"/>
              <w:rPr>
                <w:sz w:val="20"/>
                <w:szCs w:val="20"/>
                <w:color w:val="auto"/>
              </w:rPr>
            </w:pPr>
            <w:r>
              <w:rPr>
                <w:rFonts w:ascii="Arial" w:cs="Arial" w:eastAsia="Arial" w:hAnsi="Arial"/>
                <w:sz w:val="11"/>
                <w:szCs w:val="11"/>
                <w:color w:val="auto"/>
              </w:rPr>
              <w:t>Unrecognized transition asset</w:t>
            </w:r>
          </w:p>
        </w:tc>
        <w:tc>
          <w:tcPr>
            <w:tcW w:w="600" w:type="dxa"/>
            <w:vAlign w:val="bottom"/>
          </w:tcPr>
          <w:p>
            <w:pPr>
              <w:spacing w:after="0"/>
              <w:rPr>
                <w:sz w:val="10"/>
                <w:szCs w:val="10"/>
                <w:color w:val="auto"/>
              </w:rPr>
            </w:pP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(355)</w:t>
            </w:r>
          </w:p>
        </w:tc>
        <w:tc>
          <w:tcPr>
            <w:tcW w:w="1280" w:type="dxa"/>
            <w:vAlign w:val="bottom"/>
          </w:tcPr>
          <w:p>
            <w:pPr>
              <w:spacing w:after="0"/>
              <w:rPr>
                <w:sz w:val="10"/>
                <w:szCs w:val="10"/>
                <w:color w:val="auto"/>
              </w:rPr>
            </w:pPr>
          </w:p>
        </w:tc>
        <w:tc>
          <w:tcPr>
            <w:tcW w:w="1040" w:type="dxa"/>
            <w:vAlign w:val="bottom"/>
          </w:tcPr>
          <w:p>
            <w:pPr>
              <w:jc w:val="right"/>
              <w:ind w:right="526"/>
              <w:spacing w:after="0" w:line="122" w:lineRule="exact"/>
              <w:rPr>
                <w:sz w:val="20"/>
                <w:szCs w:val="20"/>
                <w:color w:val="auto"/>
              </w:rPr>
            </w:pPr>
            <w:r>
              <w:rPr>
                <w:rFonts w:ascii="Arial" w:cs="Arial" w:eastAsia="Arial" w:hAnsi="Arial"/>
                <w:sz w:val="11"/>
                <w:szCs w:val="11"/>
                <w:color w:val="auto"/>
              </w:rPr>
              <w:t>(1,442)</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w:t>
            </w:r>
          </w:p>
        </w:tc>
        <w:tc>
          <w:tcPr>
            <w:tcW w:w="1380" w:type="dxa"/>
            <w:vAlign w:val="bottom"/>
          </w:tcPr>
          <w:p>
            <w:pPr>
              <w:spacing w:after="0"/>
              <w:rPr>
                <w:sz w:val="10"/>
                <w:szCs w:val="10"/>
                <w:color w:val="auto"/>
              </w:rPr>
            </w:pPr>
          </w:p>
        </w:tc>
        <w:tc>
          <w:tcPr>
            <w:tcW w:w="90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Unrecognized prior service cost</w:t>
            </w:r>
          </w:p>
        </w:tc>
        <w:tc>
          <w:tcPr>
            <w:tcW w:w="6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38,389</w:t>
            </w:r>
          </w:p>
        </w:tc>
        <w:tc>
          <w:tcPr>
            <w:tcW w:w="128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46,941</w:t>
            </w: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auto"/>
              </w:rPr>
              <w:t>(8,001)</w:t>
            </w:r>
          </w:p>
        </w:tc>
        <w:tc>
          <w:tcPr>
            <w:tcW w:w="13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rPr>
              <w:t>(8,589)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60" w:type="dxa"/>
            <w:vAlign w:val="bottom"/>
          </w:tcPr>
          <w:p>
            <w:pPr>
              <w:spacing w:after="0" w:line="122" w:lineRule="exact"/>
              <w:rPr>
                <w:sz w:val="20"/>
                <w:szCs w:val="20"/>
                <w:color w:val="auto"/>
              </w:rPr>
            </w:pPr>
            <w:r>
              <w:rPr>
                <w:rFonts w:ascii="Arial" w:cs="Arial" w:eastAsia="Arial" w:hAnsi="Arial"/>
                <w:sz w:val="11"/>
                <w:szCs w:val="11"/>
                <w:color w:val="auto"/>
              </w:rPr>
              <w:t>Unrecognized actuarial gain</w:t>
            </w:r>
          </w:p>
        </w:tc>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b w:val="1"/>
                <w:bCs w:val="1"/>
                <w:color w:val="auto"/>
                <w:w w:val="93"/>
              </w:rPr>
              <w:t>(380,359)</w:t>
            </w:r>
          </w:p>
        </w:tc>
        <w:tc>
          <w:tcPr>
            <w:tcW w:w="1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6"/>
              <w:spacing w:after="0" w:line="122" w:lineRule="exact"/>
              <w:rPr>
                <w:sz w:val="20"/>
                <w:szCs w:val="20"/>
                <w:color w:val="auto"/>
              </w:rPr>
            </w:pPr>
            <w:r>
              <w:rPr>
                <w:rFonts w:ascii="Arial" w:cs="Arial" w:eastAsia="Arial" w:hAnsi="Arial"/>
                <w:sz w:val="11"/>
                <w:szCs w:val="11"/>
                <w:color w:val="auto"/>
                <w:w w:val="93"/>
              </w:rPr>
              <w:t>(469,890)</w:t>
            </w: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66"/>
              <w:spacing w:after="0" w:line="122" w:lineRule="exact"/>
              <w:rPr>
                <w:sz w:val="20"/>
                <w:szCs w:val="20"/>
                <w:color w:val="auto"/>
              </w:rPr>
            </w:pPr>
            <w:r>
              <w:rPr>
                <w:rFonts w:ascii="Arial" w:cs="Arial" w:eastAsia="Arial" w:hAnsi="Arial"/>
                <w:sz w:val="11"/>
                <w:szCs w:val="11"/>
                <w:b w:val="1"/>
                <w:bCs w:val="1"/>
                <w:color w:val="auto"/>
              </w:rPr>
              <w:t>(4,949)</w:t>
            </w:r>
          </w:p>
        </w:tc>
        <w:tc>
          <w:tcPr>
            <w:tcW w:w="13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26"/>
              <w:spacing w:after="0" w:line="122" w:lineRule="exact"/>
              <w:rPr>
                <w:sz w:val="20"/>
                <w:szCs w:val="20"/>
                <w:color w:val="auto"/>
              </w:rPr>
            </w:pPr>
            <w:r>
              <w:rPr>
                <w:rFonts w:ascii="Arial" w:cs="Arial" w:eastAsia="Arial" w:hAnsi="Arial"/>
                <w:sz w:val="11"/>
                <w:szCs w:val="11"/>
                <w:color w:val="auto"/>
                <w:w w:val="97"/>
              </w:rPr>
              <w:t>(11,707)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prepaid (accrued) cost</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556,747</w:t>
            </w:r>
          </w:p>
        </w:tc>
        <w:tc>
          <w:tcPr>
            <w:tcW w:w="12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514,801</w:t>
            </w:r>
          </w:p>
        </w:tc>
        <w:tc>
          <w:tcPr>
            <w:tcW w:w="92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auto"/>
                <w:w w:val="84"/>
              </w:rPr>
              <w:t>(145,490)</w:t>
            </w:r>
          </w:p>
        </w:tc>
        <w:tc>
          <w:tcPr>
            <w:tcW w:w="13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w w:val="84"/>
              </w:rPr>
              <w:t>(140,740)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The accumulated benefit obligation for the Company’s defined benefit pension plans at January 2, 2005 and December 28, 2003 was $599.2 million and $548.4 million,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Key assumptions utilized for determining the benefit obligation at January 2, 2005 and December 28, 2003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jc w:val="right"/>
              <w:ind w:right="1106"/>
              <w:spacing w:after="0"/>
              <w:rPr>
                <w:sz w:val="20"/>
                <w:szCs w:val="20"/>
                <w:color w:val="auto"/>
              </w:rPr>
            </w:pPr>
            <w:r>
              <w:rPr>
                <w:rFonts w:ascii="Arial" w:cs="Arial" w:eastAsia="Arial" w:hAnsi="Arial"/>
                <w:sz w:val="11"/>
                <w:szCs w:val="11"/>
                <w:color w:val="auto"/>
              </w:rPr>
              <w:t>Postretirement</w:t>
            </w:r>
          </w:p>
        </w:tc>
      </w:tr>
      <w:tr>
        <w:trPr>
          <w:trHeight w:val="131"/>
        </w:trPr>
        <w:tc>
          <w:tcPr>
            <w:tcW w:w="5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jc w:val="right"/>
              <w:ind w:right="1126"/>
              <w:spacing w:after="0"/>
              <w:rPr>
                <w:sz w:val="20"/>
                <w:szCs w:val="20"/>
                <w:color w:val="auto"/>
              </w:rPr>
            </w:pPr>
            <w:r>
              <w:rPr>
                <w:rFonts w:ascii="Arial" w:cs="Arial" w:eastAsia="Arial" w:hAnsi="Arial"/>
                <w:sz w:val="11"/>
                <w:szCs w:val="11"/>
                <w:color w:val="auto"/>
              </w:rPr>
              <w:t>Pension Plans</w:t>
            </w:r>
          </w:p>
        </w:tc>
        <w:tc>
          <w:tcPr>
            <w:tcW w:w="3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jc w:val="right"/>
              <w:ind w:right="1306"/>
              <w:spacing w:after="0"/>
              <w:rPr>
                <w:sz w:val="20"/>
                <w:szCs w:val="20"/>
                <w:color w:val="auto"/>
              </w:rPr>
            </w:pPr>
            <w:r>
              <w:rPr>
                <w:rFonts w:ascii="Arial" w:cs="Arial" w:eastAsia="Arial" w:hAnsi="Arial"/>
                <w:sz w:val="11"/>
                <w:szCs w:val="11"/>
                <w:color w:val="auto"/>
              </w:rPr>
              <w:t>Plans</w:t>
            </w:r>
          </w:p>
        </w:tc>
      </w:tr>
      <w:tr>
        <w:trPr>
          <w:trHeight w:val="129"/>
        </w:trPr>
        <w:tc>
          <w:tcPr>
            <w:tcW w:w="5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2004</w:t>
            </w:r>
          </w:p>
        </w:tc>
        <w:tc>
          <w:tcPr>
            <w:tcW w:w="19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2003</w:t>
            </w: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2004</w:t>
            </w:r>
          </w:p>
        </w:tc>
        <w:tc>
          <w:tcPr>
            <w:tcW w:w="19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2003</w:t>
            </w:r>
          </w:p>
        </w:tc>
      </w:tr>
      <w:tr>
        <w:trPr>
          <w:trHeight w:val="115"/>
        </w:trPr>
        <w:tc>
          <w:tcPr>
            <w:tcW w:w="5220" w:type="dxa"/>
            <w:vAlign w:val="bottom"/>
          </w:tcPr>
          <w:p>
            <w:pPr>
              <w:spacing w:after="0" w:line="115" w:lineRule="exact"/>
              <w:rPr>
                <w:sz w:val="20"/>
                <w:szCs w:val="20"/>
                <w:color w:val="auto"/>
              </w:rPr>
            </w:pPr>
            <w:r>
              <w:rPr>
                <w:rFonts w:ascii="Arial" w:cs="Arial" w:eastAsia="Arial" w:hAnsi="Arial"/>
                <w:sz w:val="11"/>
                <w:szCs w:val="11"/>
                <w:color w:val="auto"/>
              </w:rPr>
              <w:t>Discount rate</w:t>
            </w:r>
          </w:p>
        </w:tc>
        <w:tc>
          <w:tcPr>
            <w:tcW w:w="1000" w:type="dxa"/>
            <w:vAlign w:val="bottom"/>
          </w:tcPr>
          <w:p>
            <w:pPr>
              <w:jc w:val="right"/>
              <w:ind w:right="126"/>
              <w:spacing w:after="0" w:line="115" w:lineRule="exact"/>
              <w:rPr>
                <w:sz w:val="20"/>
                <w:szCs w:val="20"/>
                <w:color w:val="auto"/>
              </w:rPr>
            </w:pPr>
            <w:r>
              <w:rPr>
                <w:rFonts w:ascii="Arial" w:cs="Arial" w:eastAsia="Arial" w:hAnsi="Arial"/>
                <w:sz w:val="11"/>
                <w:szCs w:val="11"/>
                <w:b w:val="1"/>
                <w:bCs w:val="1"/>
                <w:color w:val="auto"/>
              </w:rPr>
              <w:t>5.75%</w:t>
            </w:r>
          </w:p>
        </w:tc>
        <w:tc>
          <w:tcPr>
            <w:tcW w:w="1940" w:type="dxa"/>
            <w:vAlign w:val="bottom"/>
          </w:tcPr>
          <w:p>
            <w:pPr>
              <w:jc w:val="right"/>
              <w:ind w:right="366"/>
              <w:spacing w:after="0" w:line="115" w:lineRule="exact"/>
              <w:rPr>
                <w:sz w:val="20"/>
                <w:szCs w:val="20"/>
                <w:color w:val="auto"/>
              </w:rPr>
            </w:pPr>
            <w:r>
              <w:rPr>
                <w:rFonts w:ascii="Arial" w:cs="Arial" w:eastAsia="Arial" w:hAnsi="Arial"/>
                <w:sz w:val="11"/>
                <w:szCs w:val="11"/>
                <w:color w:val="auto"/>
              </w:rPr>
              <w:t>6.25%</w:t>
            </w:r>
          </w:p>
        </w:tc>
        <w:tc>
          <w:tcPr>
            <w:tcW w:w="1320" w:type="dxa"/>
            <w:vAlign w:val="bottom"/>
            <w:gridSpan w:val="2"/>
          </w:tcPr>
          <w:p>
            <w:pPr>
              <w:jc w:val="right"/>
              <w:ind w:right="106"/>
              <w:spacing w:after="0" w:line="115" w:lineRule="exact"/>
              <w:rPr>
                <w:sz w:val="20"/>
                <w:szCs w:val="20"/>
                <w:color w:val="auto"/>
              </w:rPr>
            </w:pPr>
            <w:r>
              <w:rPr>
                <w:rFonts w:ascii="Arial" w:cs="Arial" w:eastAsia="Arial" w:hAnsi="Arial"/>
                <w:sz w:val="11"/>
                <w:szCs w:val="11"/>
                <w:b w:val="1"/>
                <w:bCs w:val="1"/>
                <w:color w:val="auto"/>
              </w:rPr>
              <w:t>5.75%</w:t>
            </w:r>
          </w:p>
        </w:tc>
        <w:tc>
          <w:tcPr>
            <w:tcW w:w="1940" w:type="dxa"/>
            <w:vAlign w:val="bottom"/>
          </w:tcPr>
          <w:p>
            <w:pPr>
              <w:jc w:val="right"/>
              <w:ind w:right="366"/>
              <w:spacing w:after="0" w:line="115" w:lineRule="exact"/>
              <w:rPr>
                <w:sz w:val="20"/>
                <w:szCs w:val="20"/>
                <w:color w:val="auto"/>
              </w:rPr>
            </w:pPr>
            <w:r>
              <w:rPr>
                <w:rFonts w:ascii="Arial" w:cs="Arial" w:eastAsia="Arial" w:hAnsi="Arial"/>
                <w:sz w:val="11"/>
                <w:szCs w:val="11"/>
                <w:color w:val="auto"/>
              </w:rPr>
              <w:t>6.25%</w:t>
            </w:r>
          </w:p>
        </w:tc>
      </w:tr>
      <w:tr>
        <w:trPr>
          <w:trHeight w:val="140"/>
        </w:trPr>
        <w:tc>
          <w:tcPr>
            <w:tcW w:w="5220" w:type="dxa"/>
            <w:vAlign w:val="bottom"/>
          </w:tcPr>
          <w:p>
            <w:pPr>
              <w:spacing w:after="0"/>
              <w:rPr>
                <w:sz w:val="20"/>
                <w:szCs w:val="20"/>
                <w:color w:val="auto"/>
              </w:rPr>
            </w:pPr>
            <w:r>
              <w:rPr>
                <w:rFonts w:ascii="Arial" w:cs="Arial" w:eastAsia="Arial" w:hAnsi="Arial"/>
                <w:sz w:val="11"/>
                <w:szCs w:val="11"/>
                <w:color w:val="auto"/>
              </w:rPr>
              <w:t>Rate of compensation increase</w:t>
            </w:r>
          </w:p>
        </w:tc>
        <w:tc>
          <w:tcPr>
            <w:tcW w:w="1000" w:type="dxa"/>
            <w:vAlign w:val="bottom"/>
          </w:tcPr>
          <w:p>
            <w:pPr>
              <w:jc w:val="right"/>
              <w:ind w:right="126"/>
              <w:spacing w:after="0"/>
              <w:rPr>
                <w:sz w:val="20"/>
                <w:szCs w:val="20"/>
                <w:color w:val="auto"/>
              </w:rPr>
            </w:pPr>
            <w:r>
              <w:rPr>
                <w:rFonts w:ascii="Arial" w:cs="Arial" w:eastAsia="Arial" w:hAnsi="Arial"/>
                <w:sz w:val="11"/>
                <w:szCs w:val="11"/>
                <w:b w:val="1"/>
                <w:bCs w:val="1"/>
                <w:color w:val="auto"/>
              </w:rPr>
              <w:t>4.0%</w:t>
            </w:r>
          </w:p>
        </w:tc>
        <w:tc>
          <w:tcPr>
            <w:tcW w:w="1940" w:type="dxa"/>
            <w:vAlign w:val="bottom"/>
          </w:tcPr>
          <w:p>
            <w:pPr>
              <w:jc w:val="right"/>
              <w:ind w:right="366"/>
              <w:spacing w:after="0"/>
              <w:rPr>
                <w:sz w:val="20"/>
                <w:szCs w:val="20"/>
                <w:color w:val="auto"/>
              </w:rPr>
            </w:pPr>
            <w:r>
              <w:rPr>
                <w:rFonts w:ascii="Arial" w:cs="Arial" w:eastAsia="Arial" w:hAnsi="Arial"/>
                <w:sz w:val="11"/>
                <w:szCs w:val="11"/>
                <w:color w:val="auto"/>
              </w:rPr>
              <w:t>4.0%</w:t>
            </w:r>
          </w:p>
        </w:tc>
        <w:tc>
          <w:tcPr>
            <w:tcW w:w="32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Arial" w:cs="Arial" w:eastAsia="Arial" w:hAnsi="Arial"/>
                <w:sz w:val="11"/>
                <w:szCs w:val="11"/>
                <w:b w:val="1"/>
                <w:bCs w:val="1"/>
                <w:color w:val="auto"/>
              </w:rPr>
              <w:t>—</w:t>
            </w:r>
          </w:p>
        </w:tc>
        <w:tc>
          <w:tcPr>
            <w:tcW w:w="1940" w:type="dxa"/>
            <w:vAlign w:val="bottom"/>
          </w:tcPr>
          <w:p>
            <w:pPr>
              <w:jc w:val="right"/>
              <w:ind w:right="366"/>
              <w:spacing w:after="0"/>
              <w:rPr>
                <w:sz w:val="20"/>
                <w:szCs w:val="20"/>
                <w:color w:val="auto"/>
              </w:rPr>
            </w:pPr>
            <w:r>
              <w:rPr>
                <w:rFonts w:ascii="Arial" w:cs="Arial" w:eastAsia="Arial" w:hAnsi="Arial"/>
                <w:sz w:val="11"/>
                <w:szCs w:val="11"/>
                <w:color w:val="auto"/>
              </w:rPr>
              <w:t>—</w:t>
            </w:r>
          </w:p>
        </w:tc>
      </w:tr>
    </w:tbl>
    <w:p>
      <w:pPr>
        <w:spacing w:after="0" w:line="9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The assumed health care cost trend rate used in measuring the postretirement benefit obligation at January 2, 2005 was 9.5% for both pre-age 65 and post-age 65 benefits, decreasing to 5% in the year 2015 and thereafter.</w:t>
      </w:r>
    </w:p>
    <w:p>
      <w:pPr>
        <w:spacing w:after="0" w:line="6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Assumed health care cost trend rates have a significant effect on the amounts reported for the health care plans. A change of 1 percentage point in the assumed health care cost trend rates would have the following effects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00" w:type="dxa"/>
            <w:vAlign w:val="bottom"/>
          </w:tcPr>
          <w:p>
            <w:pPr>
              <w:jc w:val="right"/>
              <w:ind w:right="826"/>
              <w:spacing w:after="0"/>
              <w:rPr>
                <w:sz w:val="20"/>
                <w:szCs w:val="20"/>
                <w:color w:val="auto"/>
              </w:rPr>
            </w:pPr>
            <w:r>
              <w:rPr>
                <w:rFonts w:ascii="Arial" w:cs="Arial" w:eastAsia="Arial" w:hAnsi="Arial"/>
                <w:sz w:val="11"/>
                <w:szCs w:val="11"/>
                <w:color w:val="auto"/>
              </w:rPr>
              <w:t>1%</w:t>
            </w:r>
          </w:p>
        </w:tc>
        <w:tc>
          <w:tcPr>
            <w:tcW w:w="860" w:type="dxa"/>
            <w:vAlign w:val="bottom"/>
          </w:tcPr>
          <w:p>
            <w:pPr>
              <w:spacing w:after="0"/>
              <w:rPr>
                <w:sz w:val="10"/>
                <w:szCs w:val="10"/>
                <w:color w:val="auto"/>
              </w:rPr>
            </w:pPr>
          </w:p>
        </w:tc>
        <w:tc>
          <w:tcPr>
            <w:tcW w:w="880" w:type="dxa"/>
            <w:vAlign w:val="bottom"/>
          </w:tcPr>
          <w:p>
            <w:pPr>
              <w:jc w:val="right"/>
              <w:ind w:right="646"/>
              <w:spacing w:after="0"/>
              <w:rPr>
                <w:sz w:val="20"/>
                <w:szCs w:val="20"/>
                <w:color w:val="auto"/>
              </w:rPr>
            </w:pPr>
            <w:r>
              <w:rPr>
                <w:rFonts w:ascii="Arial" w:cs="Arial" w:eastAsia="Arial" w:hAnsi="Arial"/>
                <w:sz w:val="11"/>
                <w:szCs w:val="11"/>
                <w:color w:val="auto"/>
              </w:rPr>
              <w:t>1%</w:t>
            </w:r>
          </w:p>
        </w:tc>
      </w:tr>
      <w:tr>
        <w:trPr>
          <w:trHeight w:val="131"/>
        </w:trPr>
        <w:tc>
          <w:tcPr>
            <w:tcW w:w="496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gridSpan w:val="2"/>
          </w:tcPr>
          <w:p>
            <w:pPr>
              <w:jc w:val="right"/>
              <w:ind w:right="726"/>
              <w:spacing w:after="0"/>
              <w:rPr>
                <w:sz w:val="20"/>
                <w:szCs w:val="20"/>
                <w:color w:val="auto"/>
              </w:rPr>
            </w:pPr>
            <w:r>
              <w:rPr>
                <w:rFonts w:ascii="Arial" w:cs="Arial" w:eastAsia="Arial" w:hAnsi="Arial"/>
                <w:sz w:val="11"/>
                <w:szCs w:val="11"/>
                <w:color w:val="auto"/>
              </w:rPr>
              <w:t>Increase</w:t>
            </w:r>
          </w:p>
        </w:tc>
        <w:tc>
          <w:tcPr>
            <w:tcW w:w="1740" w:type="dxa"/>
            <w:vAlign w:val="bottom"/>
            <w:tcBorders>
              <w:bottom w:val="single" w:sz="8" w:color="auto"/>
            </w:tcBorders>
            <w:gridSpan w:val="2"/>
          </w:tcPr>
          <w:p>
            <w:pPr>
              <w:jc w:val="right"/>
              <w:ind w:right="526"/>
              <w:spacing w:after="0"/>
              <w:rPr>
                <w:sz w:val="20"/>
                <w:szCs w:val="20"/>
                <w:color w:val="auto"/>
              </w:rPr>
            </w:pPr>
            <w:r>
              <w:rPr>
                <w:rFonts w:ascii="Arial" w:cs="Arial" w:eastAsia="Arial" w:hAnsi="Arial"/>
                <w:sz w:val="11"/>
                <w:szCs w:val="11"/>
                <w:color w:val="auto"/>
              </w:rPr>
              <w:t>Decrease</w:t>
            </w:r>
          </w:p>
        </w:tc>
      </w:tr>
      <w:tr>
        <w:trPr>
          <w:trHeight w:val="119"/>
        </w:trPr>
        <w:tc>
          <w:tcPr>
            <w:tcW w:w="4960" w:type="dxa"/>
            <w:vAlign w:val="bottom"/>
          </w:tcPr>
          <w:p>
            <w:pPr>
              <w:spacing w:after="0" w:line="119" w:lineRule="exact"/>
              <w:rPr>
                <w:sz w:val="20"/>
                <w:szCs w:val="20"/>
                <w:color w:val="auto"/>
              </w:rPr>
            </w:pPr>
            <w:r>
              <w:rPr>
                <w:rFonts w:ascii="Arial" w:cs="Arial" w:eastAsia="Arial" w:hAnsi="Arial"/>
                <w:sz w:val="11"/>
                <w:szCs w:val="11"/>
                <w:color w:val="auto"/>
              </w:rPr>
              <w:t>Benefit obligation at end of year</w:t>
            </w:r>
          </w:p>
        </w:tc>
        <w:tc>
          <w:tcPr>
            <w:tcW w:w="362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766"/>
              <w:spacing w:after="0" w:line="119" w:lineRule="exact"/>
              <w:rPr>
                <w:sz w:val="20"/>
                <w:szCs w:val="20"/>
                <w:color w:val="auto"/>
              </w:rPr>
            </w:pPr>
            <w:r>
              <w:rPr>
                <w:rFonts w:ascii="Arial" w:cs="Arial" w:eastAsia="Arial" w:hAnsi="Arial"/>
                <w:sz w:val="11"/>
                <w:szCs w:val="11"/>
                <w:color w:val="auto"/>
                <w:w w:val="77"/>
              </w:rPr>
              <w:t>20,106</w:t>
            </w: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466"/>
              <w:spacing w:after="0" w:line="119" w:lineRule="exact"/>
              <w:rPr>
                <w:sz w:val="20"/>
                <w:szCs w:val="20"/>
                <w:color w:val="auto"/>
              </w:rPr>
            </w:pPr>
            <w:r>
              <w:rPr>
                <w:rFonts w:ascii="Arial" w:cs="Arial" w:eastAsia="Arial" w:hAnsi="Arial"/>
                <w:sz w:val="11"/>
                <w:szCs w:val="11"/>
                <w:color w:val="auto"/>
                <w:w w:val="82"/>
              </w:rPr>
              <w:t>(18,798)</w:t>
            </w:r>
          </w:p>
        </w:tc>
      </w:tr>
      <w:tr>
        <w:trPr>
          <w:trHeight w:val="136"/>
        </w:trPr>
        <w:tc>
          <w:tcPr>
            <w:tcW w:w="4960" w:type="dxa"/>
            <w:vAlign w:val="bottom"/>
          </w:tcPr>
          <w:p>
            <w:pPr>
              <w:spacing w:after="0"/>
              <w:rPr>
                <w:sz w:val="20"/>
                <w:szCs w:val="20"/>
                <w:color w:val="auto"/>
              </w:rPr>
            </w:pPr>
            <w:r>
              <w:rPr>
                <w:rFonts w:ascii="Arial" w:cs="Arial" w:eastAsia="Arial" w:hAnsi="Arial"/>
                <w:sz w:val="11"/>
                <w:szCs w:val="11"/>
                <w:color w:val="auto"/>
              </w:rPr>
              <w:t>Service cost plus interest cost</w:t>
            </w:r>
          </w:p>
        </w:tc>
        <w:tc>
          <w:tcPr>
            <w:tcW w:w="362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766"/>
              <w:spacing w:after="0"/>
              <w:rPr>
                <w:sz w:val="20"/>
                <w:szCs w:val="20"/>
                <w:color w:val="auto"/>
              </w:rPr>
            </w:pPr>
            <w:r>
              <w:rPr>
                <w:rFonts w:ascii="Arial" w:cs="Arial" w:eastAsia="Arial" w:hAnsi="Arial"/>
                <w:sz w:val="11"/>
                <w:szCs w:val="11"/>
                <w:color w:val="auto"/>
                <w:w w:val="94"/>
              </w:rPr>
              <w:t>2,018</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466"/>
              <w:spacing w:after="0"/>
              <w:rPr>
                <w:sz w:val="20"/>
                <w:szCs w:val="20"/>
                <w:color w:val="auto"/>
              </w:rPr>
            </w:pPr>
            <w:r>
              <w:rPr>
                <w:rFonts w:ascii="Arial" w:cs="Arial" w:eastAsia="Arial" w:hAnsi="Arial"/>
                <w:sz w:val="11"/>
                <w:szCs w:val="11"/>
                <w:color w:val="auto"/>
                <w:w w:val="97"/>
              </w:rPr>
              <w:t>(1,957)</w:t>
            </w:r>
          </w:p>
        </w:tc>
      </w:tr>
    </w:tbl>
    <w:p>
      <w:pPr>
        <w:spacing w:after="0" w:line="9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Company made no contributions to its defined benefit pension plans in 2004 and 2003, and the Company does not expect to make any contributions in 2005 or in the foreseeable future. The Company made contributions to its postretirement benefit plans of $6.3 million and $5.5 million for the years ended January 2, 2005 and December 28, 2003, respectively, as the plans are unfunded and the Company covers benefit payments. The Company expects to make contributions for its postretirement plans by funding benefit payments consistent with the assumed heath care cost trend rates discussed above.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At January 2, 2005, future estimated benefit payments are as follows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840" w:type="dxa"/>
            <w:vAlign w:val="bottom"/>
            <w:gridSpan w:val="2"/>
            <w:vMerge w:val="restart"/>
          </w:tcPr>
          <w:p>
            <w:pPr>
              <w:jc w:val="right"/>
              <w:ind w:right="446"/>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Pr>
          <w:p>
            <w:pPr>
              <w:spacing w:after="0"/>
              <w:rPr>
                <w:sz w:val="14"/>
                <w:szCs w:val="14"/>
                <w:color w:val="auto"/>
              </w:rPr>
            </w:pPr>
          </w:p>
        </w:tc>
        <w:tc>
          <w:tcPr>
            <w:tcW w:w="1780" w:type="dxa"/>
            <w:vAlign w:val="bottom"/>
            <w:gridSpan w:val="2"/>
          </w:tcPr>
          <w:p>
            <w:pPr>
              <w:jc w:val="right"/>
              <w:ind w:right="386"/>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Borders>
              <w:bottom w:val="single" w:sz="8" w:color="auto"/>
            </w:tcBorders>
            <w:gridSpan w:val="2"/>
          </w:tcPr>
          <w:p>
            <w:pPr>
              <w:jc w:val="right"/>
              <w:ind w:right="666"/>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2005</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746"/>
              <w:spacing w:after="0" w:line="122" w:lineRule="exact"/>
              <w:rPr>
                <w:sz w:val="20"/>
                <w:szCs w:val="20"/>
                <w:color w:val="auto"/>
              </w:rPr>
            </w:pPr>
            <w:r>
              <w:rPr>
                <w:rFonts w:ascii="Arial" w:cs="Arial" w:eastAsia="Arial" w:hAnsi="Arial"/>
                <w:sz w:val="11"/>
                <w:szCs w:val="11"/>
                <w:color w:val="auto"/>
              </w:rPr>
              <w:t>26.2</w:t>
            </w:r>
          </w:p>
        </w:tc>
        <w:tc>
          <w:tcPr>
            <w:tcW w:w="1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746"/>
              <w:spacing w:after="0" w:line="122" w:lineRule="exact"/>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40" w:type="dxa"/>
            <w:vAlign w:val="bottom"/>
          </w:tcPr>
          <w:p>
            <w:pPr>
              <w:spacing w:after="0" w:line="122" w:lineRule="exact"/>
              <w:rPr>
                <w:sz w:val="20"/>
                <w:szCs w:val="20"/>
                <w:color w:val="auto"/>
              </w:rPr>
            </w:pPr>
            <w:r>
              <w:rPr>
                <w:rFonts w:ascii="Arial" w:cs="Arial" w:eastAsia="Arial" w:hAnsi="Arial"/>
                <w:sz w:val="11"/>
                <w:szCs w:val="11"/>
                <w:color w:val="auto"/>
              </w:rPr>
              <w:t>2006</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746"/>
              <w:spacing w:after="0" w:line="122" w:lineRule="exact"/>
              <w:rPr>
                <w:sz w:val="20"/>
                <w:szCs w:val="20"/>
                <w:color w:val="auto"/>
              </w:rPr>
            </w:pPr>
            <w:r>
              <w:rPr>
                <w:rFonts w:ascii="Arial" w:cs="Arial" w:eastAsia="Arial" w:hAnsi="Arial"/>
                <w:sz w:val="11"/>
                <w:szCs w:val="11"/>
                <w:color w:val="auto"/>
              </w:rPr>
              <w:t>27.2</w:t>
            </w:r>
          </w:p>
        </w:tc>
        <w:tc>
          <w:tcPr>
            <w:tcW w:w="1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tcPr>
          <w:p>
            <w:pPr>
              <w:jc w:val="right"/>
              <w:ind w:right="746"/>
              <w:spacing w:after="0" w:line="122" w:lineRule="exact"/>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2007</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746"/>
              <w:spacing w:after="0" w:line="122" w:lineRule="exact"/>
              <w:rPr>
                <w:sz w:val="20"/>
                <w:szCs w:val="20"/>
                <w:color w:val="auto"/>
              </w:rPr>
            </w:pPr>
            <w:r>
              <w:rPr>
                <w:rFonts w:ascii="Arial" w:cs="Arial" w:eastAsia="Arial" w:hAnsi="Arial"/>
                <w:sz w:val="11"/>
                <w:szCs w:val="11"/>
                <w:color w:val="auto"/>
              </w:rPr>
              <w:t>28.5</w:t>
            </w:r>
          </w:p>
        </w:tc>
        <w:tc>
          <w:tcPr>
            <w:tcW w:w="1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746"/>
              <w:spacing w:after="0" w:line="122" w:lineRule="exact"/>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40" w:type="dxa"/>
            <w:vAlign w:val="bottom"/>
          </w:tcPr>
          <w:p>
            <w:pPr>
              <w:spacing w:after="0" w:line="122" w:lineRule="exact"/>
              <w:rPr>
                <w:sz w:val="20"/>
                <w:szCs w:val="20"/>
                <w:color w:val="auto"/>
              </w:rPr>
            </w:pPr>
            <w:r>
              <w:rPr>
                <w:rFonts w:ascii="Arial" w:cs="Arial" w:eastAsia="Arial" w:hAnsi="Arial"/>
                <w:sz w:val="11"/>
                <w:szCs w:val="11"/>
                <w:color w:val="auto"/>
              </w:rPr>
              <w:t>2008</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746"/>
              <w:spacing w:after="0" w:line="122" w:lineRule="exact"/>
              <w:rPr>
                <w:sz w:val="20"/>
                <w:szCs w:val="20"/>
                <w:color w:val="auto"/>
              </w:rPr>
            </w:pPr>
            <w:r>
              <w:rPr>
                <w:rFonts w:ascii="Arial" w:cs="Arial" w:eastAsia="Arial" w:hAnsi="Arial"/>
                <w:sz w:val="11"/>
                <w:szCs w:val="11"/>
                <w:color w:val="auto"/>
              </w:rPr>
              <w:t>30.0</w:t>
            </w:r>
          </w:p>
        </w:tc>
        <w:tc>
          <w:tcPr>
            <w:tcW w:w="1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tcPr>
          <w:p>
            <w:pPr>
              <w:jc w:val="right"/>
              <w:ind w:right="746"/>
              <w:spacing w:after="0" w:line="122" w:lineRule="exact"/>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2009</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746"/>
              <w:spacing w:after="0" w:line="122" w:lineRule="exact"/>
              <w:rPr>
                <w:sz w:val="20"/>
                <w:szCs w:val="20"/>
                <w:color w:val="auto"/>
              </w:rPr>
            </w:pPr>
            <w:r>
              <w:rPr>
                <w:rFonts w:ascii="Arial" w:cs="Arial" w:eastAsia="Arial" w:hAnsi="Arial"/>
                <w:sz w:val="11"/>
                <w:szCs w:val="11"/>
                <w:color w:val="auto"/>
              </w:rPr>
              <w:t>31.8</w:t>
            </w:r>
          </w:p>
        </w:tc>
        <w:tc>
          <w:tcPr>
            <w:tcW w:w="1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746"/>
              <w:spacing w:after="0" w:line="122" w:lineRule="exact"/>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40" w:type="dxa"/>
            <w:vAlign w:val="bottom"/>
          </w:tcPr>
          <w:p>
            <w:pPr>
              <w:spacing w:after="0"/>
              <w:rPr>
                <w:sz w:val="20"/>
                <w:szCs w:val="20"/>
                <w:color w:val="auto"/>
              </w:rPr>
            </w:pPr>
            <w:r>
              <w:rPr>
                <w:rFonts w:ascii="Arial" w:cs="Arial" w:eastAsia="Arial" w:hAnsi="Arial"/>
                <w:sz w:val="11"/>
                <w:szCs w:val="11"/>
                <w:color w:val="auto"/>
              </w:rPr>
              <w:t>2010-2014</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746"/>
              <w:spacing w:after="0"/>
              <w:rPr>
                <w:sz w:val="20"/>
                <w:szCs w:val="20"/>
                <w:color w:val="auto"/>
              </w:rPr>
            </w:pPr>
            <w:r>
              <w:rPr>
                <w:rFonts w:ascii="Arial" w:cs="Arial" w:eastAsia="Arial" w:hAnsi="Arial"/>
                <w:sz w:val="11"/>
                <w:szCs w:val="11"/>
                <w:color w:val="auto"/>
                <w:w w:val="79"/>
              </w:rPr>
              <w:t>196.9</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746"/>
              <w:spacing w:after="0"/>
              <w:rPr>
                <w:sz w:val="20"/>
                <w:szCs w:val="20"/>
                <w:color w:val="auto"/>
              </w:rPr>
            </w:pPr>
            <w:r>
              <w:rPr>
                <w:rFonts w:ascii="Arial" w:cs="Arial" w:eastAsia="Arial" w:hAnsi="Arial"/>
                <w:sz w:val="11"/>
                <w:szCs w:val="11"/>
                <w:color w:val="auto"/>
                <w:w w:val="74"/>
              </w:rPr>
              <w:t>52.7</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Company’s defined benefit pension obligations are funded by a relatively small but diversified mix of stocks and high-quality fixed-income securities that are held in trust. Essentially all of the assets are managed by two investment companies. None of the assets are managed internally by the Company or are invested in securities of the Company. The goal of the investment managers is to produce moderate long-term growth in the value of those assets while protecting them against decreases in value.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Over the past five years, the managers together have invested between 60% and 90% of the assets in equities. At the end of 2004, 86% of the assets were invested in equities; 26% of the assets were invested in Berkshire Hathaway common stock. The Company’s retirement plan trust held shares of Berkshire Class A and Class B common stock with a total market value of $415.4 million and $398.2 million at January 2, 2005 and December 28, 2003,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The total (income) cost arising from the Company’s defined benefit pension and postretirement plans for the years ended January 2, 2005, December 28, 2003, 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December 29, 2002, consists of the following components (in thousands):</w:t>
      </w:r>
    </w:p>
    <w:p>
      <w:pPr>
        <w:sectPr>
          <w:pgSz w:w="11900" w:h="16838" w:orient="portrait"/>
          <w:cols w:equalWidth="0" w:num="1">
            <w:col w:w="11420"/>
          </w:cols>
          <w:pgMar w:left="240" w:top="940" w:right="239" w:bottom="293"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1"/>
          <w:szCs w:val="11"/>
          <w:color w:val="auto"/>
        </w:rPr>
        <w:t>Service cost</w:t>
      </w:r>
    </w:p>
    <w:p>
      <w:pPr>
        <w:spacing w:after="0" w:line="236" w:lineRule="auto"/>
        <w:rPr>
          <w:sz w:val="20"/>
          <w:szCs w:val="20"/>
          <w:color w:val="auto"/>
        </w:rPr>
      </w:pPr>
      <w:r>
        <w:rPr>
          <w:rFonts w:ascii="Arial" w:cs="Arial" w:eastAsia="Arial" w:hAnsi="Arial"/>
          <w:sz w:val="11"/>
          <w:szCs w:val="11"/>
          <w:color w:val="auto"/>
        </w:rPr>
        <w:t>Interest cost</w:t>
      </w:r>
    </w:p>
    <w:p>
      <w:pPr>
        <w:spacing w:after="0" w:line="231" w:lineRule="auto"/>
        <w:rPr>
          <w:sz w:val="20"/>
          <w:szCs w:val="20"/>
          <w:color w:val="auto"/>
        </w:rPr>
      </w:pPr>
      <w:r>
        <w:rPr>
          <w:rFonts w:ascii="Arial" w:cs="Arial" w:eastAsia="Arial" w:hAnsi="Arial"/>
          <w:sz w:val="11"/>
          <w:szCs w:val="11"/>
          <w:color w:val="auto"/>
        </w:rPr>
        <w:t>Expected return on assets</w:t>
      </w:r>
    </w:p>
    <w:p>
      <w:pPr>
        <w:spacing w:after="0" w:line="230" w:lineRule="auto"/>
        <w:rPr>
          <w:sz w:val="20"/>
          <w:szCs w:val="20"/>
          <w:color w:val="auto"/>
        </w:rPr>
      </w:pPr>
      <w:r>
        <w:rPr>
          <w:rFonts w:ascii="Arial" w:cs="Arial" w:eastAsia="Arial" w:hAnsi="Arial"/>
          <w:sz w:val="11"/>
          <w:szCs w:val="11"/>
          <w:color w:val="auto"/>
        </w:rPr>
        <w:t>Amortization of transition asset</w:t>
      </w:r>
    </w:p>
    <w:p>
      <w:pPr>
        <w:spacing w:after="0" w:line="231" w:lineRule="auto"/>
        <w:rPr>
          <w:sz w:val="20"/>
          <w:szCs w:val="20"/>
          <w:color w:val="auto"/>
        </w:rPr>
      </w:pPr>
      <w:r>
        <w:rPr>
          <w:rFonts w:ascii="Arial" w:cs="Arial" w:eastAsia="Arial" w:hAnsi="Arial"/>
          <w:sz w:val="11"/>
          <w:szCs w:val="11"/>
          <w:color w:val="auto"/>
        </w:rPr>
        <w:t>Amortization of prior service cost</w:t>
      </w:r>
    </w:p>
    <w:p>
      <w:pPr>
        <w:spacing w:after="0"/>
        <w:rPr>
          <w:sz w:val="20"/>
          <w:szCs w:val="20"/>
          <w:color w:val="auto"/>
        </w:rPr>
      </w:pPr>
      <w:r>
        <w:rPr>
          <w:rFonts w:ascii="Arial" w:cs="Arial" w:eastAsia="Arial" w:hAnsi="Arial"/>
          <w:sz w:val="11"/>
          <w:szCs w:val="11"/>
          <w:color w:val="auto"/>
        </w:rPr>
        <w:t>Recognized actuarial gain</w:t>
      </w:r>
    </w:p>
    <w:p>
      <w:pPr>
        <w:spacing w:after="0" w:line="136" w:lineRule="exact"/>
        <w:rPr>
          <w:sz w:val="20"/>
          <w:szCs w:val="20"/>
          <w:color w:val="auto"/>
        </w:rPr>
      </w:pPr>
    </w:p>
    <w:p>
      <w:pPr>
        <w:spacing w:after="0"/>
        <w:rPr>
          <w:sz w:val="20"/>
          <w:szCs w:val="20"/>
          <w:color w:val="auto"/>
        </w:rPr>
      </w:pPr>
      <w:r>
        <w:rPr>
          <w:rFonts w:ascii="Arial" w:cs="Arial" w:eastAsia="Arial" w:hAnsi="Arial"/>
          <w:sz w:val="10"/>
          <w:szCs w:val="10"/>
          <w:color w:val="auto"/>
        </w:rPr>
        <w:t>Net periodic (benefit) cost for the year</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Early retirement programs expense</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Curtailment gain</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Total (benefit) cost for the year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9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Pension Plans</w:t>
            </w:r>
          </w:p>
        </w:tc>
        <w:tc>
          <w:tcPr>
            <w:tcW w:w="9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1"/>
                <w:szCs w:val="11"/>
                <w:color w:val="auto"/>
              </w:rPr>
              <w:t>Postretirement Plans</w:t>
            </w: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r>
        <w:trPr>
          <w:trHeight w:val="134"/>
        </w:trPr>
        <w:tc>
          <w:tcPr>
            <w:tcW w:w="960" w:type="dxa"/>
            <w:vAlign w:val="bottom"/>
          </w:tcPr>
          <w:p>
            <w:pPr>
              <w:jc w:val="right"/>
              <w:ind w:right="266"/>
              <w:spacing w:after="0"/>
              <w:rPr>
                <w:sz w:val="20"/>
                <w:szCs w:val="20"/>
                <w:color w:val="auto"/>
              </w:rPr>
            </w:pPr>
            <w:r>
              <w:rPr>
                <w:rFonts w:ascii="Arial" w:cs="Arial" w:eastAsia="Arial" w:hAnsi="Arial"/>
                <w:sz w:val="11"/>
                <w:szCs w:val="11"/>
                <w:b w:val="1"/>
                <w:bCs w:val="1"/>
                <w:color w:val="auto"/>
              </w:rPr>
              <w:t>2004</w:t>
            </w:r>
          </w:p>
        </w:tc>
        <w:tc>
          <w:tcPr>
            <w:tcW w:w="1240" w:type="dxa"/>
            <w:vAlign w:val="bottom"/>
          </w:tcPr>
          <w:p>
            <w:pPr>
              <w:jc w:val="right"/>
              <w:ind w:right="366"/>
              <w:spacing w:after="0"/>
              <w:rPr>
                <w:sz w:val="20"/>
                <w:szCs w:val="20"/>
                <w:color w:val="auto"/>
              </w:rPr>
            </w:pPr>
            <w:r>
              <w:rPr>
                <w:rFonts w:ascii="Arial" w:cs="Arial" w:eastAsia="Arial" w:hAnsi="Arial"/>
                <w:sz w:val="11"/>
                <w:szCs w:val="11"/>
                <w:color w:val="auto"/>
              </w:rPr>
              <w:t>2003</w:t>
            </w:r>
          </w:p>
        </w:tc>
        <w:tc>
          <w:tcPr>
            <w:tcW w:w="940" w:type="dxa"/>
            <w:vAlign w:val="bottom"/>
          </w:tcPr>
          <w:p>
            <w:pPr>
              <w:jc w:val="right"/>
              <w:ind w:right="146"/>
              <w:spacing w:after="0"/>
              <w:rPr>
                <w:sz w:val="20"/>
                <w:szCs w:val="20"/>
                <w:color w:val="auto"/>
              </w:rPr>
            </w:pPr>
            <w:r>
              <w:rPr>
                <w:rFonts w:ascii="Arial" w:cs="Arial" w:eastAsia="Arial" w:hAnsi="Arial"/>
                <w:sz w:val="11"/>
                <w:szCs w:val="11"/>
                <w:color w:val="auto"/>
              </w:rPr>
              <w:t>2002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2004</w:t>
            </w:r>
          </w:p>
        </w:tc>
        <w:tc>
          <w:tcPr>
            <w:tcW w:w="580" w:type="dxa"/>
            <w:vAlign w:val="bottom"/>
          </w:tcPr>
          <w:p>
            <w:pPr>
              <w:spacing w:after="0"/>
              <w:rPr>
                <w:sz w:val="11"/>
                <w:szCs w:val="11"/>
                <w:color w:val="auto"/>
              </w:rPr>
            </w:pPr>
          </w:p>
        </w:tc>
        <w:tc>
          <w:tcPr>
            <w:tcW w:w="800" w:type="dxa"/>
            <w:vAlign w:val="bottom"/>
          </w:tcPr>
          <w:p>
            <w:pPr>
              <w:jc w:val="right"/>
              <w:ind w:right="446"/>
              <w:spacing w:after="0"/>
              <w:rPr>
                <w:sz w:val="20"/>
                <w:szCs w:val="20"/>
                <w:color w:val="auto"/>
              </w:rPr>
            </w:pPr>
            <w:r>
              <w:rPr>
                <w:rFonts w:ascii="Arial" w:cs="Arial" w:eastAsia="Arial" w:hAnsi="Arial"/>
                <w:sz w:val="11"/>
                <w:szCs w:val="11"/>
                <w:color w:val="auto"/>
              </w:rPr>
              <w:t>2003</w:t>
            </w:r>
          </w:p>
        </w:tc>
        <w:tc>
          <w:tcPr>
            <w:tcW w:w="320" w:type="dxa"/>
            <w:vAlign w:val="bottom"/>
          </w:tcPr>
          <w:p>
            <w:pPr>
              <w:spacing w:after="0"/>
              <w:rPr>
                <w:sz w:val="11"/>
                <w:szCs w:val="11"/>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color w:val="auto"/>
              </w:rPr>
              <w:t>2002</w:t>
            </w:r>
          </w:p>
        </w:tc>
      </w:tr>
      <w:tr>
        <w:trPr>
          <w:trHeight w:val="130"/>
        </w:trPr>
        <w:tc>
          <w:tcPr>
            <w:tcW w:w="960" w:type="dxa"/>
            <w:vAlign w:val="bottom"/>
          </w:tcPr>
          <w:p>
            <w:pPr>
              <w:jc w:val="right"/>
              <w:ind w:right="266"/>
              <w:spacing w:after="0"/>
              <w:rPr>
                <w:sz w:val="20"/>
                <w:szCs w:val="20"/>
                <w:color w:val="auto"/>
              </w:rPr>
            </w:pPr>
            <w:r>
              <w:rPr>
                <w:rFonts w:ascii="Arial" w:cs="Arial" w:eastAsia="Arial" w:hAnsi="Arial"/>
                <w:sz w:val="11"/>
                <w:szCs w:val="11"/>
                <w:b w:val="1"/>
                <w:bCs w:val="1"/>
                <w:color w:val="auto"/>
              </w:rPr>
              <w:t>$ 22,896</w:t>
            </w:r>
          </w:p>
        </w:tc>
        <w:tc>
          <w:tcPr>
            <w:tcW w:w="1240" w:type="dxa"/>
            <w:vAlign w:val="bottom"/>
          </w:tcPr>
          <w:p>
            <w:pPr>
              <w:jc w:val="right"/>
              <w:ind w:right="366"/>
              <w:spacing w:after="0"/>
              <w:rPr>
                <w:sz w:val="20"/>
                <w:szCs w:val="20"/>
                <w:color w:val="auto"/>
              </w:rPr>
            </w:pPr>
            <w:r>
              <w:rPr>
                <w:rFonts w:ascii="Arial" w:cs="Arial" w:eastAsia="Arial" w:hAnsi="Arial"/>
                <w:sz w:val="11"/>
                <w:szCs w:val="11"/>
                <w:color w:val="auto"/>
              </w:rPr>
              <w:t>$ 19,965</w:t>
            </w:r>
          </w:p>
        </w:tc>
        <w:tc>
          <w:tcPr>
            <w:tcW w:w="940" w:type="dxa"/>
            <w:vAlign w:val="bottom"/>
          </w:tcPr>
          <w:p>
            <w:pPr>
              <w:jc w:val="right"/>
              <w:ind w:right="146"/>
              <w:spacing w:after="0"/>
              <w:rPr>
                <w:sz w:val="20"/>
                <w:szCs w:val="20"/>
                <w:color w:val="auto"/>
              </w:rPr>
            </w:pPr>
            <w:r>
              <w:rPr>
                <w:rFonts w:ascii="Arial" w:cs="Arial" w:eastAsia="Arial" w:hAnsi="Arial"/>
                <w:sz w:val="11"/>
                <w:szCs w:val="11"/>
                <w:color w:val="auto"/>
              </w:rPr>
              <w:t>$ 17,489</w:t>
            </w: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5,285</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46"/>
              <w:spacing w:after="0"/>
              <w:rPr>
                <w:sz w:val="20"/>
                <w:szCs w:val="20"/>
                <w:color w:val="auto"/>
              </w:rPr>
            </w:pPr>
            <w:r>
              <w:rPr>
                <w:rFonts w:ascii="Arial" w:cs="Arial" w:eastAsia="Arial" w:hAnsi="Arial"/>
                <w:sz w:val="11"/>
                <w:szCs w:val="11"/>
                <w:color w:val="auto"/>
              </w:rPr>
              <w:t>5,164</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46"/>
              <w:spacing w:after="0"/>
              <w:rPr>
                <w:sz w:val="20"/>
                <w:szCs w:val="20"/>
                <w:color w:val="auto"/>
              </w:rPr>
            </w:pPr>
            <w:r>
              <w:rPr>
                <w:rFonts w:ascii="Arial" w:cs="Arial" w:eastAsia="Arial" w:hAnsi="Arial"/>
                <w:sz w:val="11"/>
                <w:szCs w:val="11"/>
                <w:color w:val="auto"/>
              </w:rPr>
              <w:t>5,418</w:t>
            </w:r>
          </w:p>
        </w:tc>
      </w:tr>
      <w:tr>
        <w:trPr>
          <w:trHeight w:val="122"/>
        </w:trPr>
        <w:tc>
          <w:tcPr>
            <w:tcW w:w="96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auto"/>
              </w:rPr>
              <w:t>37,153</w:t>
            </w:r>
          </w:p>
        </w:tc>
        <w:tc>
          <w:tcPr>
            <w:tcW w:w="12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33,696</w:t>
            </w:r>
          </w:p>
        </w:tc>
        <w:tc>
          <w:tcPr>
            <w:tcW w:w="9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30,820</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7,355</w:t>
            </w:r>
          </w:p>
        </w:tc>
        <w:tc>
          <w:tcPr>
            <w:tcW w:w="580" w:type="dxa"/>
            <w:vAlign w:val="bottom"/>
          </w:tcPr>
          <w:p>
            <w:pPr>
              <w:spacing w:after="0"/>
              <w:rPr>
                <w:sz w:val="10"/>
                <w:szCs w:val="10"/>
                <w:color w:val="auto"/>
              </w:rPr>
            </w:pPr>
          </w:p>
        </w:tc>
        <w:tc>
          <w:tcPr>
            <w:tcW w:w="800" w:type="dxa"/>
            <w:vAlign w:val="bottom"/>
          </w:tcPr>
          <w:p>
            <w:pPr>
              <w:jc w:val="right"/>
              <w:ind w:right="446"/>
              <w:spacing w:after="0" w:line="122" w:lineRule="exact"/>
              <w:rPr>
                <w:sz w:val="20"/>
                <w:szCs w:val="20"/>
                <w:color w:val="auto"/>
              </w:rPr>
            </w:pPr>
            <w:r>
              <w:rPr>
                <w:rFonts w:ascii="Arial" w:cs="Arial" w:eastAsia="Arial" w:hAnsi="Arial"/>
                <w:sz w:val="11"/>
                <w:szCs w:val="11"/>
                <w:color w:val="auto"/>
              </w:rPr>
              <w:t>7,395</w:t>
            </w:r>
          </w:p>
        </w:tc>
        <w:tc>
          <w:tcPr>
            <w:tcW w:w="320" w:type="dxa"/>
            <w:vAlign w:val="bottom"/>
          </w:tcPr>
          <w:p>
            <w:pPr>
              <w:spacing w:after="0"/>
              <w:rPr>
                <w:sz w:val="10"/>
                <w:szCs w:val="10"/>
                <w:color w:val="auto"/>
              </w:rPr>
            </w:pPr>
          </w:p>
        </w:tc>
        <w:tc>
          <w:tcPr>
            <w:tcW w:w="50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7,997</w:t>
            </w:r>
          </w:p>
        </w:tc>
      </w:tr>
      <w:tr>
        <w:trPr>
          <w:trHeight w:val="122"/>
        </w:trPr>
        <w:tc>
          <w:tcPr>
            <w:tcW w:w="96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(97,702)</w:t>
            </w:r>
          </w:p>
        </w:tc>
        <w:tc>
          <w:tcPr>
            <w:tcW w:w="124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(96,116)</w:t>
            </w: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(92,192)</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spacing w:after="0"/>
              <w:rPr>
                <w:sz w:val="10"/>
                <w:szCs w:val="10"/>
                <w:color w:val="auto"/>
              </w:rPr>
            </w:pPr>
          </w:p>
        </w:tc>
        <w:tc>
          <w:tcPr>
            <w:tcW w:w="800" w:type="dxa"/>
            <w:vAlign w:val="bottom"/>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50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(1,086)</w:t>
            </w:r>
          </w:p>
        </w:tc>
        <w:tc>
          <w:tcPr>
            <w:tcW w:w="124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(2,189)</w:t>
            </w: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(5,221)</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spacing w:after="0"/>
              <w:rPr>
                <w:sz w:val="10"/>
                <w:szCs w:val="10"/>
                <w:color w:val="auto"/>
              </w:rPr>
            </w:pPr>
          </w:p>
        </w:tc>
        <w:tc>
          <w:tcPr>
            <w:tcW w:w="800" w:type="dxa"/>
            <w:vAlign w:val="bottom"/>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50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auto"/>
              </w:rPr>
              <w:t>4,530</w:t>
            </w:r>
          </w:p>
        </w:tc>
        <w:tc>
          <w:tcPr>
            <w:tcW w:w="12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4,172</w:t>
            </w:r>
          </w:p>
        </w:tc>
        <w:tc>
          <w:tcPr>
            <w:tcW w:w="9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2,185</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(588)</w:t>
            </w:r>
          </w:p>
        </w:tc>
        <w:tc>
          <w:tcPr>
            <w:tcW w:w="580" w:type="dxa"/>
            <w:vAlign w:val="bottom"/>
          </w:tcPr>
          <w:p>
            <w:pPr>
              <w:spacing w:after="0"/>
              <w:rPr>
                <w:sz w:val="10"/>
                <w:szCs w:val="10"/>
                <w:color w:val="auto"/>
              </w:rPr>
            </w:pPr>
          </w:p>
        </w:tc>
        <w:tc>
          <w:tcPr>
            <w:tcW w:w="800" w:type="dxa"/>
            <w:vAlign w:val="bottom"/>
          </w:tcPr>
          <w:p>
            <w:pPr>
              <w:jc w:val="right"/>
              <w:ind w:right="406"/>
              <w:spacing w:after="0" w:line="122" w:lineRule="exact"/>
              <w:rPr>
                <w:sz w:val="20"/>
                <w:szCs w:val="20"/>
                <w:color w:val="auto"/>
              </w:rPr>
            </w:pPr>
            <w:r>
              <w:rPr>
                <w:rFonts w:ascii="Arial" w:cs="Arial" w:eastAsia="Arial" w:hAnsi="Arial"/>
                <w:sz w:val="11"/>
                <w:szCs w:val="11"/>
                <w:color w:val="auto"/>
              </w:rPr>
              <w:t>(360)</w:t>
            </w:r>
          </w:p>
        </w:tc>
        <w:tc>
          <w:tcPr>
            <w:tcW w:w="320" w:type="dxa"/>
            <w:vAlign w:val="bottom"/>
          </w:tcPr>
          <w:p>
            <w:pPr>
              <w:spacing w:after="0"/>
              <w:rPr>
                <w:sz w:val="10"/>
                <w:szCs w:val="10"/>
                <w:color w:val="auto"/>
              </w:rPr>
            </w:pPr>
          </w:p>
        </w:tc>
        <w:tc>
          <w:tcPr>
            <w:tcW w:w="5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(421)</w:t>
            </w:r>
          </w:p>
        </w:tc>
      </w:tr>
      <w:tr>
        <w:trPr>
          <w:trHeight w:val="135"/>
        </w:trPr>
        <w:tc>
          <w:tcPr>
            <w:tcW w:w="9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(7,745)</w:t>
            </w:r>
          </w:p>
        </w:tc>
        <w:tc>
          <w:tcPr>
            <w:tcW w:w="124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(14,665)</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(17,528)</w:t>
            </w: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(995)</w:t>
            </w:r>
          </w:p>
        </w:tc>
        <w:tc>
          <w:tcPr>
            <w:tcW w:w="5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w w:val="91"/>
              </w:rPr>
              <w:t>(1,675)</w:t>
            </w: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1"/>
              </w:rPr>
              <w:t>(2,435)</w:t>
            </w:r>
          </w:p>
        </w:tc>
      </w:tr>
      <w:tr>
        <w:trPr>
          <w:trHeight w:val="236"/>
        </w:trPr>
        <w:tc>
          <w:tcPr>
            <w:tcW w:w="960" w:type="dxa"/>
            <w:vAlign w:val="bottom"/>
          </w:tcPr>
          <w:p>
            <w:pPr>
              <w:jc w:val="right"/>
              <w:ind w:right="226"/>
              <w:spacing w:after="0"/>
              <w:rPr>
                <w:sz w:val="20"/>
                <w:szCs w:val="20"/>
                <w:color w:val="auto"/>
              </w:rPr>
            </w:pPr>
            <w:r>
              <w:rPr>
                <w:rFonts w:ascii="Arial" w:cs="Arial" w:eastAsia="Arial" w:hAnsi="Arial"/>
                <w:sz w:val="11"/>
                <w:szCs w:val="11"/>
                <w:b w:val="1"/>
                <w:bCs w:val="1"/>
                <w:color w:val="auto"/>
              </w:rPr>
              <w:t>(41,954)</w:t>
            </w:r>
          </w:p>
        </w:tc>
        <w:tc>
          <w:tcPr>
            <w:tcW w:w="1240" w:type="dxa"/>
            <w:vAlign w:val="bottom"/>
          </w:tcPr>
          <w:p>
            <w:pPr>
              <w:jc w:val="right"/>
              <w:ind w:right="326"/>
              <w:spacing w:after="0"/>
              <w:rPr>
                <w:sz w:val="20"/>
                <w:szCs w:val="20"/>
                <w:color w:val="auto"/>
              </w:rPr>
            </w:pPr>
            <w:r>
              <w:rPr>
                <w:rFonts w:ascii="Arial" w:cs="Arial" w:eastAsia="Arial" w:hAnsi="Arial"/>
                <w:sz w:val="11"/>
                <w:szCs w:val="11"/>
                <w:color w:val="auto"/>
              </w:rPr>
              <w:t>(55,137)</w:t>
            </w: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(64,447)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w w:val="83"/>
              </w:rPr>
              <w:t>11,057</w:t>
            </w:r>
          </w:p>
        </w:tc>
        <w:tc>
          <w:tcPr>
            <w:tcW w:w="580" w:type="dxa"/>
            <w:vAlign w:val="bottom"/>
          </w:tcPr>
          <w:p>
            <w:pPr>
              <w:spacing w:after="0"/>
              <w:rPr>
                <w:sz w:val="20"/>
                <w:szCs w:val="20"/>
                <w:color w:val="auto"/>
              </w:rPr>
            </w:pPr>
          </w:p>
        </w:tc>
        <w:tc>
          <w:tcPr>
            <w:tcW w:w="800" w:type="dxa"/>
            <w:vAlign w:val="bottom"/>
          </w:tcPr>
          <w:p>
            <w:pPr>
              <w:jc w:val="right"/>
              <w:ind w:right="446"/>
              <w:spacing w:after="0"/>
              <w:rPr>
                <w:sz w:val="20"/>
                <w:szCs w:val="20"/>
                <w:color w:val="auto"/>
              </w:rPr>
            </w:pPr>
            <w:r>
              <w:rPr>
                <w:rFonts w:ascii="Arial" w:cs="Arial" w:eastAsia="Arial" w:hAnsi="Arial"/>
                <w:sz w:val="11"/>
                <w:szCs w:val="11"/>
                <w:color w:val="auto"/>
                <w:w w:val="83"/>
              </w:rPr>
              <w:t>10,524</w:t>
            </w:r>
          </w:p>
        </w:tc>
        <w:tc>
          <w:tcPr>
            <w:tcW w:w="320" w:type="dxa"/>
            <w:vAlign w:val="bottom"/>
          </w:tcPr>
          <w:p>
            <w:pPr>
              <w:spacing w:after="0"/>
              <w:rPr>
                <w:sz w:val="20"/>
                <w:szCs w:val="20"/>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color w:val="auto"/>
                <w:w w:val="83"/>
              </w:rPr>
              <w:t>10,559</w:t>
            </w:r>
          </w:p>
        </w:tc>
      </w:tr>
      <w:tr>
        <w:trPr>
          <w:trHeight w:val="122"/>
        </w:trPr>
        <w:tc>
          <w:tcPr>
            <w:tcW w:w="96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auto"/>
              </w:rPr>
              <w:t>132</w:t>
            </w:r>
          </w:p>
        </w:tc>
        <w:tc>
          <w:tcPr>
            <w:tcW w:w="12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34,135</w:t>
            </w:r>
          </w:p>
        </w:tc>
        <w:tc>
          <w:tcPr>
            <w:tcW w:w="9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19,001</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spacing w:after="0"/>
              <w:rPr>
                <w:sz w:val="10"/>
                <w:szCs w:val="10"/>
                <w:color w:val="auto"/>
              </w:rPr>
            </w:pPr>
          </w:p>
        </w:tc>
        <w:tc>
          <w:tcPr>
            <w:tcW w:w="800" w:type="dxa"/>
            <w:vAlign w:val="bottom"/>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50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r>
      <w:tr>
        <w:trPr>
          <w:trHeight w:val="135"/>
        </w:trPr>
        <w:tc>
          <w:tcPr>
            <w:tcW w:w="9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(634)</w:t>
            </w: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r>
      <w:tr>
        <w:trPr>
          <w:trHeight w:val="250"/>
        </w:trPr>
        <w:tc>
          <w:tcPr>
            <w:tcW w:w="9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$(41,822)</w:t>
            </w:r>
          </w:p>
        </w:tc>
        <w:tc>
          <w:tcPr>
            <w:tcW w:w="124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$(21,002)</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$(45,446)</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83"/>
              </w:rPr>
              <w:t>11,057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color w:val="auto"/>
              </w:rPr>
              <w:t>9,890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83"/>
              </w:rPr>
              <w:t>10,559</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-994410</wp:posOffset>
            </wp:positionV>
            <wp:extent cx="7246620" cy="774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-840105</wp:posOffset>
            </wp:positionV>
            <wp:extent cx="7246620" cy="774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-685165</wp:posOffset>
            </wp:positionV>
            <wp:extent cx="7246620" cy="774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-436880</wp:posOffset>
            </wp:positionV>
            <wp:extent cx="7246620" cy="77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-282575</wp:posOffset>
            </wp:positionV>
            <wp:extent cx="7246620" cy="77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-111125</wp:posOffset>
            </wp:positionV>
            <wp:extent cx="7246620" cy="77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-1011555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4200" w:space="720"/>
            <w:col w:w="6500"/>
          </w:cols>
          <w:pgMar w:left="240" w:top="940" w:right="239" w:bottom="293" w:gutter="0" w:footer="0" w:header="0"/>
          <w:type w:val="continuous"/>
        </w:sectPr>
      </w:pPr>
    </w:p>
    <w:p>
      <w:pPr>
        <w:spacing w:after="0"/>
        <w:rPr>
          <w:sz w:val="20"/>
          <w:szCs w:val="20"/>
          <w:color w:val="auto"/>
        </w:rPr>
      </w:pPr>
      <w:r>
        <w:rPr>
          <w:rFonts w:ascii="Arial" w:cs="Arial" w:eastAsia="Arial" w:hAnsi="Arial"/>
          <w:sz w:val="16"/>
          <w:szCs w:val="16"/>
          <w:color w:val="auto"/>
        </w:rPr>
        <w:t>The costs for the Company’s defined benefit pension and postretirement plans are actuarially determined. Below are the key assump-</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9"/>
          <w:szCs w:val="9"/>
          <w:color w:val="auto"/>
        </w:rPr>
        <w:t>2004 FORM 10-K</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293"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color w:val="auto"/>
        </w:rPr>
        <w:t>tions utilized to determine periodic cost for the years ended January 2, 2005, December 28, 2003, and December 29, 2002: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Pension Plans</w:t>
            </w:r>
          </w:p>
        </w:tc>
        <w:tc>
          <w:tcPr>
            <w:tcW w:w="8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Postretirement Plans</w:t>
            </w:r>
          </w:p>
        </w:tc>
        <w:tc>
          <w:tcPr>
            <w:tcW w:w="720" w:type="dxa"/>
            <w:vAlign w:val="bottom"/>
            <w:tcBorders>
              <w:bottom w:val="single" w:sz="8" w:color="auto"/>
            </w:tcBorders>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5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2004</w:t>
            </w:r>
          </w:p>
        </w:tc>
        <w:tc>
          <w:tcPr>
            <w:tcW w:w="13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2003</w:t>
            </w:r>
          </w:p>
        </w:tc>
        <w:tc>
          <w:tcPr>
            <w:tcW w:w="8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2002</w:t>
            </w: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2004</w:t>
            </w:r>
          </w:p>
        </w:tc>
        <w:tc>
          <w:tcPr>
            <w:tcW w:w="13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rPr>
              <w:t>2003</w:t>
            </w: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2002</w:t>
            </w: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Discount rate</w:t>
            </w:r>
          </w:p>
        </w:tc>
        <w:tc>
          <w:tcPr>
            <w:tcW w:w="92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b w:val="1"/>
                <w:bCs w:val="1"/>
                <w:color w:val="auto"/>
              </w:rPr>
              <w:t>6.25%</w:t>
            </w:r>
          </w:p>
        </w:tc>
        <w:tc>
          <w:tcPr>
            <w:tcW w:w="132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6.75%</w:t>
            </w:r>
          </w:p>
        </w:tc>
        <w:tc>
          <w:tcPr>
            <w:tcW w:w="8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7.0%</w:t>
            </w:r>
          </w:p>
        </w:tc>
        <w:tc>
          <w:tcPr>
            <w:tcW w:w="1100" w:type="dxa"/>
            <w:vAlign w:val="bottom"/>
            <w:gridSpan w:val="2"/>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6.25%</w:t>
            </w:r>
          </w:p>
        </w:tc>
        <w:tc>
          <w:tcPr>
            <w:tcW w:w="136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rPr>
              <w:t>6.75%</w:t>
            </w:r>
          </w:p>
        </w:tc>
        <w:tc>
          <w:tcPr>
            <w:tcW w:w="72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7.0%</w:t>
            </w: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Arial" w:cs="Arial" w:eastAsia="Arial" w:hAnsi="Arial"/>
                <w:sz w:val="11"/>
                <w:szCs w:val="11"/>
                <w:color w:val="auto"/>
              </w:rPr>
              <w:t>Expected return on plan assets</w:t>
            </w:r>
          </w:p>
        </w:tc>
        <w:tc>
          <w:tcPr>
            <w:tcW w:w="92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auto"/>
              </w:rPr>
              <w:t>7.5%</w:t>
            </w:r>
          </w:p>
        </w:tc>
        <w:tc>
          <w:tcPr>
            <w:tcW w:w="132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7.5%</w:t>
            </w:r>
          </w:p>
        </w:tc>
        <w:tc>
          <w:tcPr>
            <w:tcW w:w="8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7.5%</w:t>
            </w:r>
          </w:p>
        </w:tc>
        <w:tc>
          <w:tcPr>
            <w:tcW w:w="300" w:type="dxa"/>
            <w:vAlign w:val="bottom"/>
          </w:tcPr>
          <w:p>
            <w:pPr>
              <w:spacing w:after="0"/>
              <w:rPr>
                <w:sz w:val="10"/>
                <w:szCs w:val="10"/>
                <w:color w:val="auto"/>
              </w:rPr>
            </w:pP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1360" w:type="dxa"/>
            <w:vAlign w:val="bottom"/>
          </w:tcPr>
          <w:p>
            <w:pPr>
              <w:jc w:val="right"/>
              <w:ind w:right="386"/>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Rate of compensation increase</w:t>
            </w:r>
          </w:p>
        </w:tc>
        <w:tc>
          <w:tcPr>
            <w:tcW w:w="92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b w:val="1"/>
                <w:bCs w:val="1"/>
                <w:color w:val="auto"/>
              </w:rPr>
              <w:t>4.0%</w:t>
            </w:r>
          </w:p>
        </w:tc>
        <w:tc>
          <w:tcPr>
            <w:tcW w:w="132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4.0%</w:t>
            </w:r>
          </w:p>
        </w:tc>
        <w:tc>
          <w:tcPr>
            <w:tcW w:w="8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4.0%</w:t>
            </w: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136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w:t>
            </w:r>
          </w:p>
        </w:tc>
      </w:tr>
    </w:tbl>
    <w:p>
      <w:pPr>
        <w:spacing w:after="0" w:line="98"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76"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In accordance with FASB Staff Position No. 106-2, “Accounting and Disclosure Requirements Related to the Medicare Prescription Drug, Improvement, and Modernization Act of 2003,” the Company has concluded that the Act is not significant to the Company’s other postretirement plans and therefore, the effects of the Act were incorporated into the latest valuation of December 31, 2004. Overall, the Company’s Postretirement benefit obligation was reduced by about $4.0 million at January 2, 2005 as a result of the Act; the Company’s postretirement expense is expected to be reduced by about $0.5 million in fiscal year 2005 as a result of the Act.</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Contributions to multi-employer pension plans, which are generally based on hours worked, amounted to $2.0 million in 2004, $2.0 million in 2003, and $2.0 million in 2002.</w:t>
      </w:r>
    </w:p>
    <w:p>
      <w:pPr>
        <w:spacing w:after="0" w:line="13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 recorded expense associated with retirement benefits provided under incentive savings plans (primarily 401(k) plans) of approximately $17.6 million in 2004, $15.5 million in 2003, and $15.4 million in 2002.</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LEASE AND OTHER COMMITMENTS</w:t>
      </w:r>
    </w:p>
    <w:p>
      <w:pPr>
        <w:spacing w:after="0" w:line="10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At January 2, 2005, future minimum rental payments under noncancelable operating leases approximate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shd w:val="clear" w:color="auto" w:fill="CCEEFF"/>
          </w:tcPr>
          <w:p>
            <w:pPr>
              <w:spacing w:after="0"/>
              <w:rPr>
                <w:sz w:val="20"/>
                <w:szCs w:val="20"/>
                <w:color w:val="auto"/>
              </w:rPr>
            </w:pPr>
            <w:r>
              <w:rPr>
                <w:rFonts w:ascii="Arial" w:cs="Arial" w:eastAsia="Arial" w:hAnsi="Arial"/>
                <w:sz w:val="14"/>
                <w:szCs w:val="14"/>
                <w:color w:val="auto"/>
              </w:rPr>
              <w:t>2005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80,842</w:t>
            </w:r>
          </w:p>
        </w:tc>
        <w:tc>
          <w:tcPr>
            <w:tcW w:w="0" w:type="dxa"/>
            <w:vAlign w:val="bottom"/>
          </w:tcPr>
          <w:p>
            <w:pPr>
              <w:spacing w:after="0"/>
              <w:rPr>
                <w:sz w:val="1"/>
                <w:szCs w:val="1"/>
                <w:color w:val="auto"/>
              </w:rPr>
            </w:pPr>
          </w:p>
        </w:tc>
      </w:tr>
      <w:tr>
        <w:trPr>
          <w:trHeight w:val="149"/>
        </w:trPr>
        <w:tc>
          <w:tcPr>
            <w:tcW w:w="9580" w:type="dxa"/>
            <w:vAlign w:val="bottom"/>
          </w:tcPr>
          <w:p>
            <w:pPr>
              <w:spacing w:after="0" w:line="149" w:lineRule="exact"/>
              <w:rPr>
                <w:sz w:val="20"/>
                <w:szCs w:val="20"/>
                <w:color w:val="auto"/>
              </w:rPr>
            </w:pPr>
            <w:r>
              <w:rPr>
                <w:rFonts w:ascii="Arial" w:cs="Arial" w:eastAsia="Arial" w:hAnsi="Arial"/>
                <w:sz w:val="14"/>
                <w:szCs w:val="14"/>
                <w:color w:val="auto"/>
              </w:rPr>
              <w:t>2006</w:t>
            </w:r>
          </w:p>
        </w:tc>
        <w:tc>
          <w:tcPr>
            <w:tcW w:w="70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75,974</w:t>
            </w:r>
          </w:p>
        </w:tc>
        <w:tc>
          <w:tcPr>
            <w:tcW w:w="0" w:type="dxa"/>
            <w:vAlign w:val="bottom"/>
          </w:tcPr>
          <w:p>
            <w:pPr>
              <w:spacing w:after="0"/>
              <w:rPr>
                <w:sz w:val="1"/>
                <w:szCs w:val="1"/>
                <w:color w:val="auto"/>
              </w:rPr>
            </w:pPr>
          </w:p>
        </w:tc>
      </w:tr>
      <w:tr>
        <w:trPr>
          <w:trHeight w:val="149"/>
        </w:trPr>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7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71,181</w:t>
            </w:r>
          </w:p>
        </w:tc>
        <w:tc>
          <w:tcPr>
            <w:tcW w:w="0" w:type="dxa"/>
            <w:vAlign w:val="bottom"/>
          </w:tcPr>
          <w:p>
            <w:pPr>
              <w:spacing w:after="0"/>
              <w:rPr>
                <w:sz w:val="1"/>
                <w:szCs w:val="1"/>
                <w:color w:val="auto"/>
              </w:rPr>
            </w:pPr>
          </w:p>
        </w:tc>
      </w:tr>
      <w:tr>
        <w:trPr>
          <w:trHeight w:val="149"/>
        </w:trPr>
        <w:tc>
          <w:tcPr>
            <w:tcW w:w="958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70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61,767</w:t>
            </w:r>
          </w:p>
        </w:tc>
        <w:tc>
          <w:tcPr>
            <w:tcW w:w="0" w:type="dxa"/>
            <w:vAlign w:val="bottom"/>
          </w:tcPr>
          <w:p>
            <w:pPr>
              <w:spacing w:after="0"/>
              <w:rPr>
                <w:sz w:val="1"/>
                <w:szCs w:val="1"/>
                <w:color w:val="auto"/>
              </w:rPr>
            </w:pPr>
          </w:p>
        </w:tc>
      </w:tr>
      <w:tr>
        <w:trPr>
          <w:trHeight w:val="149"/>
        </w:trPr>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7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52,303</w:t>
            </w:r>
          </w:p>
        </w:tc>
        <w:tc>
          <w:tcPr>
            <w:tcW w:w="0" w:type="dxa"/>
            <w:vAlign w:val="bottom"/>
          </w:tcPr>
          <w:p>
            <w:pPr>
              <w:spacing w:after="0"/>
              <w:rPr>
                <w:sz w:val="1"/>
                <w:szCs w:val="1"/>
                <w:color w:val="auto"/>
              </w:rPr>
            </w:pPr>
          </w:p>
        </w:tc>
      </w:tr>
      <w:tr>
        <w:trPr>
          <w:trHeight w:val="149"/>
        </w:trPr>
        <w:tc>
          <w:tcPr>
            <w:tcW w:w="958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70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0"/>
              </w:rPr>
              <w:t>154,541</w:t>
            </w:r>
          </w:p>
        </w:tc>
        <w:tc>
          <w:tcPr>
            <w:tcW w:w="0" w:type="dxa"/>
            <w:vAlign w:val="bottom"/>
          </w:tcPr>
          <w:p>
            <w:pPr>
              <w:spacing w:after="0"/>
              <w:rPr>
                <w:sz w:val="1"/>
                <w:szCs w:val="1"/>
                <w:color w:val="auto"/>
              </w:rPr>
            </w:pPr>
          </w:p>
        </w:tc>
      </w:tr>
      <w:tr>
        <w:trPr>
          <w:trHeight w:val="156"/>
        </w:trPr>
        <w:tc>
          <w:tcPr>
            <w:tcW w:w="9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5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w w:val="90"/>
              </w:rPr>
              <w:t>496,608</w:t>
            </w:r>
          </w:p>
        </w:tc>
        <w:tc>
          <w:tcPr>
            <w:tcW w:w="0" w:type="dxa"/>
            <w:vAlign w:val="bottom"/>
          </w:tcPr>
          <w:p>
            <w:pPr>
              <w:spacing w:after="0"/>
              <w:rPr>
                <w:sz w:val="1"/>
                <w:szCs w:val="1"/>
                <w:color w:val="auto"/>
              </w:rPr>
            </w:pPr>
          </w:p>
        </w:tc>
      </w:tr>
      <w:tr>
        <w:trPr>
          <w:trHeight w:val="21"/>
        </w:trPr>
        <w:tc>
          <w:tcPr>
            <w:tcW w:w="9580" w:type="dxa"/>
            <w:vAlign w:val="bottom"/>
            <w:vMerge w:val="restart"/>
          </w:tcPr>
          <w:p>
            <w:pPr>
              <w:spacing w:after="0"/>
              <w:rPr>
                <w:sz w:val="20"/>
                <w:szCs w:val="20"/>
                <w:color w:val="auto"/>
              </w:rPr>
            </w:pPr>
            <w:r>
              <w:rPr>
                <w:rFonts w:ascii="Arial" w:cs="Arial" w:eastAsia="Arial" w:hAnsi="Arial"/>
                <w:sz w:val="16"/>
                <w:szCs w:val="16"/>
                <w:color w:val="auto"/>
                <w:w w:val="97"/>
              </w:rPr>
              <w:t>Minimum payments have not been reduced by minimum sublease rentals of $5.5 million due in the future under noncancelable subleases.</w:t>
            </w: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9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Rent expense under operating leases included in operating costs was approximately $97.6 million, $76.8 million, and $60.7 million in 2004, 2003, and 2002,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Sublease income was approximately $0.6 million, $0.6 million, and $0.6 million in 2004, 2003, and 2002, respectively.</w:t>
      </w:r>
    </w:p>
    <w:p>
      <w:pPr>
        <w:spacing w:after="0" w:line="123" w:lineRule="exact"/>
        <w:rPr>
          <w:sz w:val="20"/>
          <w:szCs w:val="20"/>
          <w:color w:val="auto"/>
        </w:rPr>
      </w:pPr>
    </w:p>
    <w:p>
      <w:pPr>
        <w:ind w:right="220"/>
        <w:spacing w:after="0" w:line="329" w:lineRule="auto"/>
        <w:rPr>
          <w:sz w:val="20"/>
          <w:szCs w:val="20"/>
          <w:color w:val="auto"/>
        </w:rPr>
      </w:pPr>
      <w:r>
        <w:rPr>
          <w:rFonts w:ascii="Arial" w:cs="Arial" w:eastAsia="Arial" w:hAnsi="Arial"/>
          <w:sz w:val="15"/>
          <w:szCs w:val="15"/>
          <w:color w:val="auto"/>
        </w:rPr>
        <w:t>The Company’s broadcast subsidiaries are parties to certain agreements that commit them to purchase programming to be produced in future years. At January 2, 2005, such commitments amounted to approximately $93.0 million. If such programs are not produced, the Company’s commitment would expire without obligation.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 ACQUISITIONS, EXCHANGES AND DISPOSITIONS</w:t>
      </w:r>
    </w:p>
    <w:p>
      <w:pPr>
        <w:spacing w:after="0" w:line="108"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The Company completed business acquisitions and exchanges totaling approximately $63.9 million in 2004, $169.5 million in 2003 and $90.5 million in 2002 (including estimated fair value of cable systems surrendered, assumed debt and related acquisition costs). All of these acquisitions were accounted for using the purchase method, and accordingly, the assets and liabilities of the companies acquired have been recorded at their estimated fair values at the date of acquisition. The purchase price allocations for these acquisitions mostly comprised goodwill and other intangibles and property, plant and equipment.</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On January 14, 2005, the Company completed the acquisition of Slate, the online magazine, which will be included as part of the Company’s newspaper publishing division.</w:t>
      </w:r>
    </w:p>
    <w:p>
      <w:pPr>
        <w:spacing w:after="0" w:line="138" w:lineRule="exact"/>
        <w:rPr>
          <w:sz w:val="20"/>
          <w:szCs w:val="20"/>
          <w:color w:val="auto"/>
        </w:rPr>
      </w:pPr>
    </w:p>
    <w:p>
      <w:pPr>
        <w:ind w:right="260"/>
        <w:spacing w:after="0" w:line="305" w:lineRule="auto"/>
        <w:rPr>
          <w:sz w:val="20"/>
          <w:szCs w:val="20"/>
          <w:color w:val="auto"/>
        </w:rPr>
      </w:pPr>
      <w:r>
        <w:rPr>
          <w:rFonts w:ascii="Arial" w:cs="Arial" w:eastAsia="Arial" w:hAnsi="Arial"/>
          <w:sz w:val="15"/>
          <w:szCs w:val="15"/>
          <w:color w:val="auto"/>
        </w:rPr>
        <w:t>During 2004, Kaplan acquired eight businesses in its higher education and professional divisions for a total of $59.6 million, financed with cash and $8.7 million of debt. In addition, the cable division completed two small transactions for $2.8 million. In May 2004, the Company acquired El Tiempo Latino, a leading Spanish-language weekly newspaper in the greater Washington area. Most of the purchase price for the 2004 acquisitions was allocated to goodwill and other intangibles.</w:t>
      </w:r>
    </w:p>
    <w:p>
      <w:pPr>
        <w:spacing w:after="0" w:line="58"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During 2003, Kaplan acquired 13 businesses in its higher education and professional divisions for a total of $166.8 million, financed with cash and $36.7 million of debt. The largest of these was the March 2003 acquisition of the stock of The Financial Training Company (FTC), for £55.3 million ($87.4 million). Headquartered in London, FTC provides test preparation services for accountants and financial services professionals, with 28 training centers in the United Kingdom as well as operations in Asia. This acquisition was financed with cash and $29.7 million of debt, primarily to employees of the business. In November 2003, Kaplan acquired Dublin Business School, Ireland’s largest private undergraduate institution. Most of the purchase price for the 2003 Kaplan acquisitions was allocated to goodwill and other intangibles and property, plant and equipment.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cable division acquired three additional systems in 2003 for $2.8 million. Most of the purchase price for these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acquisitions was allocated to franchise agreements, an indefinite-lived intangible asset.</w:t>
      </w:r>
    </w:p>
    <w:p>
      <w:pPr>
        <w:spacing w:after="0" w:line="12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January 1, 2003, the Company sold its 50 percent interest in the International Herald Tribune for $65 million and the Company recorded an after-tax non-operating gain of $32.3 million ($3.38 per share) in the first quarter of 2003.</w:t>
      </w:r>
    </w:p>
    <w:p>
      <w:pPr>
        <w:spacing w:after="0" w:line="64"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During 2002, Kaplan acquired several businesses in its higher education and test preparation divisions for approximately $42.2 million. In November 2002, the Company completed a cable system exchange transaction with Time Warner Cable which consisted of the exchange by the Company of its cable system in Akron, Ohio serving about 15,500 subscribers, and $5.2 million to Time Warner Cable, for cable systems serving about 20,300 subscribers in Kansas. The Kansas systems acquired in the exchange transaction were recorded at their estimated fair value, as determined based on an appraisal completed by an independent third- party firm. The non-cash, non-operating gain resulting from the exchange transaction increased net income by $16.7 million, or $1.75 per share.</w:t>
      </w:r>
    </w:p>
    <w:p>
      <w:pPr>
        <w:spacing w:after="0" w:line="6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results of operations for each of the businesses acquired are included in the Consolidated Statements of Income from their respective dates of acquisition. Pro forma results of operations for 2004, 2003 and 2002, assuming the acquisitions and exchanges occurred at the beginning of 2002, are not materially different from reported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 GOODWILL AND OTHER INTANGIBLE ASSETS</w:t>
      </w:r>
    </w:p>
    <w:p>
      <w:pPr>
        <w:spacing w:after="0" w:line="108" w:lineRule="exact"/>
        <w:rPr>
          <w:sz w:val="20"/>
          <w:szCs w:val="20"/>
          <w:color w:val="auto"/>
        </w:rPr>
      </w:pPr>
    </w:p>
    <w:p>
      <w:pPr>
        <w:jc w:val="both"/>
        <w:ind w:right="160"/>
        <w:spacing w:after="0" w:line="369" w:lineRule="auto"/>
        <w:rPr>
          <w:sz w:val="20"/>
          <w:szCs w:val="20"/>
          <w:color w:val="auto"/>
        </w:rPr>
      </w:pPr>
      <w:r>
        <w:rPr>
          <w:rFonts w:ascii="Arial" w:cs="Arial" w:eastAsia="Arial" w:hAnsi="Arial"/>
          <w:sz w:val="14"/>
          <w:szCs w:val="14"/>
          <w:color w:val="auto"/>
        </w:rPr>
        <w:t>The Company adopted Statement of Financial Accounting Standards No. 142 (SFAS 142), “Goodwill and Other Intangible Assets” effective on the first day of its 2002 fiscal year. As a result of the adoption of SFAS 142, the Company ceased most of the periodic charges previously recorded from the amortization of goodwill and other intangibles.</w:t>
      </w:r>
    </w:p>
    <w:p>
      <w:pPr>
        <w:spacing w:after="0" w:line="18"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As required under SFAS 142, the Company completed its transitional impairment review of indefinite-lived intangible assets and goodwill. The expected future cash flows for PostNewsweek Tech Media (part of the magazine publishing segment), on a discounted basis, did not support the net carrying value of the related goodwill. Accordingly, an after-tax goodwill impairment loss of $12.1 million, or $1.27 per share, was recorded. The loss is included in the Company’s 2002 fiscal year results as a cumulative effect of change in accounting principle.</w:t>
      </w:r>
    </w:p>
    <w:p>
      <w:pPr>
        <w:spacing w:after="0" w:line="8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non-compete agreements, with amortization periods up to five years. Amortization expense was $9.3 million in 2004 and is estimated to be approximately $6 million in each of the next five years.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goodwill and other intangible assets as of January 2, 2005 and December 28, 2003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960" w:type="dxa"/>
            <w:vAlign w:val="bottom"/>
          </w:tcPr>
          <w:p>
            <w:pPr>
              <w:jc w:val="right"/>
              <w:ind w:right="686"/>
              <w:spacing w:after="0"/>
              <w:rPr>
                <w:sz w:val="20"/>
                <w:szCs w:val="20"/>
                <w:color w:val="auto"/>
              </w:rPr>
            </w:pPr>
            <w:r>
              <w:rPr>
                <w:rFonts w:ascii="Arial" w:cs="Arial" w:eastAsia="Arial" w:hAnsi="Arial"/>
                <w:sz w:val="11"/>
                <w:szCs w:val="11"/>
                <w:color w:val="auto"/>
              </w:rPr>
              <w:t>Accumulated</w:t>
            </w: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color w:val="auto"/>
              </w:rPr>
              <w:t>Gross</w:t>
            </w:r>
          </w:p>
        </w:tc>
        <w:tc>
          <w:tcPr>
            <w:tcW w:w="196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color w:val="auto"/>
              </w:rPr>
              <w:t>Amortization</w:t>
            </w: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Net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jc w:val="right"/>
              <w:ind w:right="5966"/>
              <w:spacing w:after="0" w:line="122" w:lineRule="exact"/>
              <w:rPr>
                <w:sz w:val="20"/>
                <w:szCs w:val="20"/>
                <w:color w:val="auto"/>
              </w:rPr>
            </w:pPr>
            <w:r>
              <w:rPr>
                <w:rFonts w:ascii="Arial" w:cs="Arial" w:eastAsia="Arial" w:hAnsi="Arial"/>
                <w:sz w:val="11"/>
                <w:szCs w:val="11"/>
                <w:b w:val="1"/>
                <w:bCs w:val="1"/>
                <w:color w:val="auto"/>
                <w:w w:val="78"/>
              </w:rPr>
              <w:t>2004:</w:t>
            </w:r>
          </w:p>
        </w:tc>
        <w:tc>
          <w:tcPr>
            <w:tcW w:w="148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tcPr>
          <w:p>
            <w:pPr>
              <w:ind w:left="280"/>
              <w:spacing w:after="0" w:line="122" w:lineRule="exact"/>
              <w:rPr>
                <w:sz w:val="20"/>
                <w:szCs w:val="20"/>
                <w:color w:val="auto"/>
              </w:rPr>
            </w:pPr>
            <w:r>
              <w:rPr>
                <w:rFonts w:ascii="Arial" w:cs="Arial" w:eastAsia="Arial" w:hAnsi="Arial"/>
                <w:sz w:val="11"/>
                <w:szCs w:val="11"/>
                <w:b w:val="1"/>
                <w:bCs w:val="1"/>
                <w:color w:val="auto"/>
              </w:rPr>
              <w:t>Goodwill</w:t>
            </w:r>
          </w:p>
        </w:tc>
        <w:tc>
          <w:tcPr>
            <w:tcW w:w="1480" w:type="dxa"/>
            <w:vAlign w:val="bottom"/>
          </w:tcPr>
          <w:p>
            <w:pPr>
              <w:jc w:val="right"/>
              <w:ind w:right="586"/>
              <w:spacing w:after="0" w:line="122" w:lineRule="exact"/>
              <w:rPr>
                <w:sz w:val="20"/>
                <w:szCs w:val="20"/>
                <w:color w:val="auto"/>
              </w:rPr>
            </w:pPr>
            <w:r>
              <w:rPr>
                <w:rFonts w:ascii="Arial" w:cs="Arial" w:eastAsia="Arial" w:hAnsi="Arial"/>
                <w:sz w:val="11"/>
                <w:szCs w:val="11"/>
                <w:b w:val="1"/>
                <w:bCs w:val="1"/>
                <w:color w:val="auto"/>
              </w:rPr>
              <w:t>$1,321,542</w:t>
            </w:r>
          </w:p>
        </w:tc>
        <w:tc>
          <w:tcPr>
            <w:tcW w:w="1960" w:type="dxa"/>
            <w:vAlign w:val="bottom"/>
          </w:tcPr>
          <w:p>
            <w:pPr>
              <w:jc w:val="right"/>
              <w:ind w:right="686"/>
              <w:spacing w:after="0" w:line="122" w:lineRule="exact"/>
              <w:rPr>
                <w:sz w:val="20"/>
                <w:szCs w:val="20"/>
                <w:color w:val="auto"/>
              </w:rPr>
            </w:pPr>
            <w:r>
              <w:rPr>
                <w:rFonts w:ascii="Arial" w:cs="Arial" w:eastAsia="Arial" w:hAnsi="Arial"/>
                <w:sz w:val="11"/>
                <w:szCs w:val="11"/>
                <w:b w:val="1"/>
                <w:bCs w:val="1"/>
                <w:color w:val="auto"/>
              </w:rPr>
              <w:t>$298,402</w:t>
            </w: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466"/>
              <w:spacing w:after="0" w:line="122" w:lineRule="exact"/>
              <w:rPr>
                <w:sz w:val="20"/>
                <w:szCs w:val="20"/>
                <w:color w:val="auto"/>
              </w:rPr>
            </w:pPr>
            <w:r>
              <w:rPr>
                <w:rFonts w:ascii="Arial" w:cs="Arial" w:eastAsia="Arial" w:hAnsi="Arial"/>
                <w:sz w:val="11"/>
                <w:szCs w:val="11"/>
                <w:b w:val="1"/>
                <w:bCs w:val="1"/>
                <w:color w:val="auto"/>
                <w:w w:val="85"/>
              </w:rPr>
              <w:t>1,023,140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b w:val="1"/>
                <w:bCs w:val="1"/>
                <w:color w:val="auto"/>
              </w:rPr>
              <w:t>Indefinite-lived intangible assets</w:t>
            </w:r>
          </w:p>
        </w:tc>
        <w:tc>
          <w:tcPr>
            <w:tcW w:w="1480" w:type="dxa"/>
            <w:vAlign w:val="bottom"/>
            <w:shd w:val="clear" w:color="auto" w:fill="CCEEFF"/>
          </w:tcPr>
          <w:p>
            <w:pPr>
              <w:jc w:val="right"/>
              <w:ind w:right="586"/>
              <w:spacing w:after="0" w:line="122" w:lineRule="exact"/>
              <w:rPr>
                <w:sz w:val="20"/>
                <w:szCs w:val="20"/>
                <w:color w:val="auto"/>
              </w:rPr>
            </w:pPr>
            <w:r>
              <w:rPr>
                <w:rFonts w:ascii="Arial" w:cs="Arial" w:eastAsia="Arial" w:hAnsi="Arial"/>
                <w:sz w:val="11"/>
                <w:szCs w:val="11"/>
                <w:b w:val="1"/>
                <w:bCs w:val="1"/>
                <w:color w:val="auto"/>
              </w:rPr>
              <w:t>656,998</w:t>
            </w:r>
          </w:p>
        </w:tc>
        <w:tc>
          <w:tcPr>
            <w:tcW w:w="196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b w:val="1"/>
                <w:bCs w:val="1"/>
                <w:color w:val="auto"/>
              </w:rPr>
              <w:t>163,806</w:t>
            </w:r>
          </w:p>
        </w:tc>
        <w:tc>
          <w:tcPr>
            <w:tcW w:w="74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rPr>
              <w:t>493,192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ind w:left="280"/>
              <w:spacing w:after="0" w:line="122" w:lineRule="exact"/>
              <w:rPr>
                <w:sz w:val="20"/>
                <w:szCs w:val="20"/>
                <w:color w:val="auto"/>
              </w:rPr>
            </w:pPr>
            <w:r>
              <w:rPr>
                <w:rFonts w:ascii="Arial" w:cs="Arial" w:eastAsia="Arial" w:hAnsi="Arial"/>
                <w:sz w:val="11"/>
                <w:szCs w:val="11"/>
                <w:b w:val="1"/>
                <w:bCs w:val="1"/>
                <w:color w:val="auto"/>
              </w:rPr>
              <w:t>Amortized intangible assets</w:t>
            </w:r>
          </w:p>
        </w:tc>
        <w:tc>
          <w:tcPr>
            <w:tcW w:w="1480" w:type="dxa"/>
            <w:vAlign w:val="bottom"/>
            <w:tcBorders>
              <w:bottom w:val="single" w:sz="8" w:color="auto"/>
            </w:tcBorders>
          </w:tcPr>
          <w:p>
            <w:pPr>
              <w:jc w:val="right"/>
              <w:ind w:right="586"/>
              <w:spacing w:after="0" w:line="122" w:lineRule="exact"/>
              <w:rPr>
                <w:sz w:val="20"/>
                <w:szCs w:val="20"/>
                <w:color w:val="auto"/>
              </w:rPr>
            </w:pPr>
            <w:r>
              <w:rPr>
                <w:rFonts w:ascii="Arial" w:cs="Arial" w:eastAsia="Arial" w:hAnsi="Arial"/>
                <w:sz w:val="11"/>
                <w:szCs w:val="11"/>
                <w:b w:val="1"/>
                <w:bCs w:val="1"/>
                <w:color w:val="auto"/>
              </w:rPr>
              <w:t>20,021</w:t>
            </w:r>
          </w:p>
        </w:tc>
        <w:tc>
          <w:tcPr>
            <w:tcW w:w="1960" w:type="dxa"/>
            <w:vAlign w:val="bottom"/>
            <w:tcBorders>
              <w:bottom w:val="single" w:sz="8" w:color="auto"/>
            </w:tcBorders>
          </w:tcPr>
          <w:p>
            <w:pPr>
              <w:jc w:val="right"/>
              <w:ind w:right="686"/>
              <w:spacing w:after="0" w:line="122" w:lineRule="exact"/>
              <w:rPr>
                <w:sz w:val="20"/>
                <w:szCs w:val="20"/>
                <w:color w:val="auto"/>
              </w:rPr>
            </w:pPr>
            <w:r>
              <w:rPr>
                <w:rFonts w:ascii="Arial" w:cs="Arial" w:eastAsia="Arial" w:hAnsi="Arial"/>
                <w:sz w:val="11"/>
                <w:szCs w:val="11"/>
                <w:b w:val="1"/>
                <w:bCs w:val="1"/>
                <w:color w:val="auto"/>
              </w:rPr>
              <w:t>12,142</w:t>
            </w: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6"/>
              <w:spacing w:after="0" w:line="122" w:lineRule="exact"/>
              <w:rPr>
                <w:sz w:val="20"/>
                <w:szCs w:val="20"/>
                <w:color w:val="auto"/>
              </w:rPr>
            </w:pPr>
            <w:r>
              <w:rPr>
                <w:rFonts w:ascii="Arial" w:cs="Arial" w:eastAsia="Arial" w:hAnsi="Arial"/>
                <w:sz w:val="11"/>
                <w:szCs w:val="11"/>
                <w:b w:val="1"/>
                <w:bCs w:val="1"/>
                <w:color w:val="auto"/>
              </w:rPr>
              <w:t>7,879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spacing w:after="0"/>
              <w:rPr>
                <w:sz w:val="10"/>
                <w:szCs w:val="10"/>
                <w:color w:val="auto"/>
              </w:rPr>
            </w:pPr>
          </w:p>
        </w:tc>
        <w:tc>
          <w:tcPr>
            <w:tcW w:w="1480" w:type="dxa"/>
            <w:vAlign w:val="bottom"/>
            <w:tcBorders>
              <w:bottom w:val="single" w:sz="8" w:color="auto"/>
            </w:tcBorders>
            <w:shd w:val="clear" w:color="auto" w:fill="CCEEFF"/>
          </w:tcPr>
          <w:p>
            <w:pPr>
              <w:jc w:val="right"/>
              <w:ind w:right="586"/>
              <w:spacing w:after="0" w:line="122" w:lineRule="exact"/>
              <w:rPr>
                <w:sz w:val="20"/>
                <w:szCs w:val="20"/>
                <w:color w:val="auto"/>
              </w:rPr>
            </w:pPr>
            <w:r>
              <w:rPr>
                <w:rFonts w:ascii="Arial" w:cs="Arial" w:eastAsia="Arial" w:hAnsi="Arial"/>
                <w:sz w:val="11"/>
                <w:szCs w:val="11"/>
                <w:b w:val="1"/>
                <w:bCs w:val="1"/>
                <w:color w:val="auto"/>
              </w:rPr>
              <w:t>$1,998,561</w:t>
            </w:r>
          </w:p>
        </w:tc>
        <w:tc>
          <w:tcPr>
            <w:tcW w:w="1960" w:type="dxa"/>
            <w:vAlign w:val="bottom"/>
            <w:tcBorders>
              <w:bottom w:val="single" w:sz="8" w:color="auto"/>
            </w:tcBorders>
            <w:shd w:val="clear" w:color="auto" w:fill="CCEEFF"/>
          </w:tcPr>
          <w:p>
            <w:pPr>
              <w:jc w:val="right"/>
              <w:ind w:right="686"/>
              <w:spacing w:after="0" w:line="122" w:lineRule="exact"/>
              <w:rPr>
                <w:sz w:val="20"/>
                <w:szCs w:val="20"/>
                <w:color w:val="auto"/>
              </w:rPr>
            </w:pPr>
            <w:r>
              <w:rPr>
                <w:rFonts w:ascii="Arial" w:cs="Arial" w:eastAsia="Arial" w:hAnsi="Arial"/>
                <w:sz w:val="11"/>
                <w:szCs w:val="11"/>
                <w:b w:val="1"/>
                <w:bCs w:val="1"/>
                <w:color w:val="auto"/>
              </w:rPr>
              <w:t>$474,350</w:t>
            </w:r>
          </w:p>
        </w:tc>
        <w:tc>
          <w:tcPr>
            <w:tcW w:w="7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w w:val="85"/>
              </w:rPr>
              <w:t>1,524,211</w:t>
            </w: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jc w:val="right"/>
              <w:ind w:right="5966"/>
              <w:spacing w:after="0"/>
              <w:rPr>
                <w:sz w:val="20"/>
                <w:szCs w:val="20"/>
                <w:color w:val="auto"/>
              </w:rPr>
            </w:pPr>
            <w:r>
              <w:rPr>
                <w:rFonts w:ascii="Arial" w:cs="Arial" w:eastAsia="Arial" w:hAnsi="Arial"/>
                <w:sz w:val="11"/>
                <w:szCs w:val="11"/>
                <w:b w:val="1"/>
                <w:bCs w:val="1"/>
                <w:color w:val="auto"/>
                <w:w w:val="85"/>
              </w:rPr>
              <w:t>2003:</w:t>
            </w:r>
          </w:p>
        </w:tc>
        <w:tc>
          <w:tcPr>
            <w:tcW w:w="1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280" w:type="dxa"/>
            <w:vAlign w:val="bottom"/>
            <w:gridSpan w:val="2"/>
            <w:vMerge w:val="continue"/>
          </w:tcPr>
          <w:p>
            <w:pPr>
              <w:spacing w:after="0"/>
              <w:rPr>
                <w:sz w:val="11"/>
                <w:szCs w:val="11"/>
                <w:color w:val="auto"/>
              </w:rPr>
            </w:pPr>
          </w:p>
        </w:tc>
        <w:tc>
          <w:tcPr>
            <w:tcW w:w="14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Goodwill</w:t>
            </w:r>
          </w:p>
        </w:tc>
        <w:tc>
          <w:tcPr>
            <w:tcW w:w="1480" w:type="dxa"/>
            <w:vAlign w:val="bottom"/>
            <w:shd w:val="clear" w:color="auto" w:fill="CCEEFF"/>
          </w:tcPr>
          <w:p>
            <w:pPr>
              <w:jc w:val="right"/>
              <w:ind w:right="586"/>
              <w:spacing w:after="0" w:line="122" w:lineRule="exact"/>
              <w:rPr>
                <w:sz w:val="20"/>
                <w:szCs w:val="20"/>
                <w:color w:val="auto"/>
              </w:rPr>
            </w:pPr>
            <w:r>
              <w:rPr>
                <w:rFonts w:ascii="Arial" w:cs="Arial" w:eastAsia="Arial" w:hAnsi="Arial"/>
                <w:sz w:val="11"/>
                <w:szCs w:val="11"/>
                <w:color w:val="auto"/>
              </w:rPr>
              <w:t>$1,264,096</w:t>
            </w:r>
          </w:p>
        </w:tc>
        <w:tc>
          <w:tcPr>
            <w:tcW w:w="1960" w:type="dxa"/>
            <w:vAlign w:val="bottom"/>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$298,402</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965,694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tcPr>
          <w:p>
            <w:pPr>
              <w:ind w:left="280"/>
              <w:spacing w:after="0" w:line="122" w:lineRule="exact"/>
              <w:rPr>
                <w:sz w:val="20"/>
                <w:szCs w:val="20"/>
                <w:color w:val="auto"/>
              </w:rPr>
            </w:pPr>
            <w:r>
              <w:rPr>
                <w:rFonts w:ascii="Arial" w:cs="Arial" w:eastAsia="Arial" w:hAnsi="Arial"/>
                <w:sz w:val="11"/>
                <w:szCs w:val="11"/>
                <w:color w:val="auto"/>
              </w:rPr>
              <w:t>Indefinite-lived intangible assets</w:t>
            </w:r>
          </w:p>
        </w:tc>
        <w:tc>
          <w:tcPr>
            <w:tcW w:w="1480" w:type="dxa"/>
            <w:vAlign w:val="bottom"/>
          </w:tcPr>
          <w:p>
            <w:pPr>
              <w:jc w:val="right"/>
              <w:ind w:right="586"/>
              <w:spacing w:after="0" w:line="122" w:lineRule="exact"/>
              <w:rPr>
                <w:sz w:val="20"/>
                <w:szCs w:val="20"/>
                <w:color w:val="auto"/>
              </w:rPr>
            </w:pPr>
            <w:r>
              <w:rPr>
                <w:rFonts w:ascii="Arial" w:cs="Arial" w:eastAsia="Arial" w:hAnsi="Arial"/>
                <w:sz w:val="11"/>
                <w:szCs w:val="11"/>
                <w:color w:val="auto"/>
              </w:rPr>
              <w:t>650,462</w:t>
            </w:r>
          </w:p>
        </w:tc>
        <w:tc>
          <w:tcPr>
            <w:tcW w:w="196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163,806</w:t>
            </w:r>
          </w:p>
        </w:tc>
        <w:tc>
          <w:tcPr>
            <w:tcW w:w="740" w:type="dxa"/>
            <w:vAlign w:val="bottom"/>
          </w:tcPr>
          <w:p>
            <w:pPr>
              <w:spacing w:after="0"/>
              <w:rPr>
                <w:sz w:val="10"/>
                <w:szCs w:val="10"/>
                <w:color w:val="auto"/>
              </w:rPr>
            </w:pPr>
          </w:p>
        </w:tc>
        <w:tc>
          <w:tcPr>
            <w:tcW w:w="96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486,656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Amortized intangible assets</w:t>
            </w:r>
          </w:p>
        </w:tc>
        <w:tc>
          <w:tcPr>
            <w:tcW w:w="1480" w:type="dxa"/>
            <w:vAlign w:val="bottom"/>
            <w:tcBorders>
              <w:bottom w:val="single" w:sz="8" w:color="auto"/>
            </w:tcBorders>
            <w:shd w:val="clear" w:color="auto" w:fill="CCEEFF"/>
          </w:tcPr>
          <w:p>
            <w:pPr>
              <w:jc w:val="right"/>
              <w:ind w:right="586"/>
              <w:spacing w:after="0" w:line="122" w:lineRule="exact"/>
              <w:rPr>
                <w:sz w:val="20"/>
                <w:szCs w:val="20"/>
                <w:color w:val="auto"/>
              </w:rPr>
            </w:pPr>
            <w:r>
              <w:rPr>
                <w:rFonts w:ascii="Arial" w:cs="Arial" w:eastAsia="Arial" w:hAnsi="Arial"/>
                <w:sz w:val="11"/>
                <w:szCs w:val="11"/>
                <w:color w:val="auto"/>
              </w:rPr>
              <w:t>8,034</w:t>
            </w:r>
          </w:p>
        </w:tc>
        <w:tc>
          <w:tcPr>
            <w:tcW w:w="1960" w:type="dxa"/>
            <w:vAlign w:val="bottom"/>
            <w:tcBorders>
              <w:bottom w:val="single" w:sz="8" w:color="auto"/>
            </w:tcBorders>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2,808</w:t>
            </w:r>
          </w:p>
        </w:tc>
        <w:tc>
          <w:tcPr>
            <w:tcW w:w="7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5,226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4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color w:val="auto"/>
              </w:rPr>
              <w:t>$1,922,592</w:t>
            </w:r>
          </w:p>
        </w:tc>
        <w:tc>
          <w:tcPr>
            <w:tcW w:w="196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color w:val="auto"/>
              </w:rPr>
              <w:t>$465,016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w w:val="85"/>
              </w:rPr>
              <w:t>1,457,576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intangible assets during 2004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80" w:type="dxa"/>
            <w:vAlign w:val="bottom"/>
            <w:gridSpan w:val="2"/>
          </w:tcPr>
          <w:p>
            <w:pPr>
              <w:jc w:val="right"/>
              <w:ind w:right="446"/>
              <w:spacing w:after="0"/>
              <w:rPr>
                <w:sz w:val="20"/>
                <w:szCs w:val="20"/>
                <w:color w:val="auto"/>
              </w:rPr>
            </w:pPr>
            <w:r>
              <w:rPr>
                <w:rFonts w:ascii="Arial" w:cs="Arial" w:eastAsia="Arial" w:hAnsi="Arial"/>
                <w:sz w:val="11"/>
                <w:szCs w:val="11"/>
                <w:color w:val="auto"/>
              </w:rPr>
              <w:t>Newspaper</w:t>
            </w:r>
          </w:p>
        </w:tc>
        <w:tc>
          <w:tcPr>
            <w:tcW w:w="1600" w:type="dxa"/>
            <w:vAlign w:val="bottom"/>
          </w:tcPr>
          <w:p>
            <w:pPr>
              <w:ind w:left="580"/>
              <w:spacing w:after="0"/>
              <w:rPr>
                <w:sz w:val="20"/>
                <w:szCs w:val="20"/>
                <w:color w:val="auto"/>
              </w:rPr>
            </w:pPr>
            <w:r>
              <w:rPr>
                <w:rFonts w:ascii="Arial" w:cs="Arial" w:eastAsia="Arial" w:hAnsi="Arial"/>
                <w:sz w:val="11"/>
                <w:szCs w:val="11"/>
                <w:color w:val="auto"/>
              </w:rPr>
              <w:t>Television</w:t>
            </w:r>
          </w:p>
        </w:tc>
        <w:tc>
          <w:tcPr>
            <w:tcW w:w="1480" w:type="dxa"/>
            <w:vAlign w:val="bottom"/>
          </w:tcPr>
          <w:p>
            <w:pPr>
              <w:ind w:left="540"/>
              <w:spacing w:after="0"/>
              <w:rPr>
                <w:sz w:val="20"/>
                <w:szCs w:val="20"/>
                <w:color w:val="auto"/>
              </w:rPr>
            </w:pPr>
            <w:r>
              <w:rPr>
                <w:rFonts w:ascii="Arial" w:cs="Arial" w:eastAsia="Arial" w:hAnsi="Arial"/>
                <w:sz w:val="11"/>
                <w:szCs w:val="11"/>
                <w:color w:val="auto"/>
              </w:rPr>
              <w:t>Magazine</w:t>
            </w:r>
          </w:p>
        </w:tc>
        <w:tc>
          <w:tcPr>
            <w:tcW w:w="540" w:type="dxa"/>
            <w:vAlign w:val="bottom"/>
          </w:tcPr>
          <w:p>
            <w:pPr>
              <w:spacing w:after="0"/>
              <w:rPr>
                <w:sz w:val="10"/>
                <w:szCs w:val="10"/>
                <w:color w:val="auto"/>
              </w:rPr>
            </w:pPr>
          </w:p>
        </w:tc>
        <w:tc>
          <w:tcPr>
            <w:tcW w:w="920" w:type="dxa"/>
            <w:vAlign w:val="bottom"/>
          </w:tcPr>
          <w:p>
            <w:pPr>
              <w:jc w:val="right"/>
              <w:ind w:right="566"/>
              <w:spacing w:after="0"/>
              <w:rPr>
                <w:sz w:val="20"/>
                <w:szCs w:val="20"/>
                <w:color w:val="auto"/>
              </w:rPr>
            </w:pPr>
            <w:r>
              <w:rPr>
                <w:rFonts w:ascii="Arial" w:cs="Arial" w:eastAsia="Arial" w:hAnsi="Arial"/>
                <w:sz w:val="11"/>
                <w:szCs w:val="11"/>
                <w:color w:val="auto"/>
                <w:w w:val="97"/>
              </w:rPr>
              <w:t>Cable</w:t>
            </w: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1"/>
                <w:szCs w:val="11"/>
                <w:b w:val="1"/>
                <w:bCs w:val="1"/>
                <w:color w:val="auto"/>
              </w:rPr>
              <w:t>Publishing</w:t>
            </w:r>
          </w:p>
        </w:tc>
        <w:tc>
          <w:tcPr>
            <w:tcW w:w="160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Broadcasting</w:t>
            </w: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Publishing</w:t>
            </w:r>
          </w:p>
        </w:tc>
        <w:tc>
          <w:tcPr>
            <w:tcW w:w="1460" w:type="dxa"/>
            <w:vAlign w:val="bottom"/>
            <w:tcBorders>
              <w:bottom w:val="single" w:sz="8" w:color="auto"/>
            </w:tcBorders>
            <w:gridSpan w:val="2"/>
          </w:tcPr>
          <w:p>
            <w:pPr>
              <w:ind w:left="480"/>
              <w:spacing w:after="0"/>
              <w:rPr>
                <w:sz w:val="20"/>
                <w:szCs w:val="20"/>
                <w:color w:val="auto"/>
              </w:rPr>
            </w:pPr>
            <w:r>
              <w:rPr>
                <w:rFonts w:ascii="Arial" w:cs="Arial" w:eastAsia="Arial" w:hAnsi="Arial"/>
                <w:sz w:val="11"/>
                <w:szCs w:val="11"/>
                <w:b w:val="1"/>
                <w:bCs w:val="1"/>
                <w:color w:val="auto"/>
              </w:rPr>
              <w:t>Television</w:t>
            </w:r>
          </w:p>
        </w:tc>
        <w:tc>
          <w:tcPr>
            <w:tcW w:w="148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1"/>
                <w:szCs w:val="11"/>
                <w:color w:val="auto"/>
              </w:rPr>
              <w:t>Education</w:t>
            </w:r>
          </w:p>
        </w:tc>
        <w:tc>
          <w:tcPr>
            <w:tcW w:w="5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w w:val="97"/>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Goodwill, Net</w:t>
            </w:r>
          </w:p>
        </w:tc>
        <w:tc>
          <w:tcPr>
            <w:tcW w:w="4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526"/>
              <w:spacing w:after="0" w:line="122" w:lineRule="exact"/>
              <w:rPr>
                <w:sz w:val="20"/>
                <w:szCs w:val="20"/>
                <w:color w:val="auto"/>
              </w:rPr>
            </w:pPr>
            <w:r>
              <w:rPr>
                <w:rFonts w:ascii="Arial" w:cs="Arial" w:eastAsia="Arial" w:hAnsi="Arial"/>
                <w:sz w:val="11"/>
                <w:szCs w:val="11"/>
                <w:color w:val="auto"/>
                <w:w w:val="83"/>
              </w:rPr>
              <w:t>71,277</w:t>
            </w:r>
          </w:p>
        </w:tc>
        <w:tc>
          <w:tcPr>
            <w:tcW w:w="1600" w:type="dxa"/>
            <w:vAlign w:val="bottom"/>
          </w:tcPr>
          <w:p>
            <w:pPr>
              <w:ind w:left="580"/>
              <w:spacing w:after="0" w:line="122" w:lineRule="exact"/>
              <w:rPr>
                <w:sz w:val="20"/>
                <w:szCs w:val="20"/>
                <w:color w:val="auto"/>
              </w:rPr>
            </w:pPr>
            <w:r>
              <w:rPr>
                <w:rFonts w:ascii="Arial" w:cs="Arial" w:eastAsia="Arial" w:hAnsi="Arial"/>
                <w:sz w:val="11"/>
                <w:szCs w:val="11"/>
                <w:color w:val="auto"/>
              </w:rPr>
              <w:t>$203,165</w:t>
            </w:r>
          </w:p>
        </w:tc>
        <w:tc>
          <w:tcPr>
            <w:tcW w:w="1480" w:type="dxa"/>
            <w:vAlign w:val="bottom"/>
          </w:tcPr>
          <w:p>
            <w:pPr>
              <w:ind w:left="540"/>
              <w:spacing w:after="0" w:line="122" w:lineRule="exact"/>
              <w:rPr>
                <w:sz w:val="20"/>
                <w:szCs w:val="20"/>
                <w:color w:val="auto"/>
              </w:rPr>
            </w:pPr>
            <w:r>
              <w:rPr>
                <w:rFonts w:ascii="Arial" w:cs="Arial" w:eastAsia="Arial" w:hAnsi="Arial"/>
                <w:sz w:val="11"/>
                <w:szCs w:val="11"/>
                <w:color w:val="auto"/>
              </w:rPr>
              <w:t>$69,556</w:t>
            </w:r>
          </w:p>
        </w:tc>
        <w:tc>
          <w:tcPr>
            <w:tcW w:w="540" w:type="dxa"/>
            <w:vAlign w:val="bottom"/>
          </w:tcPr>
          <w:p>
            <w:pPr>
              <w:ind w:left="48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526"/>
              <w:spacing w:after="0" w:line="122" w:lineRule="exact"/>
              <w:rPr>
                <w:sz w:val="20"/>
                <w:szCs w:val="20"/>
                <w:color w:val="auto"/>
              </w:rPr>
            </w:pPr>
            <w:r>
              <w:rPr>
                <w:rFonts w:ascii="Arial" w:cs="Arial" w:eastAsia="Arial" w:hAnsi="Arial"/>
                <w:sz w:val="11"/>
                <w:szCs w:val="11"/>
                <w:color w:val="auto"/>
                <w:w w:val="94"/>
              </w:rPr>
              <w:t>85,666</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66"/>
              <w:spacing w:after="0" w:line="122" w:lineRule="exact"/>
              <w:rPr>
                <w:sz w:val="20"/>
                <w:szCs w:val="20"/>
                <w:color w:val="auto"/>
              </w:rPr>
            </w:pPr>
            <w:r>
              <w:rPr>
                <w:rFonts w:ascii="Arial" w:cs="Arial" w:eastAsia="Arial" w:hAnsi="Arial"/>
                <w:sz w:val="11"/>
                <w:szCs w:val="11"/>
                <w:color w:val="auto"/>
                <w:w w:val="80"/>
              </w:rPr>
              <w:t>536,030</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965,694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Acquisitions</w:t>
            </w:r>
          </w:p>
        </w:tc>
        <w:tc>
          <w:tcPr>
            <w:tcW w:w="40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1,493</w:t>
            </w:r>
          </w:p>
        </w:tc>
        <w:tc>
          <w:tcPr>
            <w:tcW w:w="16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w w:val="94"/>
              </w:rPr>
              <w:t>44,143</w:t>
            </w:r>
          </w:p>
        </w:tc>
        <w:tc>
          <w:tcPr>
            <w:tcW w:w="56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45,636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tcPr>
          <w:p>
            <w:pPr>
              <w:ind w:left="260"/>
              <w:spacing w:after="0" w:line="122" w:lineRule="exact"/>
              <w:rPr>
                <w:sz w:val="20"/>
                <w:szCs w:val="20"/>
                <w:color w:val="auto"/>
              </w:rPr>
            </w:pPr>
            <w:r>
              <w:rPr>
                <w:rFonts w:ascii="Arial" w:cs="Arial" w:eastAsia="Arial" w:hAnsi="Arial"/>
                <w:sz w:val="11"/>
                <w:szCs w:val="11"/>
                <w:color w:val="auto"/>
              </w:rPr>
              <w:t>Foreign currency exchange rate</w:t>
            </w: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66"/>
              <w:spacing w:after="0" w:line="122" w:lineRule="exact"/>
              <w:rPr>
                <w:sz w:val="20"/>
                <w:szCs w:val="20"/>
                <w:color w:val="auto"/>
              </w:rPr>
            </w:pPr>
            <w:r>
              <w:rPr>
                <w:rFonts w:ascii="Arial" w:cs="Arial" w:eastAsia="Arial" w:hAnsi="Arial"/>
                <w:sz w:val="11"/>
                <w:szCs w:val="11"/>
                <w:color w:val="auto"/>
                <w:w w:val="94"/>
              </w:rPr>
              <w:t>11,810</w:t>
            </w:r>
          </w:p>
        </w:tc>
        <w:tc>
          <w:tcPr>
            <w:tcW w:w="5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11,810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4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w w:val="83"/>
              </w:rPr>
              <w:t>72,770</w:t>
            </w:r>
          </w:p>
        </w:tc>
        <w:tc>
          <w:tcPr>
            <w:tcW w:w="1600" w:type="dxa"/>
            <w:vAlign w:val="bottom"/>
            <w:tcBorders>
              <w:bottom w:val="single" w:sz="8" w:color="auto"/>
            </w:tcBorders>
            <w:shd w:val="clear" w:color="auto" w:fill="CCEEFF"/>
          </w:tcPr>
          <w:p>
            <w:pPr>
              <w:ind w:left="580"/>
              <w:spacing w:after="0" w:line="122" w:lineRule="exact"/>
              <w:rPr>
                <w:sz w:val="20"/>
                <w:szCs w:val="20"/>
                <w:color w:val="auto"/>
              </w:rPr>
            </w:pPr>
            <w:r>
              <w:rPr>
                <w:rFonts w:ascii="Arial" w:cs="Arial" w:eastAsia="Arial" w:hAnsi="Arial"/>
                <w:sz w:val="11"/>
                <w:szCs w:val="11"/>
                <w:color w:val="auto"/>
              </w:rPr>
              <w:t>$203,165</w:t>
            </w:r>
          </w:p>
        </w:tc>
        <w:tc>
          <w:tcPr>
            <w:tcW w:w="1480" w:type="dxa"/>
            <w:vAlign w:val="bottom"/>
            <w:tcBorders>
              <w:bottom w:val="single" w:sz="8" w:color="auto"/>
            </w:tcBorders>
            <w:shd w:val="clear" w:color="auto" w:fill="CCEEFF"/>
          </w:tcPr>
          <w:p>
            <w:pPr>
              <w:ind w:left="540"/>
              <w:spacing w:after="0" w:line="122" w:lineRule="exact"/>
              <w:rPr>
                <w:sz w:val="20"/>
                <w:szCs w:val="20"/>
                <w:color w:val="auto"/>
              </w:rPr>
            </w:pPr>
            <w:r>
              <w:rPr>
                <w:rFonts w:ascii="Arial" w:cs="Arial" w:eastAsia="Arial" w:hAnsi="Arial"/>
                <w:sz w:val="11"/>
                <w:szCs w:val="11"/>
                <w:color w:val="auto"/>
              </w:rPr>
              <w:t>$69,556</w:t>
            </w:r>
          </w:p>
        </w:tc>
        <w:tc>
          <w:tcPr>
            <w:tcW w:w="5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w w:val="94"/>
              </w:rPr>
              <w:t>85,666</w:t>
            </w: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w w:val="80"/>
              </w:rPr>
              <w:t>591,983</w:t>
            </w: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w w:val="81"/>
              </w:rPr>
              <w:t>1,023,140</w:t>
            </w:r>
          </w:p>
        </w:tc>
        <w:tc>
          <w:tcPr>
            <w:tcW w:w="0" w:type="dxa"/>
            <w:vAlign w:val="bottom"/>
          </w:tcPr>
          <w:p>
            <w:pPr>
              <w:spacing w:after="0"/>
              <w:rPr>
                <w:sz w:val="1"/>
                <w:szCs w:val="1"/>
                <w:color w:val="auto"/>
              </w:rPr>
            </w:pPr>
          </w:p>
        </w:tc>
      </w:tr>
      <w:tr>
        <w:trPr>
          <w:trHeight w:val="21"/>
        </w:trPr>
        <w:tc>
          <w:tcPr>
            <w:tcW w:w="2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Indefinite-Lived Intangible Assets, Net</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8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4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w w:val="80"/>
              </w:rPr>
              <w:t>484,556</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2,100</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486,656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tcPr>
          <w:p>
            <w:pPr>
              <w:ind w:left="260"/>
              <w:spacing w:after="0" w:line="122" w:lineRule="exact"/>
              <w:rPr>
                <w:sz w:val="20"/>
                <w:szCs w:val="20"/>
                <w:color w:val="auto"/>
              </w:rPr>
            </w:pPr>
            <w:r>
              <w:rPr>
                <w:rFonts w:ascii="Arial" w:cs="Arial" w:eastAsia="Arial" w:hAnsi="Arial"/>
                <w:sz w:val="11"/>
                <w:szCs w:val="11"/>
                <w:color w:val="auto"/>
              </w:rPr>
              <w:t>Acquisitions</w:t>
            </w: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26"/>
              <w:spacing w:after="0" w:line="122" w:lineRule="exact"/>
              <w:rPr>
                <w:sz w:val="20"/>
                <w:szCs w:val="20"/>
                <w:color w:val="auto"/>
              </w:rPr>
            </w:pPr>
            <w:r>
              <w:rPr>
                <w:rFonts w:ascii="Arial" w:cs="Arial" w:eastAsia="Arial" w:hAnsi="Arial"/>
                <w:sz w:val="11"/>
                <w:szCs w:val="11"/>
                <w:color w:val="auto"/>
              </w:rPr>
              <w:t>1,774</w:t>
            </w:r>
          </w:p>
        </w:tc>
        <w:tc>
          <w:tcPr>
            <w:tcW w:w="6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66"/>
              <w:spacing w:after="0" w:line="122" w:lineRule="exact"/>
              <w:rPr>
                <w:sz w:val="20"/>
                <w:szCs w:val="20"/>
                <w:color w:val="auto"/>
              </w:rPr>
            </w:pPr>
            <w:r>
              <w:rPr>
                <w:rFonts w:ascii="Arial" w:cs="Arial" w:eastAsia="Arial" w:hAnsi="Arial"/>
                <w:sz w:val="11"/>
                <w:szCs w:val="11"/>
                <w:color w:val="auto"/>
              </w:rPr>
              <w:t>4,762</w:t>
            </w:r>
          </w:p>
        </w:tc>
        <w:tc>
          <w:tcPr>
            <w:tcW w:w="5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6,536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4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c>
          <w:tcPr>
            <w:tcW w:w="14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w w:val="80"/>
              </w:rPr>
              <w:t>486,330</w:t>
            </w: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6,862</w:t>
            </w: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493,192</w:t>
            </w:r>
          </w:p>
        </w:tc>
        <w:tc>
          <w:tcPr>
            <w:tcW w:w="0" w:type="dxa"/>
            <w:vAlign w:val="bottom"/>
          </w:tcPr>
          <w:p>
            <w:pPr>
              <w:spacing w:after="0"/>
              <w:rPr>
                <w:sz w:val="1"/>
                <w:szCs w:val="1"/>
                <w:color w:val="auto"/>
              </w:rPr>
            </w:pPr>
          </w:p>
        </w:tc>
      </w:tr>
      <w:tr>
        <w:trPr>
          <w:trHeight w:val="21"/>
        </w:trPr>
        <w:tc>
          <w:tcPr>
            <w:tcW w:w="2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Amortized Intangible Assets, Net</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8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30</w:t>
            </w:r>
          </w:p>
        </w:tc>
        <w:tc>
          <w:tcPr>
            <w:tcW w:w="16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1,081</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4,115</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5,226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tcPr>
          <w:p>
            <w:pPr>
              <w:ind w:left="260"/>
              <w:spacing w:after="0" w:line="122" w:lineRule="exact"/>
              <w:rPr>
                <w:sz w:val="20"/>
                <w:szCs w:val="20"/>
                <w:color w:val="auto"/>
              </w:rPr>
            </w:pPr>
            <w:r>
              <w:rPr>
                <w:rFonts w:ascii="Arial" w:cs="Arial" w:eastAsia="Arial" w:hAnsi="Arial"/>
                <w:sz w:val="11"/>
                <w:szCs w:val="11"/>
                <w:color w:val="auto"/>
              </w:rPr>
              <w:t>Acquisitions</w:t>
            </w:r>
          </w:p>
        </w:tc>
        <w:tc>
          <w:tcPr>
            <w:tcW w:w="400" w:type="dxa"/>
            <w:vAlign w:val="bottom"/>
          </w:tcPr>
          <w:p>
            <w:pPr>
              <w:spacing w:after="0"/>
              <w:rPr>
                <w:sz w:val="10"/>
                <w:szCs w:val="10"/>
                <w:color w:val="auto"/>
              </w:rPr>
            </w:pPr>
          </w:p>
        </w:tc>
        <w:tc>
          <w:tcPr>
            <w:tcW w:w="880" w:type="dxa"/>
            <w:vAlign w:val="bottom"/>
          </w:tcPr>
          <w:p>
            <w:pPr>
              <w:jc w:val="right"/>
              <w:ind w:right="526"/>
              <w:spacing w:after="0" w:line="122" w:lineRule="exact"/>
              <w:rPr>
                <w:sz w:val="20"/>
                <w:szCs w:val="20"/>
                <w:color w:val="auto"/>
              </w:rPr>
            </w:pPr>
            <w:r>
              <w:rPr>
                <w:rFonts w:ascii="Arial" w:cs="Arial" w:eastAsia="Arial" w:hAnsi="Arial"/>
                <w:sz w:val="11"/>
                <w:szCs w:val="11"/>
                <w:color w:val="auto"/>
              </w:rPr>
              <w:t>107</w:t>
            </w:r>
          </w:p>
        </w:tc>
        <w:tc>
          <w:tcPr>
            <w:tcW w:w="16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ind w:right="526"/>
              <w:spacing w:after="0" w:line="122" w:lineRule="exact"/>
              <w:rPr>
                <w:sz w:val="20"/>
                <w:szCs w:val="20"/>
                <w:color w:val="auto"/>
              </w:rPr>
            </w:pPr>
            <w:r>
              <w:rPr>
                <w:rFonts w:ascii="Arial" w:cs="Arial" w:eastAsia="Arial" w:hAnsi="Arial"/>
                <w:sz w:val="11"/>
                <w:szCs w:val="11"/>
                <w:color w:val="auto"/>
              </w:rPr>
              <w:t>2,045</w:t>
            </w:r>
          </w:p>
        </w:tc>
        <w:tc>
          <w:tcPr>
            <w:tcW w:w="620" w:type="dxa"/>
            <w:vAlign w:val="bottom"/>
          </w:tcPr>
          <w:p>
            <w:pPr>
              <w:spacing w:after="0"/>
              <w:rPr>
                <w:sz w:val="10"/>
                <w:szCs w:val="10"/>
                <w:color w:val="auto"/>
              </w:rPr>
            </w:pPr>
          </w:p>
        </w:tc>
        <w:tc>
          <w:tcPr>
            <w:tcW w:w="86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9,845</w:t>
            </w:r>
          </w:p>
        </w:tc>
        <w:tc>
          <w:tcPr>
            <w:tcW w:w="560" w:type="dxa"/>
            <w:vAlign w:val="bottom"/>
          </w:tcPr>
          <w:p>
            <w:pPr>
              <w:spacing w:after="0"/>
              <w:rPr>
                <w:sz w:val="10"/>
                <w:szCs w:val="10"/>
                <w:color w:val="auto"/>
              </w:rPr>
            </w:pPr>
          </w:p>
        </w:tc>
        <w:tc>
          <w:tcPr>
            <w:tcW w:w="72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11,997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Foreign currency exchange rate</w:t>
            </w:r>
          </w:p>
        </w:tc>
        <w:tc>
          <w:tcPr>
            <w:tcW w:w="4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rPr>
              <w:t>(10)</w:t>
            </w:r>
          </w:p>
        </w:tc>
        <w:tc>
          <w:tcPr>
            <w:tcW w:w="56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tcPr>
          <w:p>
            <w:pPr>
              <w:ind w:left="260"/>
              <w:spacing w:after="0" w:line="122" w:lineRule="exact"/>
              <w:rPr>
                <w:sz w:val="20"/>
                <w:szCs w:val="20"/>
                <w:color w:val="auto"/>
              </w:rPr>
            </w:pPr>
            <w:r>
              <w:rPr>
                <w:rFonts w:ascii="Arial" w:cs="Arial" w:eastAsia="Arial" w:hAnsi="Arial"/>
                <w:sz w:val="11"/>
                <w:szCs w:val="11"/>
                <w:color w:val="auto"/>
              </w:rPr>
              <w:t>Amortization</w:t>
            </w: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06"/>
              <w:spacing w:after="0" w:line="122" w:lineRule="exact"/>
              <w:rPr>
                <w:sz w:val="20"/>
                <w:szCs w:val="20"/>
                <w:color w:val="auto"/>
              </w:rPr>
            </w:pPr>
            <w:r>
              <w:rPr>
                <w:rFonts w:ascii="Arial" w:cs="Arial" w:eastAsia="Arial" w:hAnsi="Arial"/>
                <w:sz w:val="11"/>
                <w:szCs w:val="11"/>
                <w:color w:val="auto"/>
              </w:rPr>
              <w:t>(19)</w:t>
            </w:r>
          </w:p>
        </w:tc>
        <w:tc>
          <w:tcPr>
            <w:tcW w:w="16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86"/>
              <w:spacing w:after="0" w:line="122" w:lineRule="exact"/>
              <w:rPr>
                <w:sz w:val="20"/>
                <w:szCs w:val="20"/>
                <w:color w:val="auto"/>
              </w:rPr>
            </w:pPr>
            <w:r>
              <w:rPr>
                <w:rFonts w:ascii="Arial" w:cs="Arial" w:eastAsia="Arial" w:hAnsi="Arial"/>
                <w:sz w:val="11"/>
                <w:szCs w:val="11"/>
                <w:color w:val="auto"/>
              </w:rPr>
              <w:t>(652)</w:t>
            </w:r>
          </w:p>
        </w:tc>
        <w:tc>
          <w:tcPr>
            <w:tcW w:w="6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6"/>
              <w:spacing w:after="0" w:line="122" w:lineRule="exact"/>
              <w:rPr>
                <w:sz w:val="20"/>
                <w:szCs w:val="20"/>
                <w:color w:val="auto"/>
              </w:rPr>
            </w:pPr>
            <w:r>
              <w:rPr>
                <w:rFonts w:ascii="Arial" w:cs="Arial" w:eastAsia="Arial" w:hAnsi="Arial"/>
                <w:sz w:val="11"/>
                <w:szCs w:val="11"/>
                <w:color w:val="auto"/>
              </w:rPr>
              <w:t>(8,663)</w:t>
            </w:r>
          </w:p>
        </w:tc>
        <w:tc>
          <w:tcPr>
            <w:tcW w:w="5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06"/>
              <w:spacing w:after="0" w:line="122" w:lineRule="exact"/>
              <w:rPr>
                <w:sz w:val="20"/>
                <w:szCs w:val="20"/>
                <w:color w:val="auto"/>
              </w:rPr>
            </w:pPr>
            <w:r>
              <w:rPr>
                <w:rFonts w:ascii="Arial" w:cs="Arial" w:eastAsia="Arial" w:hAnsi="Arial"/>
                <w:sz w:val="11"/>
                <w:szCs w:val="11"/>
                <w:color w:val="auto"/>
              </w:rPr>
              <w:t>(9,334)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4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118</w:t>
            </w:r>
          </w:p>
        </w:tc>
        <w:tc>
          <w:tcPr>
            <w:tcW w:w="1600" w:type="dxa"/>
            <w:vAlign w:val="bottom"/>
            <w:tcBorders>
              <w:bottom w:val="single" w:sz="8" w:color="auto"/>
            </w:tcBorders>
            <w:shd w:val="clear" w:color="auto" w:fill="CCEEFF"/>
          </w:tcPr>
          <w:p>
            <w:pPr>
              <w:spacing w:after="0"/>
              <w:rPr>
                <w:sz w:val="10"/>
                <w:szCs w:val="10"/>
                <w:color w:val="auto"/>
              </w:rPr>
            </w:pPr>
          </w:p>
        </w:tc>
        <w:tc>
          <w:tcPr>
            <w:tcW w:w="14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2,474</w:t>
            </w: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5,287</w:t>
            </w: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7,879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intangible assets during 2003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00" w:type="dxa"/>
            <w:vAlign w:val="bottom"/>
            <w:gridSpan w:val="2"/>
          </w:tcPr>
          <w:p>
            <w:pPr>
              <w:jc w:val="right"/>
              <w:ind w:right="446"/>
              <w:spacing w:after="0"/>
              <w:rPr>
                <w:sz w:val="20"/>
                <w:szCs w:val="20"/>
                <w:color w:val="auto"/>
              </w:rPr>
            </w:pPr>
            <w:r>
              <w:rPr>
                <w:rFonts w:ascii="Arial" w:cs="Arial" w:eastAsia="Arial" w:hAnsi="Arial"/>
                <w:sz w:val="11"/>
                <w:szCs w:val="11"/>
                <w:color w:val="auto"/>
              </w:rPr>
              <w:t>Newspaper</w:t>
            </w:r>
          </w:p>
        </w:tc>
        <w:tc>
          <w:tcPr>
            <w:tcW w:w="1600" w:type="dxa"/>
            <w:vAlign w:val="bottom"/>
          </w:tcPr>
          <w:p>
            <w:pPr>
              <w:ind w:left="560"/>
              <w:spacing w:after="0"/>
              <w:rPr>
                <w:sz w:val="20"/>
                <w:szCs w:val="20"/>
                <w:color w:val="auto"/>
              </w:rPr>
            </w:pPr>
            <w:r>
              <w:rPr>
                <w:rFonts w:ascii="Arial" w:cs="Arial" w:eastAsia="Arial" w:hAnsi="Arial"/>
                <w:sz w:val="11"/>
                <w:szCs w:val="11"/>
                <w:color w:val="auto"/>
              </w:rPr>
              <w:t>Television</w:t>
            </w:r>
          </w:p>
        </w:tc>
        <w:tc>
          <w:tcPr>
            <w:tcW w:w="1500" w:type="dxa"/>
            <w:vAlign w:val="bottom"/>
          </w:tcPr>
          <w:p>
            <w:pPr>
              <w:ind w:left="540"/>
              <w:spacing w:after="0"/>
              <w:rPr>
                <w:sz w:val="20"/>
                <w:szCs w:val="20"/>
                <w:color w:val="auto"/>
              </w:rPr>
            </w:pPr>
            <w:r>
              <w:rPr>
                <w:rFonts w:ascii="Arial" w:cs="Arial" w:eastAsia="Arial" w:hAnsi="Arial"/>
                <w:sz w:val="11"/>
                <w:szCs w:val="11"/>
                <w:color w:val="auto"/>
              </w:rPr>
              <w:t>Magazine</w:t>
            </w:r>
          </w:p>
        </w:tc>
        <w:tc>
          <w:tcPr>
            <w:tcW w:w="540" w:type="dxa"/>
            <w:vAlign w:val="bottom"/>
          </w:tcPr>
          <w:p>
            <w:pPr>
              <w:spacing w:after="0"/>
              <w:rPr>
                <w:sz w:val="10"/>
                <w:szCs w:val="10"/>
                <w:color w:val="auto"/>
              </w:rPr>
            </w:pPr>
          </w:p>
        </w:tc>
        <w:tc>
          <w:tcPr>
            <w:tcW w:w="940" w:type="dxa"/>
            <w:vAlign w:val="bottom"/>
          </w:tcPr>
          <w:p>
            <w:pPr>
              <w:jc w:val="right"/>
              <w:ind w:right="586"/>
              <w:spacing w:after="0"/>
              <w:rPr>
                <w:sz w:val="20"/>
                <w:szCs w:val="20"/>
                <w:color w:val="auto"/>
              </w:rPr>
            </w:pPr>
            <w:r>
              <w:rPr>
                <w:rFonts w:ascii="Arial" w:cs="Arial" w:eastAsia="Arial" w:hAnsi="Arial"/>
                <w:sz w:val="11"/>
                <w:szCs w:val="11"/>
                <w:color w:val="auto"/>
                <w:w w:val="97"/>
              </w:rPr>
              <w:t>Cable</w:t>
            </w: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1"/>
                <w:szCs w:val="11"/>
                <w:b w:val="1"/>
                <w:bCs w:val="1"/>
                <w:color w:val="auto"/>
              </w:rPr>
              <w:t>Publishing</w:t>
            </w:r>
          </w:p>
        </w:tc>
        <w:tc>
          <w:tcPr>
            <w:tcW w:w="160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Broadcasting</w:t>
            </w:r>
          </w:p>
        </w:tc>
        <w:tc>
          <w:tcPr>
            <w:tcW w:w="150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Publishing</w:t>
            </w:r>
          </w:p>
        </w:tc>
        <w:tc>
          <w:tcPr>
            <w:tcW w:w="1480" w:type="dxa"/>
            <w:vAlign w:val="bottom"/>
            <w:tcBorders>
              <w:bottom w:val="single" w:sz="8" w:color="auto"/>
            </w:tcBorders>
            <w:gridSpan w:val="2"/>
          </w:tcPr>
          <w:p>
            <w:pPr>
              <w:ind w:left="480"/>
              <w:spacing w:after="0"/>
              <w:rPr>
                <w:sz w:val="20"/>
                <w:szCs w:val="20"/>
                <w:color w:val="auto"/>
              </w:rPr>
            </w:pPr>
            <w:r>
              <w:rPr>
                <w:rFonts w:ascii="Arial" w:cs="Arial" w:eastAsia="Arial" w:hAnsi="Arial"/>
                <w:sz w:val="11"/>
                <w:szCs w:val="11"/>
                <w:b w:val="1"/>
                <w:bCs w:val="1"/>
                <w:color w:val="auto"/>
              </w:rPr>
              <w:t>Television</w:t>
            </w:r>
          </w:p>
        </w:tc>
        <w:tc>
          <w:tcPr>
            <w:tcW w:w="146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1"/>
                <w:szCs w:val="11"/>
                <w:color w:val="auto"/>
              </w:rPr>
              <w:t>Education</w:t>
            </w:r>
          </w:p>
        </w:tc>
        <w:tc>
          <w:tcPr>
            <w:tcW w:w="5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w w:val="89"/>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Goodwill, Net</w:t>
            </w:r>
          </w:p>
        </w:tc>
        <w:tc>
          <w:tcPr>
            <w:tcW w:w="4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546"/>
              <w:spacing w:after="0" w:line="122" w:lineRule="exact"/>
              <w:rPr>
                <w:sz w:val="20"/>
                <w:szCs w:val="20"/>
                <w:color w:val="auto"/>
              </w:rPr>
            </w:pPr>
            <w:r>
              <w:rPr>
                <w:rFonts w:ascii="Arial" w:cs="Arial" w:eastAsia="Arial" w:hAnsi="Arial"/>
                <w:sz w:val="11"/>
                <w:szCs w:val="11"/>
                <w:color w:val="auto"/>
                <w:w w:val="83"/>
              </w:rPr>
              <w:t>72,738</w:t>
            </w:r>
          </w:p>
        </w:tc>
        <w:tc>
          <w:tcPr>
            <w:tcW w:w="1600" w:type="dxa"/>
            <w:vAlign w:val="bottom"/>
          </w:tcPr>
          <w:p>
            <w:pPr>
              <w:ind w:left="560"/>
              <w:spacing w:after="0" w:line="122" w:lineRule="exact"/>
              <w:rPr>
                <w:sz w:val="20"/>
                <w:szCs w:val="20"/>
                <w:color w:val="auto"/>
              </w:rPr>
            </w:pPr>
            <w:r>
              <w:rPr>
                <w:rFonts w:ascii="Arial" w:cs="Arial" w:eastAsia="Arial" w:hAnsi="Arial"/>
                <w:sz w:val="11"/>
                <w:szCs w:val="11"/>
                <w:color w:val="auto"/>
              </w:rPr>
              <w:t>$203,165</w:t>
            </w:r>
          </w:p>
        </w:tc>
        <w:tc>
          <w:tcPr>
            <w:tcW w:w="1500" w:type="dxa"/>
            <w:vAlign w:val="bottom"/>
          </w:tcPr>
          <w:p>
            <w:pPr>
              <w:ind w:left="560"/>
              <w:spacing w:after="0" w:line="122" w:lineRule="exact"/>
              <w:rPr>
                <w:sz w:val="20"/>
                <w:szCs w:val="20"/>
                <w:color w:val="auto"/>
              </w:rPr>
            </w:pPr>
            <w:r>
              <w:rPr>
                <w:rFonts w:ascii="Arial" w:cs="Arial" w:eastAsia="Arial" w:hAnsi="Arial"/>
                <w:sz w:val="11"/>
                <w:szCs w:val="11"/>
                <w:color w:val="auto"/>
              </w:rPr>
              <w:t>$69,556</w:t>
            </w:r>
          </w:p>
        </w:tc>
        <w:tc>
          <w:tcPr>
            <w:tcW w:w="540" w:type="dxa"/>
            <w:vAlign w:val="bottom"/>
          </w:tcPr>
          <w:p>
            <w:pPr>
              <w:ind w:left="48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526"/>
              <w:spacing w:after="0" w:line="122" w:lineRule="exact"/>
              <w:rPr>
                <w:sz w:val="20"/>
                <w:szCs w:val="20"/>
                <w:color w:val="auto"/>
              </w:rPr>
            </w:pPr>
            <w:r>
              <w:rPr>
                <w:rFonts w:ascii="Arial" w:cs="Arial" w:eastAsia="Arial" w:hAnsi="Arial"/>
                <w:sz w:val="11"/>
                <w:szCs w:val="11"/>
                <w:color w:val="auto"/>
              </w:rPr>
              <w:t>85,666</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426"/>
              <w:spacing w:after="0" w:line="122" w:lineRule="exact"/>
              <w:rPr>
                <w:sz w:val="20"/>
                <w:szCs w:val="20"/>
                <w:color w:val="auto"/>
              </w:rPr>
            </w:pPr>
            <w:r>
              <w:rPr>
                <w:rFonts w:ascii="Arial" w:cs="Arial" w:eastAsia="Arial" w:hAnsi="Arial"/>
                <w:sz w:val="11"/>
                <w:szCs w:val="11"/>
                <w:color w:val="auto"/>
                <w:w w:val="85"/>
              </w:rPr>
              <w:t>339,736</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color w:val="auto"/>
                <w:w w:val="85"/>
              </w:rPr>
              <w:t>770,861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Acquisitions</w:t>
            </w:r>
          </w:p>
        </w:tc>
        <w:tc>
          <w:tcPr>
            <w:tcW w:w="4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w w:val="85"/>
              </w:rPr>
              <w:t>184,075</w:t>
            </w:r>
          </w:p>
        </w:tc>
        <w:tc>
          <w:tcPr>
            <w:tcW w:w="5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w w:val="85"/>
              </w:rPr>
              <w:t>184,075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Pr>
          <w:p>
            <w:pPr>
              <w:ind w:left="260"/>
              <w:spacing w:after="0" w:line="122" w:lineRule="exact"/>
              <w:rPr>
                <w:sz w:val="20"/>
                <w:szCs w:val="20"/>
                <w:color w:val="auto"/>
              </w:rPr>
            </w:pPr>
            <w:r>
              <w:rPr>
                <w:rFonts w:ascii="Arial" w:cs="Arial" w:eastAsia="Arial" w:hAnsi="Arial"/>
                <w:sz w:val="11"/>
                <w:szCs w:val="11"/>
                <w:color w:val="auto"/>
              </w:rPr>
              <w:t>Disposition</w:t>
            </w:r>
          </w:p>
        </w:tc>
        <w:tc>
          <w:tcPr>
            <w:tcW w:w="400" w:type="dxa"/>
            <w:vAlign w:val="bottom"/>
          </w:tcPr>
          <w:p>
            <w:pPr>
              <w:spacing w:after="0"/>
              <w:rPr>
                <w:sz w:val="10"/>
                <w:szCs w:val="10"/>
                <w:color w:val="auto"/>
              </w:rPr>
            </w:pPr>
          </w:p>
        </w:tc>
        <w:tc>
          <w:tcPr>
            <w:tcW w:w="900" w:type="dxa"/>
            <w:vAlign w:val="bottom"/>
          </w:tcPr>
          <w:p>
            <w:pPr>
              <w:jc w:val="right"/>
              <w:ind w:right="506"/>
              <w:spacing w:after="0" w:line="122" w:lineRule="exact"/>
              <w:rPr>
                <w:sz w:val="20"/>
                <w:szCs w:val="20"/>
                <w:color w:val="auto"/>
              </w:rPr>
            </w:pPr>
            <w:r>
              <w:rPr>
                <w:rFonts w:ascii="Arial" w:cs="Arial" w:eastAsia="Arial" w:hAnsi="Arial"/>
                <w:sz w:val="11"/>
                <w:szCs w:val="11"/>
                <w:color w:val="auto"/>
                <w:w w:val="91"/>
              </w:rPr>
              <w:t>(1,461)</w:t>
            </w:r>
          </w:p>
        </w:tc>
        <w:tc>
          <w:tcPr>
            <w:tcW w:w="16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(1,461)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Foreign currency exchange rate</w:t>
            </w:r>
          </w:p>
        </w:tc>
        <w:tc>
          <w:tcPr>
            <w:tcW w:w="4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rPr>
              <w:t>12,219</w:t>
            </w:r>
          </w:p>
        </w:tc>
        <w:tc>
          <w:tcPr>
            <w:tcW w:w="5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12,219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4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w w:val="83"/>
              </w:rPr>
              <w:t>71,277</w:t>
            </w:r>
          </w:p>
        </w:tc>
        <w:tc>
          <w:tcPr>
            <w:tcW w:w="1600" w:type="dxa"/>
            <w:vAlign w:val="bottom"/>
            <w:tcBorders>
              <w:bottom w:val="single" w:sz="8" w:color="auto"/>
            </w:tcBorders>
            <w:shd w:val="clear" w:color="auto" w:fill="CCEEFF"/>
          </w:tcPr>
          <w:p>
            <w:pPr>
              <w:ind w:left="560"/>
              <w:spacing w:after="0" w:line="122" w:lineRule="exact"/>
              <w:rPr>
                <w:sz w:val="20"/>
                <w:szCs w:val="20"/>
                <w:color w:val="auto"/>
              </w:rPr>
            </w:pPr>
            <w:r>
              <w:rPr>
                <w:rFonts w:ascii="Arial" w:cs="Arial" w:eastAsia="Arial" w:hAnsi="Arial"/>
                <w:sz w:val="11"/>
                <w:szCs w:val="11"/>
                <w:color w:val="auto"/>
              </w:rPr>
              <w:t>$203,165</w:t>
            </w:r>
          </w:p>
        </w:tc>
        <w:tc>
          <w:tcPr>
            <w:tcW w:w="1500" w:type="dxa"/>
            <w:vAlign w:val="bottom"/>
            <w:tcBorders>
              <w:bottom w:val="single" w:sz="8" w:color="auto"/>
            </w:tcBorders>
            <w:shd w:val="clear" w:color="auto" w:fill="CCEEFF"/>
          </w:tcPr>
          <w:p>
            <w:pPr>
              <w:ind w:left="560"/>
              <w:spacing w:after="0" w:line="122" w:lineRule="exact"/>
              <w:rPr>
                <w:sz w:val="20"/>
                <w:szCs w:val="20"/>
                <w:color w:val="auto"/>
              </w:rPr>
            </w:pPr>
            <w:r>
              <w:rPr>
                <w:rFonts w:ascii="Arial" w:cs="Arial" w:eastAsia="Arial" w:hAnsi="Arial"/>
                <w:sz w:val="11"/>
                <w:szCs w:val="11"/>
                <w:color w:val="auto"/>
              </w:rPr>
              <w:t>$69,556</w:t>
            </w:r>
          </w:p>
        </w:tc>
        <w:tc>
          <w:tcPr>
            <w:tcW w:w="5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85,666</w:t>
            </w: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w w:val="85"/>
              </w:rPr>
              <w:t>536,030</w:t>
            </w:r>
          </w:p>
        </w:tc>
        <w:tc>
          <w:tcPr>
            <w:tcW w:w="5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w w:val="85"/>
              </w:rPr>
              <w:t>965,694</w:t>
            </w:r>
          </w:p>
        </w:tc>
        <w:tc>
          <w:tcPr>
            <w:tcW w:w="0" w:type="dxa"/>
            <w:vAlign w:val="bottom"/>
          </w:tcPr>
          <w:p>
            <w:pPr>
              <w:spacing w:after="0"/>
              <w:rPr>
                <w:sz w:val="1"/>
                <w:szCs w:val="1"/>
                <w:color w:val="auto"/>
              </w:rPr>
            </w:pPr>
          </w:p>
        </w:tc>
      </w:tr>
      <w:tr>
        <w:trPr>
          <w:trHeight w:val="21"/>
        </w:trPr>
        <w:tc>
          <w:tcPr>
            <w:tcW w:w="30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Indefinite-Lived Intangible Assets, Net</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02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4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w w:val="85"/>
              </w:rPr>
              <w:t>482,419</w:t>
            </w:r>
          </w:p>
        </w:tc>
        <w:tc>
          <w:tcPr>
            <w:tcW w:w="6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w w:val="85"/>
              </w:rPr>
              <w:t>482,419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Pr>
          <w:p>
            <w:pPr>
              <w:ind w:left="260"/>
              <w:spacing w:after="0" w:line="122" w:lineRule="exact"/>
              <w:rPr>
                <w:sz w:val="20"/>
                <w:szCs w:val="20"/>
                <w:color w:val="auto"/>
              </w:rPr>
            </w:pPr>
            <w:r>
              <w:rPr>
                <w:rFonts w:ascii="Arial" w:cs="Arial" w:eastAsia="Arial" w:hAnsi="Arial"/>
                <w:sz w:val="11"/>
                <w:szCs w:val="11"/>
                <w:color w:val="auto"/>
              </w:rPr>
              <w:t>Acquisitions</w:t>
            </w:r>
          </w:p>
        </w:tc>
        <w:tc>
          <w:tcPr>
            <w:tcW w:w="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26"/>
              <w:spacing w:after="0" w:line="122" w:lineRule="exact"/>
              <w:rPr>
                <w:sz w:val="20"/>
                <w:szCs w:val="20"/>
                <w:color w:val="auto"/>
              </w:rPr>
            </w:pPr>
            <w:r>
              <w:rPr>
                <w:rFonts w:ascii="Arial" w:cs="Arial" w:eastAsia="Arial" w:hAnsi="Arial"/>
                <w:sz w:val="11"/>
                <w:szCs w:val="11"/>
                <w:color w:val="auto"/>
              </w:rPr>
              <w:t>2,137</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426"/>
              <w:spacing w:after="0" w:line="122" w:lineRule="exact"/>
              <w:rPr>
                <w:sz w:val="20"/>
                <w:szCs w:val="20"/>
                <w:color w:val="auto"/>
              </w:rPr>
            </w:pPr>
            <w:r>
              <w:rPr>
                <w:rFonts w:ascii="Arial" w:cs="Arial" w:eastAsia="Arial" w:hAnsi="Arial"/>
                <w:sz w:val="11"/>
                <w:szCs w:val="11"/>
                <w:color w:val="auto"/>
              </w:rPr>
              <w:t>2,100</w:t>
            </w:r>
          </w:p>
        </w:tc>
        <w:tc>
          <w:tcPr>
            <w:tcW w:w="5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6"/>
              <w:spacing w:after="0" w:line="122" w:lineRule="exact"/>
              <w:rPr>
                <w:sz w:val="20"/>
                <w:szCs w:val="20"/>
                <w:color w:val="auto"/>
              </w:rPr>
            </w:pPr>
            <w:r>
              <w:rPr>
                <w:rFonts w:ascii="Arial" w:cs="Arial" w:eastAsia="Arial" w:hAnsi="Arial"/>
                <w:sz w:val="11"/>
                <w:szCs w:val="11"/>
                <w:color w:val="auto"/>
              </w:rPr>
              <w:t>4,237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4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w w:val="85"/>
              </w:rPr>
              <w:t>484,556</w:t>
            </w: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rPr>
              <w:t>2,100</w:t>
            </w:r>
          </w:p>
        </w:tc>
        <w:tc>
          <w:tcPr>
            <w:tcW w:w="5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w w:val="85"/>
              </w:rPr>
              <w:t>486,656</w:t>
            </w:r>
          </w:p>
        </w:tc>
        <w:tc>
          <w:tcPr>
            <w:tcW w:w="0" w:type="dxa"/>
            <w:vAlign w:val="bottom"/>
          </w:tcPr>
          <w:p>
            <w:pPr>
              <w:spacing w:after="0"/>
              <w:rPr>
                <w:sz w:val="1"/>
                <w:szCs w:val="1"/>
                <w:color w:val="auto"/>
              </w:rPr>
            </w:pPr>
          </w:p>
        </w:tc>
      </w:tr>
      <w:tr>
        <w:trPr>
          <w:trHeight w:val="21"/>
        </w:trPr>
        <w:tc>
          <w:tcPr>
            <w:tcW w:w="30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Amortized Intangible Assets, Net</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02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45</w:t>
            </w:r>
          </w:p>
        </w:tc>
        <w:tc>
          <w:tcPr>
            <w:tcW w:w="16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1,232</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rPr>
              <w:t>876</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2,153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Pr>
          <w:p>
            <w:pPr>
              <w:ind w:left="260"/>
              <w:spacing w:after="0" w:line="122" w:lineRule="exact"/>
              <w:rPr>
                <w:sz w:val="20"/>
                <w:szCs w:val="20"/>
                <w:color w:val="auto"/>
              </w:rPr>
            </w:pPr>
            <w:r>
              <w:rPr>
                <w:rFonts w:ascii="Arial" w:cs="Arial" w:eastAsia="Arial" w:hAnsi="Arial"/>
                <w:sz w:val="11"/>
                <w:szCs w:val="11"/>
                <w:color w:val="auto"/>
              </w:rPr>
              <w:t>Acquisitions</w:t>
            </w: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jc w:val="right"/>
              <w:ind w:right="426"/>
              <w:spacing w:after="0" w:line="122" w:lineRule="exact"/>
              <w:rPr>
                <w:sz w:val="20"/>
                <w:szCs w:val="20"/>
                <w:color w:val="auto"/>
              </w:rPr>
            </w:pPr>
            <w:r>
              <w:rPr>
                <w:rFonts w:ascii="Arial" w:cs="Arial" w:eastAsia="Arial" w:hAnsi="Arial"/>
                <w:sz w:val="11"/>
                <w:szCs w:val="11"/>
                <w:color w:val="auto"/>
              </w:rPr>
              <w:t>4,463</w:t>
            </w:r>
          </w:p>
        </w:tc>
        <w:tc>
          <w:tcPr>
            <w:tcW w:w="50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4,463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Amortization</w:t>
            </w:r>
          </w:p>
        </w:tc>
        <w:tc>
          <w:tcPr>
            <w:tcW w:w="40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506"/>
              <w:spacing w:after="0" w:line="122" w:lineRule="exact"/>
              <w:rPr>
                <w:sz w:val="20"/>
                <w:szCs w:val="20"/>
                <w:color w:val="auto"/>
              </w:rPr>
            </w:pPr>
            <w:r>
              <w:rPr>
                <w:rFonts w:ascii="Arial" w:cs="Arial" w:eastAsia="Arial" w:hAnsi="Arial"/>
                <w:sz w:val="11"/>
                <w:szCs w:val="11"/>
                <w:color w:val="auto"/>
              </w:rPr>
              <w:t>(15)</w:t>
            </w:r>
          </w:p>
        </w:tc>
        <w:tc>
          <w:tcPr>
            <w:tcW w:w="16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506"/>
              <w:spacing w:after="0" w:line="122" w:lineRule="exact"/>
              <w:rPr>
                <w:sz w:val="20"/>
                <w:szCs w:val="20"/>
                <w:color w:val="auto"/>
              </w:rPr>
            </w:pPr>
            <w:r>
              <w:rPr>
                <w:rFonts w:ascii="Arial" w:cs="Arial" w:eastAsia="Arial" w:hAnsi="Arial"/>
                <w:sz w:val="11"/>
                <w:szCs w:val="11"/>
                <w:color w:val="auto"/>
              </w:rPr>
              <w:t>(151)</w:t>
            </w:r>
          </w:p>
        </w:tc>
        <w:tc>
          <w:tcPr>
            <w:tcW w:w="6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rPr>
              <w:t>(1,270)</w:t>
            </w:r>
          </w:p>
        </w:tc>
        <w:tc>
          <w:tcPr>
            <w:tcW w:w="5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(1,436)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Pr>
          <w:p>
            <w:pPr>
              <w:ind w:left="260"/>
              <w:spacing w:after="0" w:line="122" w:lineRule="exact"/>
              <w:rPr>
                <w:sz w:val="20"/>
                <w:szCs w:val="20"/>
                <w:color w:val="auto"/>
              </w:rPr>
            </w:pPr>
            <w:r>
              <w:rPr>
                <w:rFonts w:ascii="Arial" w:cs="Arial" w:eastAsia="Arial" w:hAnsi="Arial"/>
                <w:sz w:val="11"/>
                <w:szCs w:val="11"/>
                <w:color w:val="auto"/>
              </w:rPr>
              <w:t>Foreign currency exchange rate</w:t>
            </w:r>
          </w:p>
        </w:tc>
        <w:tc>
          <w:tcPr>
            <w:tcW w:w="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26"/>
              <w:spacing w:after="0" w:line="122" w:lineRule="exact"/>
              <w:rPr>
                <w:sz w:val="20"/>
                <w:szCs w:val="20"/>
                <w:color w:val="auto"/>
              </w:rPr>
            </w:pPr>
            <w:r>
              <w:rPr>
                <w:rFonts w:ascii="Arial" w:cs="Arial" w:eastAsia="Arial" w:hAnsi="Arial"/>
                <w:sz w:val="11"/>
                <w:szCs w:val="11"/>
                <w:color w:val="auto"/>
              </w:rPr>
              <w:t>46</w:t>
            </w:r>
          </w:p>
        </w:tc>
        <w:tc>
          <w:tcPr>
            <w:tcW w:w="5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6"/>
              <w:spacing w:after="0" w:line="122" w:lineRule="exact"/>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4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30</w:t>
            </w:r>
          </w:p>
        </w:tc>
        <w:tc>
          <w:tcPr>
            <w:tcW w:w="160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1,081</w:t>
            </w: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ind w:right="426"/>
              <w:spacing w:after="0" w:line="122" w:lineRule="exact"/>
              <w:rPr>
                <w:sz w:val="20"/>
                <w:szCs w:val="20"/>
                <w:color w:val="auto"/>
              </w:rPr>
            </w:pPr>
            <w:r>
              <w:rPr>
                <w:rFonts w:ascii="Arial" w:cs="Arial" w:eastAsia="Arial" w:hAnsi="Arial"/>
                <w:sz w:val="11"/>
                <w:szCs w:val="11"/>
                <w:color w:val="auto"/>
              </w:rPr>
              <w:t>4,115</w:t>
            </w:r>
          </w:p>
        </w:tc>
        <w:tc>
          <w:tcPr>
            <w:tcW w:w="5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5,226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0" w:right="239" w:bottom="316"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color w:val="auto"/>
        </w:rPr>
        <w:t>L. OTHER NON-OPERATING INCOME (EXPENSE)</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recorded other non-operating income, net, of $8.1 million in 2004, $55.4 million in 2003 and $28.9 million in 2002. The 2003 non-operating income, net, mostly comprises a $49.8 million pre-tax gain from the sale of the Company’s 50 percent interest in the International Herald Tribune. The 2002 non-operating income, net, includes a pre-tax gain of $27.8 million on the exchange of certain cable systems in the fourth quarter of 2002 and a gain on the sale of marketable securities, offset by write-downs recorded on certain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years ended January 2, 2005, December 28, 2003, and December 29, 2002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2004</w:t>
            </w:r>
          </w:p>
        </w:tc>
        <w:tc>
          <w:tcPr>
            <w:tcW w:w="1400" w:type="dxa"/>
            <w:vAlign w:val="bottom"/>
            <w:tcBorders>
              <w:bottom w:val="single" w:sz="8" w:color="auto"/>
            </w:tcBorders>
            <w:gridSpan w:val="2"/>
          </w:tcPr>
          <w:p>
            <w:pPr>
              <w:jc w:val="right"/>
              <w:ind w:right="546"/>
              <w:spacing w:after="0"/>
              <w:rPr>
                <w:sz w:val="20"/>
                <w:szCs w:val="20"/>
                <w:color w:val="auto"/>
              </w:rPr>
            </w:pPr>
            <w:r>
              <w:rPr>
                <w:rFonts w:ascii="Arial" w:cs="Arial" w:eastAsia="Arial" w:hAnsi="Arial"/>
                <w:sz w:val="11"/>
                <w:szCs w:val="11"/>
                <w:color w:val="auto"/>
              </w:rPr>
              <w:t>2003</w:t>
            </w:r>
          </w:p>
        </w:tc>
        <w:tc>
          <w:tcPr>
            <w:tcW w:w="6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81"/>
              </w:rPr>
              <w:t>2002</w:t>
            </w:r>
          </w:p>
        </w:tc>
      </w:tr>
      <w:tr>
        <w:trPr>
          <w:trHeight w:val="122"/>
        </w:trPr>
        <w:tc>
          <w:tcPr>
            <w:tcW w:w="20" w:type="dxa"/>
            <w:vAlign w:val="bottom"/>
          </w:tcPr>
          <w:p>
            <w:pPr>
              <w:spacing w:after="0"/>
              <w:rPr>
                <w:sz w:val="10"/>
                <w:szCs w:val="10"/>
                <w:color w:val="auto"/>
              </w:rPr>
            </w:pPr>
          </w:p>
        </w:tc>
        <w:tc>
          <w:tcPr>
            <w:tcW w:w="74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gains, net</w:t>
            </w:r>
          </w:p>
        </w:tc>
        <w:tc>
          <w:tcPr>
            <w:tcW w:w="1360" w:type="dxa"/>
            <w:vAlign w:val="bottom"/>
            <w:shd w:val="clear" w:color="auto" w:fill="CCEEFF"/>
          </w:tcPr>
          <w:p>
            <w:pPr>
              <w:jc w:val="right"/>
              <w:ind w:right="566"/>
              <w:spacing w:after="0" w:line="122" w:lineRule="exact"/>
              <w:rPr>
                <w:sz w:val="20"/>
                <w:szCs w:val="20"/>
                <w:color w:val="auto"/>
              </w:rPr>
            </w:pPr>
            <w:r>
              <w:rPr>
                <w:rFonts w:ascii="Arial" w:cs="Arial" w:eastAsia="Arial" w:hAnsi="Arial"/>
                <w:sz w:val="11"/>
                <w:szCs w:val="11"/>
                <w:color w:val="auto"/>
              </w:rPr>
              <w:t>$ 5.5</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4.2</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7440" w:type="dxa"/>
            <w:vAlign w:val="bottom"/>
          </w:tcPr>
          <w:p>
            <w:pPr>
              <w:spacing w:after="0" w:line="122" w:lineRule="exact"/>
              <w:rPr>
                <w:sz w:val="20"/>
                <w:szCs w:val="20"/>
                <w:color w:val="auto"/>
              </w:rPr>
            </w:pPr>
            <w:r>
              <w:rPr>
                <w:rFonts w:ascii="Arial" w:cs="Arial" w:eastAsia="Arial" w:hAnsi="Arial"/>
                <w:sz w:val="11"/>
                <w:szCs w:val="11"/>
                <w:color w:val="auto"/>
              </w:rPr>
              <w:t>Gain on sale of interest in IHT</w:t>
            </w:r>
          </w:p>
        </w:tc>
        <w:tc>
          <w:tcPr>
            <w:tcW w:w="1360" w:type="dxa"/>
            <w:vAlign w:val="bottom"/>
          </w:tcPr>
          <w:p>
            <w:pPr>
              <w:jc w:val="right"/>
              <w:ind w:right="56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spacing w:after="0"/>
              <w:rPr>
                <w:sz w:val="10"/>
                <w:szCs w:val="10"/>
                <w:color w:val="auto"/>
              </w:rPr>
            </w:pPr>
          </w:p>
        </w:tc>
        <w:tc>
          <w:tcPr>
            <w:tcW w:w="780" w:type="dxa"/>
            <w:vAlign w:val="bottom"/>
          </w:tcPr>
          <w:p>
            <w:pPr>
              <w:jc w:val="right"/>
              <w:ind w:right="546"/>
              <w:spacing w:after="0" w:line="122" w:lineRule="exact"/>
              <w:rPr>
                <w:sz w:val="20"/>
                <w:szCs w:val="20"/>
                <w:color w:val="auto"/>
              </w:rPr>
            </w:pPr>
            <w:r>
              <w:rPr>
                <w:rFonts w:ascii="Arial" w:cs="Arial" w:eastAsia="Arial" w:hAnsi="Arial"/>
                <w:sz w:val="11"/>
                <w:szCs w:val="11"/>
                <w:color w:val="auto"/>
                <w:w w:val="74"/>
              </w:rPr>
              <w:t>49.8</w:t>
            </w:r>
          </w:p>
        </w:tc>
        <w:tc>
          <w:tcPr>
            <w:tcW w:w="640" w:type="dxa"/>
            <w:vAlign w:val="bottom"/>
          </w:tcPr>
          <w:p>
            <w:pPr>
              <w:spacing w:after="0"/>
              <w:rPr>
                <w:sz w:val="10"/>
                <w:szCs w:val="10"/>
                <w:color w:val="auto"/>
              </w:rPr>
            </w:pPr>
          </w:p>
        </w:tc>
        <w:tc>
          <w:tcPr>
            <w:tcW w:w="56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74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Impairment write-downs on cost method and other investments</w:t>
            </w:r>
          </w:p>
        </w:tc>
        <w:tc>
          <w:tcPr>
            <w:tcW w:w="136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(0.7)</w:t>
            </w: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506"/>
              <w:spacing w:after="0" w:line="122" w:lineRule="exact"/>
              <w:rPr>
                <w:sz w:val="20"/>
                <w:szCs w:val="20"/>
                <w:color w:val="auto"/>
              </w:rPr>
            </w:pPr>
            <w:r>
              <w:rPr>
                <w:rFonts w:ascii="Arial" w:cs="Arial" w:eastAsia="Arial" w:hAnsi="Arial"/>
                <w:sz w:val="11"/>
                <w:szCs w:val="11"/>
                <w:color w:val="auto"/>
                <w:w w:val="88"/>
              </w:rPr>
              <w:t>(1.3)</w:t>
            </w: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w w:val="83"/>
              </w:rPr>
              <w:t>(21.2)</w:t>
            </w:r>
          </w:p>
        </w:tc>
      </w:tr>
      <w:tr>
        <w:trPr>
          <w:trHeight w:val="122"/>
        </w:trPr>
        <w:tc>
          <w:tcPr>
            <w:tcW w:w="20" w:type="dxa"/>
            <w:vAlign w:val="bottom"/>
          </w:tcPr>
          <w:p>
            <w:pPr>
              <w:spacing w:after="0"/>
              <w:rPr>
                <w:sz w:val="10"/>
                <w:szCs w:val="10"/>
                <w:color w:val="auto"/>
              </w:rPr>
            </w:pPr>
          </w:p>
        </w:tc>
        <w:tc>
          <w:tcPr>
            <w:tcW w:w="7440" w:type="dxa"/>
            <w:vAlign w:val="bottom"/>
          </w:tcPr>
          <w:p>
            <w:pPr>
              <w:spacing w:after="0" w:line="122" w:lineRule="exact"/>
              <w:rPr>
                <w:sz w:val="20"/>
                <w:szCs w:val="20"/>
                <w:color w:val="auto"/>
              </w:rPr>
            </w:pPr>
            <w:r>
              <w:rPr>
                <w:rFonts w:ascii="Arial" w:cs="Arial" w:eastAsia="Arial" w:hAnsi="Arial"/>
                <w:sz w:val="11"/>
                <w:szCs w:val="11"/>
                <w:color w:val="auto"/>
              </w:rPr>
              <w:t>Gain on sale or exchange of cable system businesses</w:t>
            </w:r>
          </w:p>
        </w:tc>
        <w:tc>
          <w:tcPr>
            <w:tcW w:w="1360" w:type="dxa"/>
            <w:vAlign w:val="bottom"/>
          </w:tcPr>
          <w:p>
            <w:pPr>
              <w:jc w:val="right"/>
              <w:ind w:right="566"/>
              <w:spacing w:after="0" w:line="122" w:lineRule="exact"/>
              <w:rPr>
                <w:sz w:val="20"/>
                <w:szCs w:val="20"/>
                <w:color w:val="auto"/>
              </w:rPr>
            </w:pPr>
            <w:r>
              <w:rPr>
                <w:rFonts w:ascii="Arial" w:cs="Arial" w:eastAsia="Arial" w:hAnsi="Arial"/>
                <w:sz w:val="11"/>
                <w:szCs w:val="11"/>
                <w:color w:val="auto"/>
              </w:rPr>
              <w:t>0.5</w:t>
            </w:r>
          </w:p>
        </w:tc>
        <w:tc>
          <w:tcPr>
            <w:tcW w:w="620" w:type="dxa"/>
            <w:vAlign w:val="bottom"/>
          </w:tcPr>
          <w:p>
            <w:pPr>
              <w:spacing w:after="0"/>
              <w:rPr>
                <w:sz w:val="10"/>
                <w:szCs w:val="10"/>
                <w:color w:val="auto"/>
              </w:rPr>
            </w:pPr>
          </w:p>
        </w:tc>
        <w:tc>
          <w:tcPr>
            <w:tcW w:w="78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spacing w:after="0"/>
              <w:rPr>
                <w:sz w:val="10"/>
                <w:szCs w:val="10"/>
                <w:color w:val="auto"/>
              </w:rPr>
            </w:pPr>
          </w:p>
        </w:tc>
        <w:tc>
          <w:tcPr>
            <w:tcW w:w="560" w:type="dxa"/>
            <w:vAlign w:val="bottom"/>
          </w:tcPr>
          <w:p>
            <w:pPr>
              <w:jc w:val="right"/>
              <w:ind w:right="286"/>
              <w:spacing w:after="0" w:line="122" w:lineRule="exact"/>
              <w:rPr>
                <w:sz w:val="20"/>
                <w:szCs w:val="20"/>
                <w:color w:val="auto"/>
              </w:rPr>
            </w:pPr>
            <w:r>
              <w:rPr>
                <w:rFonts w:ascii="Arial" w:cs="Arial" w:eastAsia="Arial" w:hAnsi="Arial"/>
                <w:sz w:val="11"/>
                <w:szCs w:val="11"/>
                <w:color w:val="auto"/>
                <w:w w:val="93"/>
              </w:rPr>
              <w:t>27.8</w:t>
            </w:r>
          </w:p>
        </w:tc>
      </w:tr>
      <w:tr>
        <w:trPr>
          <w:trHeight w:val="122"/>
        </w:trPr>
        <w:tc>
          <w:tcPr>
            <w:tcW w:w="20" w:type="dxa"/>
            <w:vAlign w:val="bottom"/>
          </w:tcPr>
          <w:p>
            <w:pPr>
              <w:spacing w:after="0"/>
              <w:rPr>
                <w:sz w:val="10"/>
                <w:szCs w:val="10"/>
                <w:color w:val="auto"/>
              </w:rPr>
            </w:pPr>
          </w:p>
        </w:tc>
        <w:tc>
          <w:tcPr>
            <w:tcW w:w="74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Gain on sales of marketable securities</w:t>
            </w:r>
          </w:p>
        </w:tc>
        <w:tc>
          <w:tcPr>
            <w:tcW w:w="1360" w:type="dxa"/>
            <w:vAlign w:val="bottom"/>
            <w:shd w:val="clear" w:color="auto" w:fill="CCEEFF"/>
          </w:tcPr>
          <w:p>
            <w:pPr>
              <w:jc w:val="right"/>
              <w:ind w:right="566"/>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w w:val="93"/>
              </w:rPr>
              <w:t>13.2</w:t>
            </w:r>
          </w:p>
        </w:tc>
      </w:tr>
      <w:tr>
        <w:trPr>
          <w:trHeight w:val="122"/>
        </w:trPr>
        <w:tc>
          <w:tcPr>
            <w:tcW w:w="20" w:type="dxa"/>
            <w:vAlign w:val="bottom"/>
          </w:tcPr>
          <w:p>
            <w:pPr>
              <w:spacing w:after="0"/>
              <w:rPr>
                <w:sz w:val="10"/>
                <w:szCs w:val="10"/>
                <w:color w:val="auto"/>
              </w:rPr>
            </w:pPr>
          </w:p>
        </w:tc>
        <w:tc>
          <w:tcPr>
            <w:tcW w:w="7440" w:type="dxa"/>
            <w:vAlign w:val="bottom"/>
          </w:tcPr>
          <w:p>
            <w:pPr>
              <w:spacing w:after="0" w:line="122" w:lineRule="exact"/>
              <w:rPr>
                <w:sz w:val="20"/>
                <w:szCs w:val="20"/>
                <w:color w:val="auto"/>
              </w:rPr>
            </w:pPr>
            <w:r>
              <w:rPr>
                <w:rFonts w:ascii="Arial" w:cs="Arial" w:eastAsia="Arial" w:hAnsi="Arial"/>
                <w:sz w:val="11"/>
                <w:szCs w:val="11"/>
                <w:color w:val="auto"/>
              </w:rPr>
              <w:t>Other</w:t>
            </w:r>
          </w:p>
        </w:tc>
        <w:tc>
          <w:tcPr>
            <w:tcW w:w="1360" w:type="dxa"/>
            <w:vAlign w:val="bottom"/>
            <w:tcBorders>
              <w:bottom w:val="single" w:sz="8" w:color="auto"/>
            </w:tcBorders>
          </w:tcPr>
          <w:p>
            <w:pPr>
              <w:jc w:val="right"/>
              <w:ind w:right="566"/>
              <w:spacing w:after="0" w:line="122" w:lineRule="exact"/>
              <w:rPr>
                <w:sz w:val="20"/>
                <w:szCs w:val="20"/>
                <w:color w:val="auto"/>
              </w:rPr>
            </w:pPr>
            <w:r>
              <w:rPr>
                <w:rFonts w:ascii="Arial" w:cs="Arial" w:eastAsia="Arial" w:hAnsi="Arial"/>
                <w:sz w:val="11"/>
                <w:szCs w:val="11"/>
                <w:color w:val="auto"/>
              </w:rPr>
              <w:t>2.8</w:t>
            </w:r>
          </w:p>
        </w:tc>
        <w:tc>
          <w:tcPr>
            <w:tcW w:w="6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546"/>
              <w:spacing w:after="0" w:line="122" w:lineRule="exact"/>
              <w:rPr>
                <w:sz w:val="20"/>
                <w:szCs w:val="20"/>
                <w:color w:val="auto"/>
              </w:rPr>
            </w:pPr>
            <w:r>
              <w:rPr>
                <w:rFonts w:ascii="Arial" w:cs="Arial" w:eastAsia="Arial" w:hAnsi="Arial"/>
                <w:sz w:val="11"/>
                <w:szCs w:val="11"/>
                <w:color w:val="auto"/>
              </w:rPr>
              <w:t>2.7</w:t>
            </w: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86"/>
              <w:spacing w:after="0" w:line="122" w:lineRule="exact"/>
              <w:rPr>
                <w:sz w:val="20"/>
                <w:szCs w:val="20"/>
                <w:color w:val="auto"/>
              </w:rPr>
            </w:pPr>
            <w:r>
              <w:rPr>
                <w:rFonts w:ascii="Arial" w:cs="Arial" w:eastAsia="Arial" w:hAnsi="Arial"/>
                <w:sz w:val="11"/>
                <w:szCs w:val="11"/>
                <w:color w:val="auto"/>
              </w:rPr>
              <w:t>9.1</w:t>
            </w: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744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Total</w:t>
            </w:r>
          </w:p>
        </w:tc>
        <w:tc>
          <w:tcPr>
            <w:tcW w:w="1360" w:type="dxa"/>
            <w:vAlign w:val="bottom"/>
            <w:tcBorders>
              <w:bottom w:val="single" w:sz="8" w:color="auto"/>
            </w:tcBorders>
            <w:shd w:val="clear" w:color="auto" w:fill="CCEEFF"/>
          </w:tcPr>
          <w:p>
            <w:pPr>
              <w:jc w:val="right"/>
              <w:ind w:right="566"/>
              <w:spacing w:after="0" w:line="122" w:lineRule="exact"/>
              <w:rPr>
                <w:sz w:val="20"/>
                <w:szCs w:val="20"/>
                <w:color w:val="auto"/>
              </w:rPr>
            </w:pPr>
            <w:r>
              <w:rPr>
                <w:rFonts w:ascii="Arial" w:cs="Arial" w:eastAsia="Arial" w:hAnsi="Arial"/>
                <w:sz w:val="11"/>
                <w:szCs w:val="11"/>
                <w:color w:val="auto"/>
              </w:rPr>
              <w:t>$ 8.1</w:t>
            </w: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w w:val="74"/>
              </w:rPr>
              <w:t>55.4</w:t>
            </w:r>
          </w:p>
        </w:tc>
        <w:tc>
          <w:tcPr>
            <w:tcW w:w="6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w w:val="93"/>
              </w:rPr>
              <w:t>28.9</w:t>
            </w: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 CONTINGENCIES</w:t>
      </w:r>
    </w:p>
    <w:p>
      <w:pPr>
        <w:spacing w:after="0" w:line="10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Company and its subsidiaries are parties to various civil lawsuits that have arisen in the ordinary course of their businesses, including actions for libel and invasion of privacy, and violations of applicable wage and hour laws. Management does not believe that any litigation pending against the Company will have a material adverse effect on its business or financial condition.</w:t>
      </w:r>
    </w:p>
    <w:p>
      <w:pPr>
        <w:spacing w:after="0" w:line="76" w:lineRule="exact"/>
        <w:rPr>
          <w:sz w:val="20"/>
          <w:szCs w:val="20"/>
          <w:color w:val="auto"/>
        </w:rPr>
      </w:pPr>
    </w:p>
    <w:p>
      <w:pPr>
        <w:ind w:right="220"/>
        <w:spacing w:after="0" w:line="289" w:lineRule="auto"/>
        <w:rPr>
          <w:sz w:val="20"/>
          <w:szCs w:val="20"/>
          <w:color w:val="auto"/>
        </w:rPr>
      </w:pPr>
      <w:r>
        <w:rPr>
          <w:rFonts w:ascii="Arial" w:cs="Arial" w:eastAsia="Arial" w:hAnsi="Arial"/>
          <w:sz w:val="15"/>
          <w:szCs w:val="15"/>
          <w:color w:val="auto"/>
        </w:rPr>
        <w:t>The Company’s education division derives a portion of its net revenues from financial aid received by its students under Title IV Programs administered by the U.S. Department of Education pursuant to the Federal Higher Education Act of 1965 (HEA), as amended. In order to participate in Title IV Programs, the Company must comply with complex standards set forth in the HEA and the regulations promulgated thereunder (the Regulations). The failure to comply with the requirements of HEA or the Regulations could result in the restriction or loss of the ability to participate in Title IV Programs and subject the Company to financial penalties. For the years ended January 2, 2005, December 28, 2003 and December 29, 2002, approximately $430.0 million, $250.0 million and $161.7 million, respectively, of the Company’s education division revenues were derived from financial aid received by students under Title IV Programs. Management believes that the Company’s education division schools that participate in Title IV Programs are in material compliance with standards set forth in the HEA and the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 BUSINESS SEGMENTS</w:t>
      </w:r>
    </w:p>
    <w:p>
      <w:pPr>
        <w:spacing w:after="0" w:line="10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 operates principally in four areas of the media business: newspaper publishing, television broadcasting, magazine publishing and cable television. Through its subsidiary Kaplan, Inc., the Company also provides educational services for individuals, schools and businesses.</w:t>
      </w:r>
    </w:p>
    <w:p>
      <w:pPr>
        <w:spacing w:after="0" w:line="6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64" w:lineRule="exact"/>
        <w:rPr>
          <w:sz w:val="20"/>
          <w:szCs w:val="20"/>
          <w:color w:val="auto"/>
        </w:rPr>
      </w:pPr>
    </w:p>
    <w:p>
      <w:pPr>
        <w:ind w:right="120"/>
        <w:spacing w:after="0" w:line="369" w:lineRule="auto"/>
        <w:rPr>
          <w:sz w:val="20"/>
          <w:szCs w:val="20"/>
          <w:color w:val="auto"/>
        </w:rPr>
      </w:pPr>
      <w:r>
        <w:rPr>
          <w:rFonts w:ascii="Arial" w:cs="Arial" w:eastAsia="Arial" w:hAnsi="Arial"/>
          <w:sz w:val="14"/>
          <w:szCs w:val="14"/>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both newspaper and magazine publishing operations are derived from advertising and, to a lesser extent, from circulation.</w:t>
      </w:r>
    </w:p>
    <w:p>
      <w:pPr>
        <w:spacing w:after="0" w:line="127"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4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revenues is monthly subscription fees charged for services.</w:t>
      </w:r>
    </w:p>
    <w:p>
      <w:pPr>
        <w:spacing w:after="0" w:line="6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provide higher education services, which include all of Kaplan’s post-secondary education businesses, including the fixed-facility colleges that offer Bachelor’s degrees, Associate’s degrees and diploma programs primarily in the fields of health care, business and information technology; and online post-secondary and career programs (various distance-learning businesses).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Corporate office includes the expenses of the Company’s corporate office.</w:t>
      </w:r>
    </w:p>
    <w:p>
      <w:pPr>
        <w:spacing w:after="0" w:line="127"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The Company’s foreign revenues in 2004, 2003, and 2002 totaled approximately $209 million, $140 million, and $81 million, respectively, principally from Kaplan’s foreign operations and the publication of the international editions of Newsweek. The Company’s long-lived assets in foreign countries (excluding goodwill and other intangibles), principally in the United Kingdom, totaled approximately $29 million at January 2, 2005 and $19 million at December 28, 2003.</w:t>
      </w:r>
    </w:p>
    <w:p>
      <w:pPr>
        <w:spacing w:after="0" w:line="76"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64"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Identifiable assets by segment are those assets used in the Company’s operations in each business segment. Investments in marketable equity securities and investments in affiliates are discussed in Note 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120" w:type="dxa"/>
            <w:vAlign w:val="bottom"/>
            <w:gridSpan w:val="2"/>
          </w:tcPr>
          <w:p>
            <w:pPr>
              <w:jc w:val="right"/>
              <w:ind w:right="268"/>
              <w:spacing w:after="0"/>
              <w:rPr>
                <w:sz w:val="20"/>
                <w:szCs w:val="20"/>
                <w:color w:val="auto"/>
              </w:rPr>
            </w:pPr>
            <w:r>
              <w:rPr>
                <w:rFonts w:ascii="Arial" w:cs="Arial" w:eastAsia="Arial" w:hAnsi="Arial"/>
                <w:sz w:val="13"/>
                <w:szCs w:val="13"/>
                <w:color w:val="auto"/>
              </w:rPr>
              <w:t>Newspaper</w:t>
            </w:r>
          </w:p>
        </w:tc>
        <w:tc>
          <w:tcPr>
            <w:tcW w:w="1360" w:type="dxa"/>
            <w:vAlign w:val="bottom"/>
            <w:gridSpan w:val="2"/>
          </w:tcPr>
          <w:p>
            <w:pPr>
              <w:ind w:left="420"/>
              <w:spacing w:after="0"/>
              <w:rPr>
                <w:sz w:val="20"/>
                <w:szCs w:val="20"/>
                <w:color w:val="auto"/>
              </w:rPr>
            </w:pPr>
            <w:r>
              <w:rPr>
                <w:rFonts w:ascii="Arial" w:cs="Arial" w:eastAsia="Arial" w:hAnsi="Arial"/>
                <w:sz w:val="13"/>
                <w:szCs w:val="13"/>
                <w:color w:val="auto"/>
              </w:rPr>
              <w:t>Television</w:t>
            </w:r>
          </w:p>
        </w:tc>
        <w:tc>
          <w:tcPr>
            <w:tcW w:w="1240" w:type="dxa"/>
            <w:vAlign w:val="bottom"/>
            <w:gridSpan w:val="2"/>
          </w:tcPr>
          <w:p>
            <w:pPr>
              <w:jc w:val="right"/>
              <w:ind w:right="268"/>
              <w:spacing w:after="0"/>
              <w:rPr>
                <w:sz w:val="20"/>
                <w:szCs w:val="20"/>
                <w:color w:val="auto"/>
              </w:rPr>
            </w:pPr>
            <w:r>
              <w:rPr>
                <w:rFonts w:ascii="Arial" w:cs="Arial" w:eastAsia="Arial" w:hAnsi="Arial"/>
                <w:sz w:val="13"/>
                <w:szCs w:val="13"/>
                <w:color w:val="auto"/>
              </w:rPr>
              <w:t>Magazine</w:t>
            </w:r>
          </w:p>
        </w:tc>
        <w:tc>
          <w:tcPr>
            <w:tcW w:w="400" w:type="dxa"/>
            <w:vAlign w:val="bottom"/>
          </w:tcPr>
          <w:p>
            <w:pPr>
              <w:spacing w:after="0"/>
              <w:rPr>
                <w:sz w:val="13"/>
                <w:szCs w:val="13"/>
                <w:color w:val="auto"/>
              </w:rPr>
            </w:pPr>
          </w:p>
        </w:tc>
        <w:tc>
          <w:tcPr>
            <w:tcW w:w="940" w:type="dxa"/>
            <w:vAlign w:val="bottom"/>
          </w:tcPr>
          <w:p>
            <w:pPr>
              <w:jc w:val="right"/>
              <w:ind w:right="449"/>
              <w:spacing w:after="0"/>
              <w:rPr>
                <w:sz w:val="20"/>
                <w:szCs w:val="20"/>
                <w:color w:val="auto"/>
              </w:rPr>
            </w:pPr>
            <w:r>
              <w:rPr>
                <w:rFonts w:ascii="Arial" w:cs="Arial" w:eastAsia="Arial" w:hAnsi="Arial"/>
                <w:sz w:val="13"/>
                <w:szCs w:val="13"/>
                <w:color w:val="auto"/>
              </w:rPr>
              <w:t>Cable</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color w:val="auto"/>
              </w:rPr>
              <w:t>Corporate</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(in thousands)</w:t>
            </w:r>
          </w:p>
        </w:tc>
        <w:tc>
          <w:tcPr>
            <w:tcW w:w="11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3"/>
                <w:szCs w:val="13"/>
                <w:color w:val="auto"/>
              </w:rPr>
              <w:t>Publishing</w:t>
            </w:r>
          </w:p>
        </w:tc>
        <w:tc>
          <w:tcPr>
            <w:tcW w:w="136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color w:val="auto"/>
              </w:rPr>
              <w:t>Broadcasting</w:t>
            </w:r>
          </w:p>
        </w:tc>
        <w:tc>
          <w:tcPr>
            <w:tcW w:w="12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3"/>
                <w:szCs w:val="13"/>
                <w:color w:val="auto"/>
              </w:rPr>
              <w:t>Publishing</w:t>
            </w: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w w:val="88"/>
              </w:rPr>
              <w:t>Television</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w w:val="89"/>
              </w:rPr>
              <w:t>Education</w:t>
            </w: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color w:val="auto"/>
                <w:w w:val="94"/>
              </w:rPr>
              <w:t>Office</w:t>
            </w:r>
          </w:p>
        </w:tc>
        <w:tc>
          <w:tcPr>
            <w:tcW w:w="12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3"/>
                <w:szCs w:val="13"/>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938,066</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361,716</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0"/>
              </w:rPr>
              <w:t>366,119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line="149" w:lineRule="exact"/>
              <w:rPr>
                <w:sz w:val="20"/>
                <w:szCs w:val="20"/>
                <w:color w:val="auto"/>
              </w:rPr>
            </w:pPr>
            <w:r>
              <w:rPr>
                <w:rFonts w:ascii="Arial" w:cs="Arial" w:eastAsia="Arial" w:hAnsi="Arial"/>
                <w:sz w:val="14"/>
                <w:szCs w:val="14"/>
                <w:color w:val="auto"/>
              </w:rPr>
              <w:t>499,312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line="149" w:lineRule="exact"/>
              <w:rPr>
                <w:sz w:val="20"/>
                <w:szCs w:val="20"/>
                <w:color w:val="auto"/>
              </w:rPr>
            </w:pPr>
            <w:r>
              <w:rPr>
                <w:rFonts w:ascii="Arial" w:cs="Arial" w:eastAsia="Arial" w:hAnsi="Arial"/>
                <w:sz w:val="14"/>
                <w:szCs w:val="14"/>
                <w:color w:val="auto"/>
                <w:w w:val="89"/>
              </w:rPr>
              <w:t>1,134,891</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9"/>
              </w:rPr>
              <w:t>3,300,104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143,086</w:t>
            </w:r>
          </w:p>
        </w:tc>
        <w:tc>
          <w:tcPr>
            <w:tcW w:w="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174,176</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52,921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104,171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121,455</w:t>
            </w:r>
          </w:p>
        </w:tc>
        <w:tc>
          <w:tcPr>
            <w:tcW w:w="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91"/>
              </w:rPr>
              <w:t>(32,803)</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563,006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(26,410)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8,127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Income before income taxes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542,432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w w:val="86"/>
              </w:rPr>
              <w:t>688,812</w:t>
            </w:r>
          </w:p>
        </w:tc>
        <w:tc>
          <w:tcPr>
            <w:tcW w:w="500" w:type="dxa"/>
            <w:vAlign w:val="bottom"/>
          </w:tcPr>
          <w:p>
            <w:pPr>
              <w:ind w:left="42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w w:val="86"/>
              </w:rPr>
              <w:t>410,294</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55" w:lineRule="exact"/>
              <w:rPr>
                <w:sz w:val="20"/>
                <w:szCs w:val="20"/>
                <w:color w:val="auto"/>
              </w:rPr>
            </w:pPr>
            <w:r>
              <w:rPr>
                <w:rFonts w:ascii="Arial" w:cs="Arial" w:eastAsia="Arial" w:hAnsi="Arial"/>
                <w:sz w:val="14"/>
                <w:szCs w:val="14"/>
                <w:color w:val="auto"/>
                <w:w w:val="90"/>
              </w:rPr>
              <w:t>582,489</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line="155" w:lineRule="exact"/>
              <w:rPr>
                <w:sz w:val="20"/>
                <w:szCs w:val="20"/>
                <w:color w:val="auto"/>
              </w:rPr>
            </w:pPr>
            <w:r>
              <w:rPr>
                <w:rFonts w:ascii="Arial" w:cs="Arial" w:eastAsia="Arial" w:hAnsi="Arial"/>
                <w:sz w:val="14"/>
                <w:szCs w:val="14"/>
                <w:color w:val="auto"/>
                <w:w w:val="89"/>
              </w:rPr>
              <w:t>1,113,554</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line="155" w:lineRule="exact"/>
              <w:rPr>
                <w:sz w:val="20"/>
                <w:szCs w:val="20"/>
                <w:color w:val="auto"/>
              </w:rPr>
            </w:pPr>
            <w:r>
              <w:rPr>
                <w:rFonts w:ascii="Arial" w:cs="Arial" w:eastAsia="Arial" w:hAnsi="Arial"/>
                <w:sz w:val="14"/>
                <w:szCs w:val="14"/>
                <w:color w:val="auto"/>
                <w:w w:val="89"/>
              </w:rPr>
              <w:t>1,035,772</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55" w:lineRule="exact"/>
              <w:rPr>
                <w:sz w:val="20"/>
                <w:szCs w:val="20"/>
                <w:color w:val="auto"/>
              </w:rPr>
            </w:pPr>
            <w:r>
              <w:rPr>
                <w:rFonts w:ascii="Arial" w:cs="Arial" w:eastAsia="Arial" w:hAnsi="Arial"/>
                <w:sz w:val="14"/>
                <w:szCs w:val="14"/>
                <w:color w:val="auto"/>
                <w:w w:val="97"/>
              </w:rPr>
              <w:t>14,170</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89"/>
              </w:rPr>
              <w:t>3,845,091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Investments in marketable equity</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securities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409,736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61,814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9"/>
              </w:rPr>
              <w:t>4,316,641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 plant and</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340"/>
              <w:spacing w:after="0"/>
              <w:rPr>
                <w:sz w:val="20"/>
                <w:szCs w:val="20"/>
                <w:color w:val="auto"/>
              </w:rPr>
            </w:pPr>
            <w:r>
              <w:rPr>
                <w:rFonts w:ascii="Arial" w:cs="Arial" w:eastAsia="Arial" w:hAnsi="Arial"/>
                <w:sz w:val="14"/>
                <w:szCs w:val="14"/>
                <w:color w:val="auto"/>
              </w:rPr>
              <w:t>equipment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36,862</w:t>
            </w:r>
          </w:p>
        </w:tc>
        <w:tc>
          <w:tcPr>
            <w:tcW w:w="500" w:type="dxa"/>
            <w:vAlign w:val="bottom"/>
          </w:tcPr>
          <w:p>
            <w:pPr>
              <w:ind w:left="42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11,093</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3,255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rPr>
                <w:sz w:val="20"/>
                <w:szCs w:val="20"/>
                <w:color w:val="auto"/>
              </w:rPr>
            </w:pPr>
            <w:r>
              <w:rPr>
                <w:rFonts w:ascii="Arial" w:cs="Arial" w:eastAsia="Arial" w:hAnsi="Arial"/>
                <w:sz w:val="14"/>
                <w:szCs w:val="14"/>
                <w:color w:val="auto"/>
              </w:rPr>
              <w:t>94,974</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29,154</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175,338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19</w:t>
            </w:r>
          </w:p>
        </w:tc>
        <w:tc>
          <w:tcPr>
            <w:tcW w:w="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652</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8,663</w:t>
            </w:r>
          </w:p>
        </w:tc>
        <w:tc>
          <w:tcPr>
            <w:tcW w:w="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9,334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3,598</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3,172</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37,613</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(1,030)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(1,531)</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41,822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Kaplan stock-based incentive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compensation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32,546</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32,546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27,959</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6,967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1,499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line="149" w:lineRule="exact"/>
              <w:rPr>
                <w:sz w:val="20"/>
                <w:szCs w:val="20"/>
                <w:color w:val="auto"/>
              </w:rPr>
            </w:pPr>
            <w:r>
              <w:rPr>
                <w:rFonts w:ascii="Arial" w:cs="Arial" w:eastAsia="Arial" w:hAnsi="Arial"/>
                <w:sz w:val="14"/>
                <w:szCs w:val="14"/>
                <w:color w:val="auto"/>
              </w:rPr>
              <w:t>78,873</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85,221</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4,113</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204,632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2003</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872,754</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315,126</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0"/>
              </w:rPr>
              <w:t>353,555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line="149" w:lineRule="exact"/>
              <w:rPr>
                <w:sz w:val="20"/>
                <w:szCs w:val="20"/>
                <w:color w:val="auto"/>
              </w:rPr>
            </w:pPr>
            <w:r>
              <w:rPr>
                <w:rFonts w:ascii="Arial" w:cs="Arial" w:eastAsia="Arial" w:hAnsi="Arial"/>
                <w:sz w:val="14"/>
                <w:szCs w:val="14"/>
                <w:color w:val="auto"/>
              </w:rPr>
              <w:t>459,399</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838,077</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9"/>
              </w:rPr>
              <w:t>2,838,911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r>
              <w:rPr>
                <w:rFonts w:ascii="Arial" w:cs="Arial" w:eastAsia="Arial" w:hAnsi="Arial"/>
                <w:sz w:val="12"/>
                <w:szCs w:val="12"/>
                <w:color w:val="auto"/>
              </w:rPr>
              <w:t>(1)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134,197</w:t>
            </w:r>
          </w:p>
        </w:tc>
        <w:tc>
          <w:tcPr>
            <w:tcW w:w="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139,744</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43,504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88,392</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(11,709)</w:t>
            </w:r>
          </w:p>
        </w:tc>
        <w:tc>
          <w:tcPr>
            <w:tcW w:w="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91"/>
              </w:rPr>
              <w:t>(30,308)</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363,820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(9,766)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(26,851)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55,385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Income before income taxes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382,588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w w:val="86"/>
              </w:rPr>
              <w:t>690,226</w:t>
            </w:r>
          </w:p>
        </w:tc>
        <w:tc>
          <w:tcPr>
            <w:tcW w:w="500" w:type="dxa"/>
            <w:vAlign w:val="bottom"/>
          </w:tcPr>
          <w:p>
            <w:pPr>
              <w:ind w:left="42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w w:val="86"/>
              </w:rPr>
              <w:t>412,799</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55" w:lineRule="exact"/>
              <w:rPr>
                <w:sz w:val="20"/>
                <w:szCs w:val="20"/>
                <w:color w:val="auto"/>
              </w:rPr>
            </w:pPr>
            <w:r>
              <w:rPr>
                <w:rFonts w:ascii="Arial" w:cs="Arial" w:eastAsia="Arial" w:hAnsi="Arial"/>
                <w:sz w:val="14"/>
                <w:szCs w:val="14"/>
                <w:color w:val="auto"/>
                <w:w w:val="90"/>
              </w:rPr>
              <w:t>534,671</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line="155" w:lineRule="exact"/>
              <w:rPr>
                <w:sz w:val="20"/>
                <w:szCs w:val="20"/>
                <w:color w:val="auto"/>
              </w:rPr>
            </w:pPr>
            <w:r>
              <w:rPr>
                <w:rFonts w:ascii="Arial" w:cs="Arial" w:eastAsia="Arial" w:hAnsi="Arial"/>
                <w:sz w:val="14"/>
                <w:szCs w:val="14"/>
                <w:color w:val="auto"/>
                <w:w w:val="89"/>
              </w:rPr>
              <w:t>1,131,580</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872,133</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55" w:lineRule="exact"/>
              <w:rPr>
                <w:sz w:val="20"/>
                <w:szCs w:val="20"/>
                <w:color w:val="auto"/>
              </w:rPr>
            </w:pPr>
            <w:r>
              <w:rPr>
                <w:rFonts w:ascii="Arial" w:cs="Arial" w:eastAsia="Arial" w:hAnsi="Arial"/>
                <w:sz w:val="14"/>
                <w:szCs w:val="14"/>
                <w:color w:val="auto"/>
                <w:w w:val="97"/>
              </w:rPr>
              <w:t>11,379</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89"/>
              </w:rPr>
              <w:t>3,652,788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Investments in marketable equity</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securities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247,958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61,312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9"/>
              </w:rPr>
              <w:t>3,962,058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 plant and</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340"/>
              <w:spacing w:after="0"/>
              <w:rPr>
                <w:sz w:val="20"/>
                <w:szCs w:val="20"/>
                <w:color w:val="auto"/>
              </w:rPr>
            </w:pPr>
            <w:r>
              <w:rPr>
                <w:rFonts w:ascii="Arial" w:cs="Arial" w:eastAsia="Arial" w:hAnsi="Arial"/>
                <w:sz w:val="14"/>
                <w:szCs w:val="14"/>
                <w:color w:val="auto"/>
              </w:rPr>
              <w:t>equipment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41,914</w:t>
            </w:r>
          </w:p>
        </w:tc>
        <w:tc>
          <w:tcPr>
            <w:tcW w:w="500" w:type="dxa"/>
            <w:vAlign w:val="bottom"/>
          </w:tcPr>
          <w:p>
            <w:pPr>
              <w:ind w:left="42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11,414</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3,727</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rPr>
                <w:sz w:val="20"/>
                <w:szCs w:val="20"/>
                <w:color w:val="auto"/>
              </w:rPr>
            </w:pPr>
            <w:r>
              <w:rPr>
                <w:rFonts w:ascii="Arial" w:cs="Arial" w:eastAsia="Arial" w:hAnsi="Arial"/>
                <w:sz w:val="14"/>
                <w:szCs w:val="14"/>
                <w:color w:val="auto"/>
              </w:rPr>
              <w:t>92,804</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23,989</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173,848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15</w:t>
            </w:r>
          </w:p>
        </w:tc>
        <w:tc>
          <w:tcPr>
            <w:tcW w:w="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151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1,270</w:t>
            </w:r>
          </w:p>
        </w:tc>
        <w:tc>
          <w:tcPr>
            <w:tcW w:w="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5"/>
              </w:rPr>
              <w:t>(19,580)</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4,165</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38,493</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(853)</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(1,223)</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21,002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Kaplan stock-based incentive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compensation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119,126</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119,126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18,642</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5,434</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1,027</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line="149" w:lineRule="exact"/>
              <w:rPr>
                <w:sz w:val="20"/>
                <w:szCs w:val="20"/>
                <w:color w:val="auto"/>
              </w:rPr>
            </w:pPr>
            <w:r>
              <w:rPr>
                <w:rFonts w:ascii="Arial" w:cs="Arial" w:eastAsia="Arial" w:hAnsi="Arial"/>
                <w:sz w:val="14"/>
                <w:szCs w:val="14"/>
                <w:color w:val="auto"/>
              </w:rPr>
              <w:t>65,948</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34,537</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125,588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2002</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841,984</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343,552</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0"/>
              </w:rPr>
              <w:t>349,050</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line="149" w:lineRule="exact"/>
              <w:rPr>
                <w:sz w:val="20"/>
                <w:szCs w:val="20"/>
                <w:color w:val="auto"/>
              </w:rPr>
            </w:pPr>
            <w:r>
              <w:rPr>
                <w:rFonts w:ascii="Arial" w:cs="Arial" w:eastAsia="Arial" w:hAnsi="Arial"/>
                <w:sz w:val="14"/>
                <w:szCs w:val="14"/>
                <w:color w:val="auto"/>
              </w:rPr>
              <w:t>428,492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621,125</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9"/>
              </w:rPr>
              <w:t>2,584,203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109,006</w:t>
            </w:r>
          </w:p>
        </w:tc>
        <w:tc>
          <w:tcPr>
            <w:tcW w:w="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168,826</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25,728</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80,937</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20,512</w:t>
            </w:r>
          </w:p>
        </w:tc>
        <w:tc>
          <w:tcPr>
            <w:tcW w:w="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91"/>
              </w:rPr>
              <w:t>(27,419)</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377,590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(19,308)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(33,487)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28,873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Income before income taxes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353,668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w w:val="86"/>
              </w:rPr>
              <w:t>697,606</w:t>
            </w:r>
          </w:p>
        </w:tc>
        <w:tc>
          <w:tcPr>
            <w:tcW w:w="500" w:type="dxa"/>
            <w:vAlign w:val="bottom"/>
          </w:tcPr>
          <w:p>
            <w:pPr>
              <w:ind w:left="42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w w:val="86"/>
              </w:rPr>
              <w:t>414,722</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55" w:lineRule="exact"/>
              <w:rPr>
                <w:sz w:val="20"/>
                <w:szCs w:val="20"/>
                <w:color w:val="auto"/>
              </w:rPr>
            </w:pPr>
            <w:r>
              <w:rPr>
                <w:rFonts w:ascii="Arial" w:cs="Arial" w:eastAsia="Arial" w:hAnsi="Arial"/>
                <w:sz w:val="14"/>
                <w:szCs w:val="14"/>
                <w:color w:val="auto"/>
                <w:w w:val="90"/>
              </w:rPr>
              <w:t>488,345</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line="155" w:lineRule="exact"/>
              <w:rPr>
                <w:sz w:val="20"/>
                <w:szCs w:val="20"/>
                <w:color w:val="auto"/>
              </w:rPr>
            </w:pPr>
            <w:r>
              <w:rPr>
                <w:rFonts w:ascii="Arial" w:cs="Arial" w:eastAsia="Arial" w:hAnsi="Arial"/>
                <w:sz w:val="14"/>
                <w:szCs w:val="14"/>
                <w:color w:val="auto"/>
                <w:w w:val="89"/>
              </w:rPr>
              <w:t>1,154,534</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549,390</w:t>
            </w:r>
          </w:p>
        </w:tc>
        <w:tc>
          <w:tcPr>
            <w:tcW w:w="380" w:type="dxa"/>
            <w:vAlign w:val="bottom"/>
          </w:tcPr>
          <w:p>
            <w:pPr>
              <w:ind w:left="30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55" w:lineRule="exact"/>
              <w:rPr>
                <w:sz w:val="20"/>
                <w:szCs w:val="20"/>
                <w:color w:val="auto"/>
              </w:rPr>
            </w:pPr>
            <w:r>
              <w:rPr>
                <w:rFonts w:ascii="Arial" w:cs="Arial" w:eastAsia="Arial" w:hAnsi="Arial"/>
                <w:sz w:val="14"/>
                <w:szCs w:val="14"/>
                <w:color w:val="auto"/>
                <w:w w:val="97"/>
              </w:rPr>
              <w:t>19,940</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89"/>
              </w:rPr>
              <w:t>3,324,537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Investments in marketable equity</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securities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216,533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70,703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9"/>
              </w:rPr>
              <w:t>3,611,773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 plant and</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340"/>
              <w:spacing w:after="0"/>
              <w:rPr>
                <w:sz w:val="20"/>
                <w:szCs w:val="20"/>
                <w:color w:val="auto"/>
              </w:rPr>
            </w:pPr>
            <w:r>
              <w:rPr>
                <w:rFonts w:ascii="Arial" w:cs="Arial" w:eastAsia="Arial" w:hAnsi="Arial"/>
                <w:sz w:val="14"/>
                <w:szCs w:val="14"/>
                <w:color w:val="auto"/>
              </w:rPr>
              <w:t>equipment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42,961</w:t>
            </w:r>
          </w:p>
        </w:tc>
        <w:tc>
          <w:tcPr>
            <w:tcW w:w="500" w:type="dxa"/>
            <w:vAlign w:val="bottom"/>
          </w:tcPr>
          <w:p>
            <w:pPr>
              <w:ind w:left="42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11,187</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4,124</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rPr>
                <w:sz w:val="20"/>
                <w:szCs w:val="20"/>
                <w:color w:val="auto"/>
              </w:rPr>
            </w:pPr>
            <w:r>
              <w:rPr>
                <w:rFonts w:ascii="Arial" w:cs="Arial" w:eastAsia="Arial" w:hAnsi="Arial"/>
                <w:sz w:val="14"/>
                <w:szCs w:val="14"/>
                <w:color w:val="auto"/>
              </w:rPr>
              <w:t>88,751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24,885</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171,908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15</w:t>
            </w:r>
          </w:p>
        </w:tc>
        <w:tc>
          <w:tcPr>
            <w:tcW w:w="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155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485</w:t>
            </w:r>
          </w:p>
        </w:tc>
        <w:tc>
          <w:tcPr>
            <w:tcW w:w="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18,902</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4,730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23,814</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(814)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(1,186)</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45,446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Kaplan stock-based incentive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compensation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34,531</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34,531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27,280</w:t>
            </w:r>
          </w:p>
        </w:tc>
        <w:tc>
          <w:tcPr>
            <w:tcW w:w="500" w:type="dxa"/>
            <w:vAlign w:val="bottom"/>
          </w:tcPr>
          <w:p>
            <w:pPr>
              <w:ind w:left="42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8,784</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1,672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9"/>
              <w:spacing w:after="0"/>
              <w:rPr>
                <w:sz w:val="20"/>
                <w:szCs w:val="20"/>
                <w:color w:val="auto"/>
              </w:rPr>
            </w:pPr>
            <w:r>
              <w:rPr>
                <w:rFonts w:ascii="Arial" w:cs="Arial" w:eastAsia="Arial" w:hAnsi="Arial"/>
                <w:sz w:val="14"/>
                <w:szCs w:val="14"/>
                <w:color w:val="auto"/>
              </w:rPr>
              <w:t>92,499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22,757</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152,992</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(1) Newspaper publishing operating income in 2003 includes gain on sale of land at The Washington Post newspaper of $41.7 million.</w:t>
      </w:r>
    </w:p>
    <w:p>
      <w:pPr>
        <w:spacing w:after="0" w:line="200" w:lineRule="exact"/>
        <w:rPr>
          <w:sz w:val="20"/>
          <w:szCs w:val="20"/>
          <w:color w:val="auto"/>
        </w:rPr>
      </w:pPr>
    </w:p>
    <w:p>
      <w:pPr>
        <w:spacing w:after="0" w:line="33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O. SUMMARY OF QUARTERLY OPERATING RESULTS AND COMPREHENSIVE INCOME (UNAUDITED)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Quarterly results of operations and comprehensive income for the years ended January 2, 2005 and December 28, 2003 are as follows (in thousands, except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568"/>
              <w:spacing w:after="0"/>
              <w:rPr>
                <w:sz w:val="20"/>
                <w:szCs w:val="20"/>
                <w:color w:val="auto"/>
              </w:rPr>
            </w:pPr>
            <w:r>
              <w:rPr>
                <w:rFonts w:ascii="Arial" w:cs="Arial" w:eastAsia="Arial" w:hAnsi="Arial"/>
                <w:sz w:val="13"/>
                <w:szCs w:val="13"/>
                <w:color w:val="auto"/>
              </w:rPr>
              <w:t>First</w:t>
            </w:r>
          </w:p>
        </w:tc>
        <w:tc>
          <w:tcPr>
            <w:tcW w:w="520" w:type="dxa"/>
            <w:vAlign w:val="bottom"/>
          </w:tcPr>
          <w:p>
            <w:pPr>
              <w:spacing w:after="0"/>
              <w:rPr>
                <w:sz w:val="13"/>
                <w:szCs w:val="13"/>
                <w:color w:val="auto"/>
              </w:rPr>
            </w:pPr>
          </w:p>
        </w:tc>
        <w:tc>
          <w:tcPr>
            <w:tcW w:w="940" w:type="dxa"/>
            <w:vAlign w:val="bottom"/>
          </w:tcPr>
          <w:p>
            <w:pPr>
              <w:jc w:val="right"/>
              <w:ind w:right="508"/>
              <w:spacing w:after="0"/>
              <w:rPr>
                <w:sz w:val="20"/>
                <w:szCs w:val="20"/>
                <w:color w:val="auto"/>
              </w:rPr>
            </w:pPr>
            <w:r>
              <w:rPr>
                <w:rFonts w:ascii="Arial" w:cs="Arial" w:eastAsia="Arial" w:hAnsi="Arial"/>
                <w:sz w:val="13"/>
                <w:szCs w:val="13"/>
                <w:color w:val="auto"/>
                <w:w w:val="77"/>
              </w:rPr>
              <w:t>Second</w:t>
            </w:r>
          </w:p>
        </w:tc>
        <w:tc>
          <w:tcPr>
            <w:tcW w:w="520" w:type="dxa"/>
            <w:vAlign w:val="bottom"/>
          </w:tcPr>
          <w:p>
            <w:pPr>
              <w:spacing w:after="0"/>
              <w:rPr>
                <w:sz w:val="13"/>
                <w:szCs w:val="13"/>
                <w:color w:val="auto"/>
              </w:rPr>
            </w:pPr>
          </w:p>
        </w:tc>
        <w:tc>
          <w:tcPr>
            <w:tcW w:w="900" w:type="dxa"/>
            <w:vAlign w:val="bottom"/>
          </w:tcPr>
          <w:p>
            <w:pPr>
              <w:jc w:val="right"/>
              <w:ind w:right="508"/>
              <w:spacing w:after="0"/>
              <w:rPr>
                <w:sz w:val="20"/>
                <w:szCs w:val="20"/>
                <w:color w:val="auto"/>
              </w:rPr>
            </w:pPr>
            <w:r>
              <w:rPr>
                <w:rFonts w:ascii="Arial" w:cs="Arial" w:eastAsia="Arial" w:hAnsi="Arial"/>
                <w:sz w:val="13"/>
                <w:szCs w:val="13"/>
                <w:color w:val="auto"/>
              </w:rPr>
              <w:t>Third</w:t>
            </w:r>
          </w:p>
        </w:tc>
        <w:tc>
          <w:tcPr>
            <w:tcW w:w="480" w:type="dxa"/>
            <w:vAlign w:val="bottom"/>
          </w:tcPr>
          <w:p>
            <w:pPr>
              <w:spacing w:after="0"/>
              <w:rPr>
                <w:sz w:val="13"/>
                <w:szCs w:val="13"/>
                <w:color w:val="auto"/>
              </w:rPr>
            </w:pPr>
          </w:p>
        </w:tc>
        <w:tc>
          <w:tcPr>
            <w:tcW w:w="760" w:type="dxa"/>
            <w:vAlign w:val="bottom"/>
          </w:tcPr>
          <w:p>
            <w:pPr>
              <w:jc w:val="right"/>
              <w:ind w:right="309"/>
              <w:spacing w:after="0"/>
              <w:rPr>
                <w:sz w:val="20"/>
                <w:szCs w:val="20"/>
                <w:color w:val="auto"/>
              </w:rPr>
            </w:pPr>
            <w:r>
              <w:rPr>
                <w:rFonts w:ascii="Arial" w:cs="Arial" w:eastAsia="Arial" w:hAnsi="Arial"/>
                <w:sz w:val="13"/>
                <w:szCs w:val="13"/>
                <w:color w:val="auto"/>
                <w:w w:val="95"/>
              </w:rPr>
              <w:t>Fourth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3"/>
                <w:szCs w:val="13"/>
                <w:color w:val="auto"/>
              </w:rPr>
              <w:t>Quarter</w:t>
            </w:r>
          </w:p>
        </w:tc>
        <w:tc>
          <w:tcPr>
            <w:tcW w:w="146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3"/>
                <w:szCs w:val="13"/>
                <w:color w:val="auto"/>
              </w:rPr>
              <w:t>Quarter</w:t>
            </w:r>
          </w:p>
        </w:tc>
        <w:tc>
          <w:tcPr>
            <w:tcW w:w="14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Quarter</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w w:val="90"/>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 Quarterly Operating Results</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Operating revenues</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Advertising</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299,127</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338,060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86"/>
              </w:rPr>
              <w:t>323,021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w w:val="86"/>
              </w:rPr>
              <w:t>386,662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560"/>
              <w:spacing w:after="0" w:line="149" w:lineRule="exact"/>
              <w:rPr>
                <w:sz w:val="20"/>
                <w:szCs w:val="20"/>
                <w:color w:val="auto"/>
              </w:rPr>
            </w:pPr>
            <w:r>
              <w:rPr>
                <w:rFonts w:ascii="Arial" w:cs="Arial" w:eastAsia="Arial" w:hAnsi="Arial"/>
                <w:sz w:val="14"/>
                <w:szCs w:val="14"/>
                <w:color w:val="auto"/>
              </w:rPr>
              <w:t>Circulation and subscriber</w:t>
            </w:r>
          </w:p>
        </w:tc>
        <w:tc>
          <w:tcPr>
            <w:tcW w:w="400" w:type="dxa"/>
            <w:vAlign w:val="bottom"/>
          </w:tcPr>
          <w:p>
            <w:pPr>
              <w:spacing w:after="0"/>
              <w:rPr>
                <w:sz w:val="12"/>
                <w:szCs w:val="12"/>
                <w:color w:val="auto"/>
              </w:rPr>
            </w:pPr>
          </w:p>
        </w:tc>
        <w:tc>
          <w:tcPr>
            <w:tcW w:w="940" w:type="dxa"/>
            <w:vAlign w:val="bottom"/>
          </w:tcPr>
          <w:p>
            <w:pPr>
              <w:jc w:val="right"/>
              <w:ind w:right="408"/>
              <w:spacing w:after="0" w:line="149" w:lineRule="exact"/>
              <w:rPr>
                <w:sz w:val="20"/>
                <w:szCs w:val="20"/>
                <w:color w:val="auto"/>
              </w:rPr>
            </w:pPr>
            <w:r>
              <w:rPr>
                <w:rFonts w:ascii="Arial" w:cs="Arial" w:eastAsia="Arial" w:hAnsi="Arial"/>
                <w:sz w:val="14"/>
                <w:szCs w:val="14"/>
                <w:color w:val="auto"/>
                <w:w w:val="86"/>
              </w:rPr>
              <w:t>180,259</w:t>
            </w:r>
          </w:p>
        </w:tc>
        <w:tc>
          <w:tcPr>
            <w:tcW w:w="520" w:type="dxa"/>
            <w:vAlign w:val="bottom"/>
          </w:tcPr>
          <w:p>
            <w:pPr>
              <w:spacing w:after="0"/>
              <w:rPr>
                <w:sz w:val="12"/>
                <w:szCs w:val="12"/>
                <w:color w:val="auto"/>
              </w:rPr>
            </w:pPr>
          </w:p>
        </w:tc>
        <w:tc>
          <w:tcPr>
            <w:tcW w:w="940" w:type="dxa"/>
            <w:vAlign w:val="bottom"/>
          </w:tcPr>
          <w:p>
            <w:pPr>
              <w:jc w:val="right"/>
              <w:ind w:right="408"/>
              <w:spacing w:after="0" w:line="149" w:lineRule="exact"/>
              <w:rPr>
                <w:sz w:val="20"/>
                <w:szCs w:val="20"/>
                <w:color w:val="auto"/>
              </w:rPr>
            </w:pPr>
            <w:r>
              <w:rPr>
                <w:rFonts w:ascii="Arial" w:cs="Arial" w:eastAsia="Arial" w:hAnsi="Arial"/>
                <w:sz w:val="14"/>
                <w:szCs w:val="14"/>
                <w:color w:val="auto"/>
                <w:w w:val="86"/>
              </w:rPr>
              <w:t>185,728</w:t>
            </w:r>
          </w:p>
        </w:tc>
        <w:tc>
          <w:tcPr>
            <w:tcW w:w="520" w:type="dxa"/>
            <w:vAlign w:val="bottom"/>
          </w:tcPr>
          <w:p>
            <w:pPr>
              <w:spacing w:after="0"/>
              <w:rPr>
                <w:sz w:val="12"/>
                <w:szCs w:val="12"/>
                <w:color w:val="auto"/>
              </w:rPr>
            </w:pPr>
          </w:p>
        </w:tc>
        <w:tc>
          <w:tcPr>
            <w:tcW w:w="90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86"/>
              </w:rPr>
              <w:t>185,521</w:t>
            </w:r>
          </w:p>
        </w:tc>
        <w:tc>
          <w:tcPr>
            <w:tcW w:w="480" w:type="dxa"/>
            <w:vAlign w:val="bottom"/>
          </w:tcPr>
          <w:p>
            <w:pPr>
              <w:spacing w:after="0"/>
              <w:rPr>
                <w:sz w:val="12"/>
                <w:szCs w:val="12"/>
                <w:color w:val="auto"/>
              </w:rPr>
            </w:pPr>
          </w:p>
        </w:tc>
        <w:tc>
          <w:tcPr>
            <w:tcW w:w="760" w:type="dxa"/>
            <w:vAlign w:val="bottom"/>
          </w:tcPr>
          <w:p>
            <w:pPr>
              <w:jc w:val="right"/>
              <w:ind w:right="229"/>
              <w:spacing w:after="0" w:line="149" w:lineRule="exact"/>
              <w:rPr>
                <w:sz w:val="20"/>
                <w:szCs w:val="20"/>
                <w:color w:val="auto"/>
              </w:rPr>
            </w:pPr>
            <w:r>
              <w:rPr>
                <w:rFonts w:ascii="Arial" w:cs="Arial" w:eastAsia="Arial" w:hAnsi="Arial"/>
                <w:sz w:val="14"/>
                <w:szCs w:val="14"/>
                <w:color w:val="auto"/>
                <w:w w:val="86"/>
              </w:rPr>
              <w:t>190,302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Education</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258,271</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276,696</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86"/>
              </w:rPr>
              <w:t>293,621</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w w:val="86"/>
              </w:rPr>
              <w:t>306,303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ind w:left="560"/>
              <w:spacing w:after="0" w:line="149" w:lineRule="exact"/>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21,312</w:t>
            </w: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17,907</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17,869</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9"/>
              <w:spacing w:after="0" w:line="149" w:lineRule="exact"/>
              <w:rPr>
                <w:sz w:val="20"/>
                <w:szCs w:val="20"/>
                <w:color w:val="auto"/>
              </w:rPr>
            </w:pPr>
            <w:r>
              <w:rPr>
                <w:rFonts w:ascii="Arial" w:cs="Arial" w:eastAsia="Arial" w:hAnsi="Arial"/>
                <w:sz w:val="14"/>
                <w:szCs w:val="14"/>
                <w:color w:val="auto"/>
              </w:rPr>
              <w:t>19,445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758,969</w:t>
            </w:r>
          </w:p>
        </w:tc>
        <w:tc>
          <w:tcPr>
            <w:tcW w:w="5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818,391</w:t>
            </w: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86"/>
              </w:rPr>
              <w:t>820,032</w:t>
            </w:r>
          </w:p>
        </w:tc>
        <w:tc>
          <w:tcPr>
            <w:tcW w:w="4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w w:val="86"/>
              </w:rPr>
              <w:t>902,712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ind w:left="280"/>
              <w:spacing w:after="0" w:line="155" w:lineRule="exact"/>
              <w:rPr>
                <w:sz w:val="20"/>
                <w:szCs w:val="20"/>
                <w:color w:val="auto"/>
              </w:rPr>
            </w:pPr>
            <w:r>
              <w:rPr>
                <w:rFonts w:ascii="Arial" w:cs="Arial" w:eastAsia="Arial" w:hAnsi="Arial"/>
                <w:sz w:val="14"/>
                <w:szCs w:val="14"/>
                <w:color w:val="auto"/>
              </w:rPr>
              <w:t>Operating costs and expenses</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Operating</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409,681</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420,407</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86"/>
              </w:rPr>
              <w:t>422,894</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w w:val="86"/>
              </w:rPr>
              <w:t>464,077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560"/>
              <w:spacing w:after="0" w:line="149" w:lineRule="exact"/>
              <w:rPr>
                <w:sz w:val="20"/>
                <w:szCs w:val="20"/>
                <w:color w:val="auto"/>
              </w:rPr>
            </w:pPr>
            <w:r>
              <w:rPr>
                <w:rFonts w:ascii="Arial" w:cs="Arial" w:eastAsia="Arial" w:hAnsi="Arial"/>
                <w:sz w:val="14"/>
                <w:szCs w:val="14"/>
                <w:color w:val="auto"/>
              </w:rPr>
              <w:t>Selling, general and administrative</w:t>
            </w:r>
          </w:p>
        </w:tc>
        <w:tc>
          <w:tcPr>
            <w:tcW w:w="400" w:type="dxa"/>
            <w:vAlign w:val="bottom"/>
          </w:tcPr>
          <w:p>
            <w:pPr>
              <w:spacing w:after="0"/>
              <w:rPr>
                <w:sz w:val="12"/>
                <w:szCs w:val="12"/>
                <w:color w:val="auto"/>
              </w:rPr>
            </w:pPr>
          </w:p>
        </w:tc>
        <w:tc>
          <w:tcPr>
            <w:tcW w:w="940" w:type="dxa"/>
            <w:vAlign w:val="bottom"/>
          </w:tcPr>
          <w:p>
            <w:pPr>
              <w:jc w:val="right"/>
              <w:ind w:right="408"/>
              <w:spacing w:after="0" w:line="149" w:lineRule="exact"/>
              <w:rPr>
                <w:sz w:val="20"/>
                <w:szCs w:val="20"/>
                <w:color w:val="auto"/>
              </w:rPr>
            </w:pPr>
            <w:r>
              <w:rPr>
                <w:rFonts w:ascii="Arial" w:cs="Arial" w:eastAsia="Arial" w:hAnsi="Arial"/>
                <w:sz w:val="14"/>
                <w:szCs w:val="14"/>
                <w:color w:val="auto"/>
                <w:w w:val="86"/>
              </w:rPr>
              <w:t>198,132</w:t>
            </w:r>
          </w:p>
        </w:tc>
        <w:tc>
          <w:tcPr>
            <w:tcW w:w="520" w:type="dxa"/>
            <w:vAlign w:val="bottom"/>
          </w:tcPr>
          <w:p>
            <w:pPr>
              <w:spacing w:after="0"/>
              <w:rPr>
                <w:sz w:val="12"/>
                <w:szCs w:val="12"/>
                <w:color w:val="auto"/>
              </w:rPr>
            </w:pPr>
          </w:p>
        </w:tc>
        <w:tc>
          <w:tcPr>
            <w:tcW w:w="940" w:type="dxa"/>
            <w:vAlign w:val="bottom"/>
          </w:tcPr>
          <w:p>
            <w:pPr>
              <w:jc w:val="right"/>
              <w:ind w:right="408"/>
              <w:spacing w:after="0" w:line="149" w:lineRule="exact"/>
              <w:rPr>
                <w:sz w:val="20"/>
                <w:szCs w:val="20"/>
                <w:color w:val="auto"/>
              </w:rPr>
            </w:pPr>
            <w:r>
              <w:rPr>
                <w:rFonts w:ascii="Arial" w:cs="Arial" w:eastAsia="Arial" w:hAnsi="Arial"/>
                <w:sz w:val="14"/>
                <w:szCs w:val="14"/>
                <w:color w:val="auto"/>
                <w:w w:val="86"/>
              </w:rPr>
              <w:t>203,334</w:t>
            </w:r>
          </w:p>
        </w:tc>
        <w:tc>
          <w:tcPr>
            <w:tcW w:w="520" w:type="dxa"/>
            <w:vAlign w:val="bottom"/>
          </w:tcPr>
          <w:p>
            <w:pPr>
              <w:spacing w:after="0"/>
              <w:rPr>
                <w:sz w:val="12"/>
                <w:szCs w:val="12"/>
                <w:color w:val="auto"/>
              </w:rPr>
            </w:pPr>
          </w:p>
        </w:tc>
        <w:tc>
          <w:tcPr>
            <w:tcW w:w="90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86"/>
              </w:rPr>
              <w:t>210,488</w:t>
            </w:r>
          </w:p>
        </w:tc>
        <w:tc>
          <w:tcPr>
            <w:tcW w:w="480" w:type="dxa"/>
            <w:vAlign w:val="bottom"/>
          </w:tcPr>
          <w:p>
            <w:pPr>
              <w:spacing w:after="0"/>
              <w:rPr>
                <w:sz w:val="12"/>
                <w:szCs w:val="12"/>
                <w:color w:val="auto"/>
              </w:rPr>
            </w:pPr>
          </w:p>
        </w:tc>
        <w:tc>
          <w:tcPr>
            <w:tcW w:w="760" w:type="dxa"/>
            <w:vAlign w:val="bottom"/>
          </w:tcPr>
          <w:p>
            <w:pPr>
              <w:jc w:val="right"/>
              <w:ind w:right="229"/>
              <w:spacing w:after="0" w:line="149" w:lineRule="exact"/>
              <w:rPr>
                <w:sz w:val="20"/>
                <w:szCs w:val="20"/>
                <w:color w:val="auto"/>
              </w:rPr>
            </w:pPr>
            <w:r>
              <w:rPr>
                <w:rFonts w:ascii="Arial" w:cs="Arial" w:eastAsia="Arial" w:hAnsi="Arial"/>
                <w:sz w:val="14"/>
                <w:szCs w:val="14"/>
                <w:color w:val="auto"/>
                <w:w w:val="86"/>
              </w:rPr>
              <w:t>223,413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43,859</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44,769</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45,020</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41,690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56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2,380</w:t>
            </w: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3,881</w:t>
            </w: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1,332</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9"/>
              <w:spacing w:after="0" w:line="149" w:lineRule="exact"/>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654,052</w:t>
            </w:r>
          </w:p>
        </w:tc>
        <w:tc>
          <w:tcPr>
            <w:tcW w:w="5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672,391</w:t>
            </w: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86"/>
              </w:rPr>
              <w:t>679,734</w:t>
            </w:r>
          </w:p>
        </w:tc>
        <w:tc>
          <w:tcPr>
            <w:tcW w:w="4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w w:val="86"/>
              </w:rPr>
              <w:t>730,921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ind w:left="280"/>
              <w:spacing w:after="0" w:line="155" w:lineRule="exact"/>
              <w:rPr>
                <w:sz w:val="20"/>
                <w:szCs w:val="20"/>
                <w:color w:val="auto"/>
              </w:rPr>
            </w:pPr>
            <w:r>
              <w:rPr>
                <w:rFonts w:ascii="Arial" w:cs="Arial" w:eastAsia="Arial" w:hAnsi="Arial"/>
                <w:sz w:val="14"/>
                <w:szCs w:val="14"/>
                <w:color w:val="auto"/>
              </w:rPr>
              <w:t>Income from operations</w:t>
            </w:r>
          </w:p>
        </w:tc>
        <w:tc>
          <w:tcPr>
            <w:tcW w:w="400" w:type="dxa"/>
            <w:vAlign w:val="bottom"/>
          </w:tcPr>
          <w:p>
            <w:pPr>
              <w:spacing w:after="0"/>
              <w:rPr>
                <w:sz w:val="13"/>
                <w:szCs w:val="13"/>
                <w:color w:val="auto"/>
              </w:rPr>
            </w:pPr>
          </w:p>
        </w:tc>
        <w:tc>
          <w:tcPr>
            <w:tcW w:w="940" w:type="dxa"/>
            <w:vAlign w:val="bottom"/>
          </w:tcPr>
          <w:p>
            <w:pPr>
              <w:jc w:val="right"/>
              <w:ind w:right="408"/>
              <w:spacing w:after="0" w:line="155" w:lineRule="exact"/>
              <w:rPr>
                <w:sz w:val="20"/>
                <w:szCs w:val="20"/>
                <w:color w:val="auto"/>
              </w:rPr>
            </w:pPr>
            <w:r>
              <w:rPr>
                <w:rFonts w:ascii="Arial" w:cs="Arial" w:eastAsia="Arial" w:hAnsi="Arial"/>
                <w:sz w:val="14"/>
                <w:szCs w:val="14"/>
                <w:color w:val="auto"/>
                <w:w w:val="86"/>
              </w:rPr>
              <w:t>104,917</w:t>
            </w:r>
          </w:p>
        </w:tc>
        <w:tc>
          <w:tcPr>
            <w:tcW w:w="520" w:type="dxa"/>
            <w:vAlign w:val="bottom"/>
          </w:tcPr>
          <w:p>
            <w:pPr>
              <w:spacing w:after="0"/>
              <w:rPr>
                <w:sz w:val="13"/>
                <w:szCs w:val="13"/>
                <w:color w:val="auto"/>
              </w:rPr>
            </w:pPr>
          </w:p>
        </w:tc>
        <w:tc>
          <w:tcPr>
            <w:tcW w:w="940" w:type="dxa"/>
            <w:vAlign w:val="bottom"/>
          </w:tcPr>
          <w:p>
            <w:pPr>
              <w:jc w:val="right"/>
              <w:ind w:right="408"/>
              <w:spacing w:after="0" w:line="155" w:lineRule="exact"/>
              <w:rPr>
                <w:sz w:val="20"/>
                <w:szCs w:val="20"/>
                <w:color w:val="auto"/>
              </w:rPr>
            </w:pPr>
            <w:r>
              <w:rPr>
                <w:rFonts w:ascii="Arial" w:cs="Arial" w:eastAsia="Arial" w:hAnsi="Arial"/>
                <w:sz w:val="14"/>
                <w:szCs w:val="14"/>
                <w:color w:val="auto"/>
                <w:w w:val="86"/>
              </w:rPr>
              <w:t>146,000</w:t>
            </w:r>
          </w:p>
        </w:tc>
        <w:tc>
          <w:tcPr>
            <w:tcW w:w="520" w:type="dxa"/>
            <w:vAlign w:val="bottom"/>
          </w:tcPr>
          <w:p>
            <w:pPr>
              <w:spacing w:after="0"/>
              <w:rPr>
                <w:sz w:val="13"/>
                <w:szCs w:val="13"/>
                <w:color w:val="auto"/>
              </w:rPr>
            </w:pPr>
          </w:p>
        </w:tc>
        <w:tc>
          <w:tcPr>
            <w:tcW w:w="90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86"/>
              </w:rPr>
              <w:t>140,298</w:t>
            </w:r>
          </w:p>
        </w:tc>
        <w:tc>
          <w:tcPr>
            <w:tcW w:w="480" w:type="dxa"/>
            <w:vAlign w:val="bottom"/>
          </w:tcPr>
          <w:p>
            <w:pPr>
              <w:spacing w:after="0"/>
              <w:rPr>
                <w:sz w:val="13"/>
                <w:szCs w:val="13"/>
                <w:color w:val="auto"/>
              </w:rPr>
            </w:pPr>
          </w:p>
        </w:tc>
        <w:tc>
          <w:tcPr>
            <w:tcW w:w="760" w:type="dxa"/>
            <w:vAlign w:val="bottom"/>
          </w:tcPr>
          <w:p>
            <w:pPr>
              <w:jc w:val="right"/>
              <w:ind w:right="229"/>
              <w:spacing w:after="0" w:line="155" w:lineRule="exact"/>
              <w:rPr>
                <w:sz w:val="20"/>
                <w:szCs w:val="20"/>
                <w:color w:val="auto"/>
              </w:rPr>
            </w:pPr>
            <w:r>
              <w:rPr>
                <w:rFonts w:ascii="Arial" w:cs="Arial" w:eastAsia="Arial" w:hAnsi="Arial"/>
                <w:sz w:val="14"/>
                <w:szCs w:val="14"/>
                <w:color w:val="auto"/>
                <w:w w:val="86"/>
              </w:rPr>
              <w:t>171,791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Equity in (losses) earnings of affiliates</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(1,716)</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(353)</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539</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12"/>
                <w:szCs w:val="12"/>
                <w:color w:val="auto"/>
              </w:rPr>
            </w:pPr>
          </w:p>
        </w:tc>
        <w:tc>
          <w:tcPr>
            <w:tcW w:w="94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344</w:t>
            </w:r>
          </w:p>
        </w:tc>
        <w:tc>
          <w:tcPr>
            <w:tcW w:w="520" w:type="dxa"/>
            <w:vAlign w:val="bottom"/>
          </w:tcPr>
          <w:p>
            <w:pPr>
              <w:spacing w:after="0"/>
              <w:rPr>
                <w:sz w:val="12"/>
                <w:szCs w:val="12"/>
                <w:color w:val="auto"/>
              </w:rPr>
            </w:pPr>
          </w:p>
        </w:tc>
        <w:tc>
          <w:tcPr>
            <w:tcW w:w="94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458</w:t>
            </w:r>
          </w:p>
        </w:tc>
        <w:tc>
          <w:tcPr>
            <w:tcW w:w="520" w:type="dxa"/>
            <w:vAlign w:val="bottom"/>
          </w:tcPr>
          <w:p>
            <w:pPr>
              <w:spacing w:after="0"/>
              <w:rPr>
                <w:sz w:val="12"/>
                <w:szCs w:val="12"/>
                <w:color w:val="auto"/>
              </w:rPr>
            </w:pPr>
          </w:p>
        </w:tc>
        <w:tc>
          <w:tcPr>
            <w:tcW w:w="90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351</w:t>
            </w:r>
          </w:p>
        </w:tc>
        <w:tc>
          <w:tcPr>
            <w:tcW w:w="480" w:type="dxa"/>
            <w:vAlign w:val="bottom"/>
          </w:tcPr>
          <w:p>
            <w:pPr>
              <w:spacing w:after="0"/>
              <w:rPr>
                <w:sz w:val="12"/>
                <w:szCs w:val="12"/>
                <w:color w:val="auto"/>
              </w:rPr>
            </w:pPr>
          </w:p>
        </w:tc>
        <w:tc>
          <w:tcPr>
            <w:tcW w:w="76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(6,861)</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(6,830)</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(6,874)</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(7,467)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742</w:t>
            </w: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(71)</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858</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9"/>
              <w:spacing w:after="0" w:line="149" w:lineRule="exact"/>
              <w:rPr>
                <w:sz w:val="20"/>
                <w:szCs w:val="20"/>
                <w:color w:val="auto"/>
              </w:rPr>
            </w:pPr>
            <w:r>
              <w:rPr>
                <w:rFonts w:ascii="Arial" w:cs="Arial" w:eastAsia="Arial" w:hAnsi="Arial"/>
                <w:sz w:val="14"/>
                <w:szCs w:val="14"/>
                <w:color w:val="auto"/>
              </w:rPr>
              <w:t>6,598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before income taxes</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97,426</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6"/>
              </w:rPr>
              <w:t>139,204</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86"/>
              </w:rPr>
              <w:t>135,172</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w w:val="86"/>
              </w:rPr>
              <w:t>170,630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Provision for income taxes</w:t>
            </w: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38,000</w:t>
            </w: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54,300</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52,700</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9"/>
              <w:spacing w:after="0" w:line="149" w:lineRule="exact"/>
              <w:rPr>
                <w:sz w:val="20"/>
                <w:szCs w:val="20"/>
                <w:color w:val="auto"/>
              </w:rPr>
            </w:pPr>
            <w:r>
              <w:rPr>
                <w:rFonts w:ascii="Arial" w:cs="Arial" w:eastAsia="Arial" w:hAnsi="Arial"/>
                <w:sz w:val="14"/>
                <w:szCs w:val="14"/>
                <w:color w:val="auto"/>
              </w:rPr>
              <w:t>64,700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59,426</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84,904</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82,472</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w w:val="86"/>
              </w:rPr>
              <w:t>105,930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Redeemable preferred stock dividends</w:t>
            </w: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(502)</w:t>
            </w: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(245)</w:t>
            </w: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(245)</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available for common shares</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58,924</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84,659</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82,227</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w w:val="86"/>
              </w:rPr>
              <w:t>105,930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Basic earnings per common share</w:t>
            </w: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vMerge w:val="continue"/>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6.17</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8.85</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8.59</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earnings per common share:</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6.15</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8.82</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8.57</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Basic average shares outstanding</w:t>
            </w: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9,550</w:t>
            </w:r>
          </w:p>
        </w:tc>
        <w:tc>
          <w:tcPr>
            <w:tcW w:w="520" w:type="dxa"/>
            <w:vAlign w:val="bottom"/>
          </w:tcPr>
          <w:p>
            <w:pPr>
              <w:spacing w:after="0"/>
              <w:rPr>
                <w:sz w:val="13"/>
                <w:szCs w:val="13"/>
                <w:color w:val="auto"/>
              </w:rPr>
            </w:pPr>
          </w:p>
        </w:tc>
        <w:tc>
          <w:tcPr>
            <w:tcW w:w="94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9,563</w:t>
            </w:r>
          </w:p>
        </w:tc>
        <w:tc>
          <w:tcPr>
            <w:tcW w:w="520" w:type="dxa"/>
            <w:vAlign w:val="bottom"/>
          </w:tcPr>
          <w:p>
            <w:pPr>
              <w:spacing w:after="0"/>
              <w:rPr>
                <w:sz w:val="13"/>
                <w:szCs w:val="13"/>
                <w:color w:val="auto"/>
              </w:rPr>
            </w:pPr>
          </w:p>
        </w:tc>
        <w:tc>
          <w:tcPr>
            <w:tcW w:w="90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9,568</w:t>
            </w:r>
          </w:p>
        </w:tc>
        <w:tc>
          <w:tcPr>
            <w:tcW w:w="480" w:type="dxa"/>
            <w:vAlign w:val="bottom"/>
          </w:tcPr>
          <w:p>
            <w:pPr>
              <w:spacing w:after="0"/>
              <w:rPr>
                <w:sz w:val="13"/>
                <w:szCs w:val="13"/>
                <w:color w:val="auto"/>
              </w:rPr>
            </w:pPr>
          </w:p>
        </w:tc>
        <w:tc>
          <w:tcPr>
            <w:tcW w:w="760" w:type="dxa"/>
            <w:vAlign w:val="bottom"/>
          </w:tcPr>
          <w:p>
            <w:pPr>
              <w:jc w:val="right"/>
              <w:ind w:right="229"/>
              <w:spacing w:after="0" w:line="155" w:lineRule="exact"/>
              <w:rPr>
                <w:sz w:val="20"/>
                <w:szCs w:val="20"/>
                <w:color w:val="auto"/>
              </w:rPr>
            </w:pPr>
            <w:r>
              <w:rPr>
                <w:rFonts w:ascii="Arial" w:cs="Arial" w:eastAsia="Arial" w:hAnsi="Arial"/>
                <w:sz w:val="14"/>
                <w:szCs w:val="14"/>
                <w:color w:val="auto"/>
              </w:rPr>
              <w:t>9,571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average shares outstanding</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9,582</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9,596</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9,598</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9,601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2004 Quarterly comprehensive income</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74,806</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78,719</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90,962</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29"/>
              <w:spacing w:after="0" w:line="149" w:lineRule="exact"/>
              <w:rPr>
                <w:sz w:val="20"/>
                <w:szCs w:val="20"/>
                <w:color w:val="auto"/>
              </w:rPr>
            </w:pPr>
            <w:r>
              <w:rPr>
                <w:rFonts w:ascii="Arial" w:cs="Arial" w:eastAsia="Arial" w:hAnsi="Arial"/>
                <w:sz w:val="14"/>
                <w:szCs w:val="14"/>
                <w:color w:val="auto"/>
                <w:w w:val="86"/>
              </w:rPr>
              <w:t>136,089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four quarters may not necessarily be equal to the annual amounts reported in the Consolidated Statements of Income due to rounding.</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489"/>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13"/>
                <w:szCs w:val="13"/>
                <w:color w:val="auto"/>
              </w:rPr>
            </w:pPr>
          </w:p>
        </w:tc>
        <w:tc>
          <w:tcPr>
            <w:tcW w:w="900" w:type="dxa"/>
            <w:vAlign w:val="bottom"/>
          </w:tcPr>
          <w:p>
            <w:pPr>
              <w:jc w:val="right"/>
              <w:ind w:right="409"/>
              <w:spacing w:after="0"/>
              <w:rPr>
                <w:sz w:val="20"/>
                <w:szCs w:val="20"/>
                <w:color w:val="auto"/>
              </w:rPr>
            </w:pPr>
            <w:r>
              <w:rPr>
                <w:rFonts w:ascii="Arial" w:cs="Arial" w:eastAsia="Arial" w:hAnsi="Arial"/>
                <w:sz w:val="13"/>
                <w:szCs w:val="13"/>
                <w:color w:val="auto"/>
                <w:w w:val="90"/>
              </w:rPr>
              <w:t>Second</w:t>
            </w:r>
          </w:p>
        </w:tc>
        <w:tc>
          <w:tcPr>
            <w:tcW w:w="460" w:type="dxa"/>
            <w:vAlign w:val="bottom"/>
          </w:tcPr>
          <w:p>
            <w:pPr>
              <w:spacing w:after="0"/>
              <w:rPr>
                <w:sz w:val="13"/>
                <w:szCs w:val="13"/>
                <w:color w:val="auto"/>
              </w:rPr>
            </w:pPr>
          </w:p>
        </w:tc>
        <w:tc>
          <w:tcPr>
            <w:tcW w:w="1040" w:type="dxa"/>
            <w:vAlign w:val="bottom"/>
          </w:tcPr>
          <w:p>
            <w:pPr>
              <w:jc w:val="right"/>
              <w:ind w:right="589"/>
              <w:spacing w:after="0"/>
              <w:rPr>
                <w:sz w:val="20"/>
                <w:szCs w:val="20"/>
                <w:color w:val="auto"/>
              </w:rPr>
            </w:pPr>
            <w:r>
              <w:rPr>
                <w:rFonts w:ascii="Arial" w:cs="Arial" w:eastAsia="Arial" w:hAnsi="Arial"/>
                <w:sz w:val="13"/>
                <w:szCs w:val="13"/>
                <w:color w:val="auto"/>
              </w:rPr>
              <w:t>Third</w:t>
            </w:r>
          </w:p>
        </w:tc>
        <w:tc>
          <w:tcPr>
            <w:tcW w:w="600" w:type="dxa"/>
            <w:vAlign w:val="bottom"/>
          </w:tcPr>
          <w:p>
            <w:pPr>
              <w:spacing w:after="0"/>
              <w:rPr>
                <w:sz w:val="13"/>
                <w:szCs w:val="13"/>
                <w:color w:val="auto"/>
              </w:rPr>
            </w:pPr>
          </w:p>
        </w:tc>
        <w:tc>
          <w:tcPr>
            <w:tcW w:w="1060" w:type="dxa"/>
            <w:vAlign w:val="bottom"/>
          </w:tcPr>
          <w:p>
            <w:pPr>
              <w:jc w:val="right"/>
              <w:ind w:right="569"/>
              <w:spacing w:after="0"/>
              <w:rPr>
                <w:sz w:val="20"/>
                <w:szCs w:val="20"/>
                <w:color w:val="auto"/>
              </w:rPr>
            </w:pPr>
            <w:r>
              <w:rPr>
                <w:rFonts w:ascii="Arial" w:cs="Arial" w:eastAsia="Arial" w:hAnsi="Arial"/>
                <w:sz w:val="13"/>
                <w:szCs w:val="13"/>
                <w:color w:val="auto"/>
              </w:rPr>
              <w:t>Fourth</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(in thousands, except per share amounts)</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color w:val="auto"/>
                <w:w w:val="90"/>
              </w:rPr>
              <w:t>Quarter</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color w:val="auto"/>
                <w:w w:val="90"/>
              </w:rPr>
              <w:t>Quarter</w:t>
            </w: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w w:val="86"/>
              </w:rPr>
              <w:t>Quarter</w:t>
            </w:r>
            <w:r>
              <w:rPr>
                <w:rFonts w:ascii="Arial" w:cs="Arial" w:eastAsia="Arial" w:hAnsi="Arial"/>
                <w:sz w:val="10"/>
                <w:szCs w:val="10"/>
                <w:color w:val="auto"/>
                <w:w w:val="86"/>
              </w:rPr>
              <w:t>(1</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w w:val="88"/>
              </w:rPr>
              <w:t xml:space="preserve">) </w:t>
            </w:r>
            <w:r>
              <w:rPr>
                <w:rFonts w:ascii="Arial" w:cs="Arial" w:eastAsia="Arial" w:hAnsi="Arial"/>
                <w:sz w:val="13"/>
                <w:szCs w:val="13"/>
                <w:color w:val="auto"/>
                <w:w w:val="88"/>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2003 Quarterly Operating Results</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8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Advertising</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277,121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316,288</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w w:val="90"/>
              </w:rPr>
              <w:t>285,143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w w:val="90"/>
              </w:rPr>
              <w:t>343,772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560"/>
              <w:spacing w:after="0" w:line="149" w:lineRule="exact"/>
              <w:rPr>
                <w:sz w:val="20"/>
                <w:szCs w:val="20"/>
                <w:color w:val="auto"/>
              </w:rPr>
            </w:pPr>
            <w:r>
              <w:rPr>
                <w:rFonts w:ascii="Arial" w:cs="Arial" w:eastAsia="Arial" w:hAnsi="Arial"/>
                <w:sz w:val="14"/>
                <w:szCs w:val="14"/>
                <w:color w:val="auto"/>
              </w:rPr>
              <w:t>Circulation and subscriber</w:t>
            </w:r>
          </w:p>
        </w:tc>
        <w:tc>
          <w:tcPr>
            <w:tcW w:w="300" w:type="dxa"/>
            <w:vAlign w:val="bottom"/>
          </w:tcPr>
          <w:p>
            <w:pPr>
              <w:spacing w:after="0"/>
              <w:rPr>
                <w:sz w:val="12"/>
                <w:szCs w:val="12"/>
                <w:color w:val="auto"/>
              </w:rPr>
            </w:pPr>
          </w:p>
        </w:tc>
        <w:tc>
          <w:tcPr>
            <w:tcW w:w="900" w:type="dxa"/>
            <w:vAlign w:val="bottom"/>
          </w:tcPr>
          <w:p>
            <w:pPr>
              <w:jc w:val="right"/>
              <w:ind w:right="369"/>
              <w:spacing w:after="0" w:line="149" w:lineRule="exact"/>
              <w:rPr>
                <w:sz w:val="20"/>
                <w:szCs w:val="20"/>
                <w:color w:val="auto"/>
              </w:rPr>
            </w:pPr>
            <w:r>
              <w:rPr>
                <w:rFonts w:ascii="Arial" w:cs="Arial" w:eastAsia="Arial" w:hAnsi="Arial"/>
                <w:sz w:val="14"/>
                <w:szCs w:val="14"/>
                <w:color w:val="auto"/>
                <w:w w:val="86"/>
              </w:rPr>
              <w:t>172,036</w:t>
            </w:r>
          </w:p>
        </w:tc>
        <w:tc>
          <w:tcPr>
            <w:tcW w:w="460" w:type="dxa"/>
            <w:vAlign w:val="bottom"/>
          </w:tcPr>
          <w:p>
            <w:pPr>
              <w:spacing w:after="0"/>
              <w:rPr>
                <w:sz w:val="12"/>
                <w:szCs w:val="12"/>
                <w:color w:val="auto"/>
              </w:rPr>
            </w:pPr>
          </w:p>
        </w:tc>
        <w:tc>
          <w:tcPr>
            <w:tcW w:w="900" w:type="dxa"/>
            <w:vAlign w:val="bottom"/>
          </w:tcPr>
          <w:p>
            <w:pPr>
              <w:jc w:val="right"/>
              <w:ind w:right="369"/>
              <w:spacing w:after="0" w:line="149" w:lineRule="exact"/>
              <w:rPr>
                <w:sz w:val="20"/>
                <w:szCs w:val="20"/>
                <w:color w:val="auto"/>
              </w:rPr>
            </w:pPr>
            <w:r>
              <w:rPr>
                <w:rFonts w:ascii="Arial" w:cs="Arial" w:eastAsia="Arial" w:hAnsi="Arial"/>
                <w:sz w:val="14"/>
                <w:szCs w:val="14"/>
                <w:color w:val="auto"/>
                <w:w w:val="86"/>
              </w:rPr>
              <w:t>176,348</w:t>
            </w:r>
          </w:p>
        </w:tc>
        <w:tc>
          <w:tcPr>
            <w:tcW w:w="460" w:type="dxa"/>
            <w:vAlign w:val="bottom"/>
          </w:tcPr>
          <w:p>
            <w:pPr>
              <w:spacing w:after="0"/>
              <w:rPr>
                <w:sz w:val="12"/>
                <w:szCs w:val="12"/>
                <w:color w:val="auto"/>
              </w:rPr>
            </w:pPr>
          </w:p>
        </w:tc>
        <w:tc>
          <w:tcPr>
            <w:tcW w:w="1040" w:type="dxa"/>
            <w:vAlign w:val="bottom"/>
          </w:tcPr>
          <w:p>
            <w:pPr>
              <w:jc w:val="right"/>
              <w:ind w:right="489"/>
              <w:spacing w:after="0" w:line="149" w:lineRule="exact"/>
              <w:rPr>
                <w:sz w:val="20"/>
                <w:szCs w:val="20"/>
                <w:color w:val="auto"/>
              </w:rPr>
            </w:pPr>
            <w:r>
              <w:rPr>
                <w:rFonts w:ascii="Arial" w:cs="Arial" w:eastAsia="Arial" w:hAnsi="Arial"/>
                <w:sz w:val="14"/>
                <w:szCs w:val="14"/>
                <w:color w:val="auto"/>
                <w:w w:val="90"/>
              </w:rPr>
              <w:t>175,595</w:t>
            </w:r>
          </w:p>
        </w:tc>
        <w:tc>
          <w:tcPr>
            <w:tcW w:w="600" w:type="dxa"/>
            <w:vAlign w:val="bottom"/>
          </w:tcPr>
          <w:p>
            <w:pPr>
              <w:spacing w:after="0"/>
              <w:rPr>
                <w:sz w:val="12"/>
                <w:szCs w:val="12"/>
                <w:color w:val="auto"/>
              </w:rPr>
            </w:pPr>
          </w:p>
        </w:tc>
        <w:tc>
          <w:tcPr>
            <w:tcW w:w="1060" w:type="dxa"/>
            <w:vAlign w:val="bottom"/>
          </w:tcPr>
          <w:p>
            <w:pPr>
              <w:jc w:val="right"/>
              <w:ind w:right="509"/>
              <w:spacing w:after="0" w:line="149" w:lineRule="exact"/>
              <w:rPr>
                <w:sz w:val="20"/>
                <w:szCs w:val="20"/>
                <w:color w:val="auto"/>
              </w:rPr>
            </w:pPr>
            <w:r>
              <w:rPr>
                <w:rFonts w:ascii="Arial" w:cs="Arial" w:eastAsia="Arial" w:hAnsi="Arial"/>
                <w:sz w:val="14"/>
                <w:szCs w:val="14"/>
                <w:color w:val="auto"/>
                <w:w w:val="90"/>
              </w:rPr>
              <w:t>182,269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Education</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177,778</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195,560</w:t>
            </w: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w w:val="90"/>
              </w:rPr>
              <w:t>224,663</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w w:val="90"/>
              </w:rPr>
              <w:t>240,076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560"/>
              <w:spacing w:after="0" w:line="149" w:lineRule="exact"/>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13,505</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18,744</w:t>
            </w: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20,678</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19,335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640,440</w:t>
            </w:r>
          </w:p>
        </w:tc>
        <w:tc>
          <w:tcPr>
            <w:tcW w:w="4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706,940</w:t>
            </w:r>
          </w:p>
        </w:tc>
        <w:tc>
          <w:tcPr>
            <w:tcW w:w="4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w w:val="90"/>
              </w:rPr>
              <w:t>706,079</w:t>
            </w:r>
          </w:p>
        </w:tc>
        <w:tc>
          <w:tcPr>
            <w:tcW w:w="6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w w:val="90"/>
              </w:rPr>
              <w:t>785,452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280"/>
              <w:spacing w:after="0" w:line="155" w:lineRule="exact"/>
              <w:rPr>
                <w:sz w:val="20"/>
                <w:szCs w:val="20"/>
                <w:color w:val="auto"/>
              </w:rPr>
            </w:pPr>
            <w:r>
              <w:rPr>
                <w:rFonts w:ascii="Arial" w:cs="Arial" w:eastAsia="Arial" w:hAnsi="Arial"/>
                <w:sz w:val="14"/>
                <w:szCs w:val="14"/>
                <w:color w:val="auto"/>
              </w:rPr>
              <w:t>Operating costs and expenses</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348,634</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368,974</w:t>
            </w: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w w:val="90"/>
              </w:rPr>
              <w:t>378,864</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w w:val="90"/>
              </w:rPr>
              <w:t>411,043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560"/>
              <w:spacing w:after="0" w:line="149" w:lineRule="exact"/>
              <w:rPr>
                <w:sz w:val="20"/>
                <w:szCs w:val="20"/>
                <w:color w:val="auto"/>
              </w:rPr>
            </w:pPr>
            <w:r>
              <w:rPr>
                <w:rFonts w:ascii="Arial" w:cs="Arial" w:eastAsia="Arial" w:hAnsi="Arial"/>
                <w:sz w:val="14"/>
                <w:szCs w:val="14"/>
                <w:color w:val="auto"/>
              </w:rPr>
              <w:t>Selling, general and administrative</w:t>
            </w:r>
          </w:p>
        </w:tc>
        <w:tc>
          <w:tcPr>
            <w:tcW w:w="300" w:type="dxa"/>
            <w:vAlign w:val="bottom"/>
          </w:tcPr>
          <w:p>
            <w:pPr>
              <w:spacing w:after="0"/>
              <w:rPr>
                <w:sz w:val="12"/>
                <w:szCs w:val="12"/>
                <w:color w:val="auto"/>
              </w:rPr>
            </w:pPr>
          </w:p>
        </w:tc>
        <w:tc>
          <w:tcPr>
            <w:tcW w:w="900" w:type="dxa"/>
            <w:vAlign w:val="bottom"/>
          </w:tcPr>
          <w:p>
            <w:pPr>
              <w:jc w:val="right"/>
              <w:ind w:right="369"/>
              <w:spacing w:after="0" w:line="149" w:lineRule="exact"/>
              <w:rPr>
                <w:sz w:val="20"/>
                <w:szCs w:val="20"/>
                <w:color w:val="auto"/>
              </w:rPr>
            </w:pPr>
            <w:r>
              <w:rPr>
                <w:rFonts w:ascii="Arial" w:cs="Arial" w:eastAsia="Arial" w:hAnsi="Arial"/>
                <w:sz w:val="14"/>
                <w:szCs w:val="14"/>
                <w:color w:val="auto"/>
                <w:w w:val="86"/>
              </w:rPr>
              <w:t>169,170</w:t>
            </w:r>
          </w:p>
        </w:tc>
        <w:tc>
          <w:tcPr>
            <w:tcW w:w="460" w:type="dxa"/>
            <w:vAlign w:val="bottom"/>
          </w:tcPr>
          <w:p>
            <w:pPr>
              <w:spacing w:after="0"/>
              <w:rPr>
                <w:sz w:val="12"/>
                <w:szCs w:val="12"/>
                <w:color w:val="auto"/>
              </w:rPr>
            </w:pPr>
          </w:p>
        </w:tc>
        <w:tc>
          <w:tcPr>
            <w:tcW w:w="900" w:type="dxa"/>
            <w:vAlign w:val="bottom"/>
          </w:tcPr>
          <w:p>
            <w:pPr>
              <w:jc w:val="right"/>
              <w:ind w:right="369"/>
              <w:spacing w:after="0" w:line="149" w:lineRule="exact"/>
              <w:rPr>
                <w:sz w:val="20"/>
                <w:szCs w:val="20"/>
                <w:color w:val="auto"/>
              </w:rPr>
            </w:pPr>
            <w:r>
              <w:rPr>
                <w:rFonts w:ascii="Arial" w:cs="Arial" w:eastAsia="Arial" w:hAnsi="Arial"/>
                <w:sz w:val="14"/>
                <w:szCs w:val="14"/>
                <w:color w:val="auto"/>
                <w:w w:val="86"/>
              </w:rPr>
              <w:t>187,493</w:t>
            </w:r>
          </w:p>
        </w:tc>
        <w:tc>
          <w:tcPr>
            <w:tcW w:w="460" w:type="dxa"/>
            <w:vAlign w:val="bottom"/>
          </w:tcPr>
          <w:p>
            <w:pPr>
              <w:spacing w:after="0"/>
              <w:rPr>
                <w:sz w:val="12"/>
                <w:szCs w:val="12"/>
                <w:color w:val="auto"/>
              </w:rPr>
            </w:pPr>
          </w:p>
        </w:tc>
        <w:tc>
          <w:tcPr>
            <w:tcW w:w="1040" w:type="dxa"/>
            <w:vAlign w:val="bottom"/>
          </w:tcPr>
          <w:p>
            <w:pPr>
              <w:jc w:val="right"/>
              <w:ind w:right="489"/>
              <w:spacing w:after="0" w:line="149" w:lineRule="exact"/>
              <w:rPr>
                <w:sz w:val="20"/>
                <w:szCs w:val="20"/>
                <w:color w:val="auto"/>
              </w:rPr>
            </w:pPr>
            <w:r>
              <w:rPr>
                <w:rFonts w:ascii="Arial" w:cs="Arial" w:eastAsia="Arial" w:hAnsi="Arial"/>
                <w:sz w:val="14"/>
                <w:szCs w:val="14"/>
                <w:color w:val="auto"/>
                <w:w w:val="90"/>
              </w:rPr>
              <w:t>244,299</w:t>
            </w:r>
          </w:p>
        </w:tc>
        <w:tc>
          <w:tcPr>
            <w:tcW w:w="600" w:type="dxa"/>
            <w:vAlign w:val="bottom"/>
          </w:tcPr>
          <w:p>
            <w:pPr>
              <w:spacing w:after="0"/>
              <w:rPr>
                <w:sz w:val="12"/>
                <w:szCs w:val="12"/>
                <w:color w:val="auto"/>
              </w:rPr>
            </w:pPr>
          </w:p>
        </w:tc>
        <w:tc>
          <w:tcPr>
            <w:tcW w:w="1060" w:type="dxa"/>
            <w:vAlign w:val="bottom"/>
          </w:tcPr>
          <w:p>
            <w:pPr>
              <w:jc w:val="right"/>
              <w:ind w:right="509"/>
              <w:spacing w:after="0" w:line="149" w:lineRule="exact"/>
              <w:rPr>
                <w:sz w:val="20"/>
                <w:szCs w:val="20"/>
                <w:color w:val="auto"/>
              </w:rPr>
            </w:pPr>
            <w:r>
              <w:rPr>
                <w:rFonts w:ascii="Arial" w:cs="Arial" w:eastAsia="Arial" w:hAnsi="Arial"/>
                <w:sz w:val="14"/>
                <w:szCs w:val="14"/>
                <w:color w:val="auto"/>
                <w:w w:val="90"/>
              </w:rPr>
              <w:t>191,330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43,395</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43,212</w:t>
            </w: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42,420</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44,821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56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149</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363</w:t>
            </w: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398</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561,348</w:t>
            </w:r>
          </w:p>
        </w:tc>
        <w:tc>
          <w:tcPr>
            <w:tcW w:w="4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600,042</w:t>
            </w:r>
          </w:p>
        </w:tc>
        <w:tc>
          <w:tcPr>
            <w:tcW w:w="4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w w:val="90"/>
              </w:rPr>
              <w:t>665,981</w:t>
            </w:r>
          </w:p>
        </w:tc>
        <w:tc>
          <w:tcPr>
            <w:tcW w:w="6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w w:val="90"/>
              </w:rPr>
              <w:t>647,720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280"/>
              <w:spacing w:after="0" w:line="155" w:lineRule="exact"/>
              <w:rPr>
                <w:sz w:val="20"/>
                <w:szCs w:val="20"/>
                <w:color w:val="auto"/>
              </w:rPr>
            </w:pPr>
            <w:r>
              <w:rPr>
                <w:rFonts w:ascii="Arial" w:cs="Arial" w:eastAsia="Arial" w:hAnsi="Arial"/>
                <w:sz w:val="14"/>
                <w:szCs w:val="14"/>
                <w:color w:val="auto"/>
              </w:rPr>
              <w:t>Income from operations</w:t>
            </w:r>
          </w:p>
        </w:tc>
        <w:tc>
          <w:tcPr>
            <w:tcW w:w="300" w:type="dxa"/>
            <w:vAlign w:val="bottom"/>
          </w:tcPr>
          <w:p>
            <w:pPr>
              <w:spacing w:after="0"/>
              <w:rPr>
                <w:sz w:val="13"/>
                <w:szCs w:val="13"/>
                <w:color w:val="auto"/>
              </w:rPr>
            </w:pPr>
          </w:p>
        </w:tc>
        <w:tc>
          <w:tcPr>
            <w:tcW w:w="90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79,092</w:t>
            </w:r>
          </w:p>
        </w:tc>
        <w:tc>
          <w:tcPr>
            <w:tcW w:w="460" w:type="dxa"/>
            <w:vAlign w:val="bottom"/>
          </w:tcPr>
          <w:p>
            <w:pPr>
              <w:spacing w:after="0"/>
              <w:rPr>
                <w:sz w:val="13"/>
                <w:szCs w:val="13"/>
                <w:color w:val="auto"/>
              </w:rPr>
            </w:pPr>
          </w:p>
        </w:tc>
        <w:tc>
          <w:tcPr>
            <w:tcW w:w="900" w:type="dxa"/>
            <w:vAlign w:val="bottom"/>
          </w:tcPr>
          <w:p>
            <w:pPr>
              <w:jc w:val="right"/>
              <w:ind w:right="369"/>
              <w:spacing w:after="0" w:line="155" w:lineRule="exact"/>
              <w:rPr>
                <w:sz w:val="20"/>
                <w:szCs w:val="20"/>
                <w:color w:val="auto"/>
              </w:rPr>
            </w:pPr>
            <w:r>
              <w:rPr>
                <w:rFonts w:ascii="Arial" w:cs="Arial" w:eastAsia="Arial" w:hAnsi="Arial"/>
                <w:sz w:val="14"/>
                <w:szCs w:val="14"/>
                <w:color w:val="auto"/>
                <w:w w:val="86"/>
              </w:rPr>
              <w:t>106,898</w:t>
            </w:r>
          </w:p>
        </w:tc>
        <w:tc>
          <w:tcPr>
            <w:tcW w:w="460" w:type="dxa"/>
            <w:vAlign w:val="bottom"/>
          </w:tcPr>
          <w:p>
            <w:pPr>
              <w:spacing w:after="0"/>
              <w:rPr>
                <w:sz w:val="13"/>
                <w:szCs w:val="13"/>
                <w:color w:val="auto"/>
              </w:rPr>
            </w:pPr>
          </w:p>
        </w:tc>
        <w:tc>
          <w:tcPr>
            <w:tcW w:w="1040" w:type="dxa"/>
            <w:vAlign w:val="bottom"/>
          </w:tcPr>
          <w:p>
            <w:pPr>
              <w:jc w:val="right"/>
              <w:ind w:right="489"/>
              <w:spacing w:after="0" w:line="155" w:lineRule="exact"/>
              <w:rPr>
                <w:sz w:val="20"/>
                <w:szCs w:val="20"/>
                <w:color w:val="auto"/>
              </w:rPr>
            </w:pPr>
            <w:r>
              <w:rPr>
                <w:rFonts w:ascii="Arial" w:cs="Arial" w:eastAsia="Arial" w:hAnsi="Arial"/>
                <w:sz w:val="14"/>
                <w:szCs w:val="14"/>
                <w:color w:val="auto"/>
              </w:rPr>
              <w:t>40,098</w:t>
            </w:r>
          </w:p>
        </w:tc>
        <w:tc>
          <w:tcPr>
            <w:tcW w:w="600" w:type="dxa"/>
            <w:vAlign w:val="bottom"/>
          </w:tcPr>
          <w:p>
            <w:pPr>
              <w:spacing w:after="0"/>
              <w:rPr>
                <w:sz w:val="13"/>
                <w:szCs w:val="13"/>
                <w:color w:val="auto"/>
              </w:rPr>
            </w:pPr>
          </w:p>
        </w:tc>
        <w:tc>
          <w:tcPr>
            <w:tcW w:w="1060" w:type="dxa"/>
            <w:vAlign w:val="bottom"/>
          </w:tcPr>
          <w:p>
            <w:pPr>
              <w:jc w:val="right"/>
              <w:ind w:right="509"/>
              <w:spacing w:after="0" w:line="155" w:lineRule="exact"/>
              <w:rPr>
                <w:sz w:val="20"/>
                <w:szCs w:val="20"/>
                <w:color w:val="auto"/>
              </w:rPr>
            </w:pPr>
            <w:r>
              <w:rPr>
                <w:rFonts w:ascii="Arial" w:cs="Arial" w:eastAsia="Arial" w:hAnsi="Arial"/>
                <w:sz w:val="14"/>
                <w:szCs w:val="14"/>
                <w:color w:val="auto"/>
                <w:w w:val="90"/>
              </w:rPr>
              <w:t>137,732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Equity in losses of affiliates</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(2,642)</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(5,524)</w:t>
            </w: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(1,116)</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2"/>
                <w:szCs w:val="12"/>
                <w:color w:val="auto"/>
              </w:rPr>
            </w:pPr>
          </w:p>
        </w:tc>
        <w:tc>
          <w:tcPr>
            <w:tcW w:w="90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114</w:t>
            </w:r>
          </w:p>
        </w:tc>
        <w:tc>
          <w:tcPr>
            <w:tcW w:w="460" w:type="dxa"/>
            <w:vAlign w:val="bottom"/>
          </w:tcPr>
          <w:p>
            <w:pPr>
              <w:spacing w:after="0"/>
              <w:rPr>
                <w:sz w:val="12"/>
                <w:szCs w:val="12"/>
                <w:color w:val="auto"/>
              </w:rPr>
            </w:pPr>
          </w:p>
        </w:tc>
        <w:tc>
          <w:tcPr>
            <w:tcW w:w="90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458</w:t>
            </w:r>
          </w:p>
        </w:tc>
        <w:tc>
          <w:tcPr>
            <w:tcW w:w="460" w:type="dxa"/>
            <w:vAlign w:val="bottom"/>
          </w:tcPr>
          <w:p>
            <w:pPr>
              <w:spacing w:after="0"/>
              <w:rPr>
                <w:sz w:val="12"/>
                <w:szCs w:val="12"/>
                <w:color w:val="auto"/>
              </w:rPr>
            </w:pPr>
          </w:p>
        </w:tc>
        <w:tc>
          <w:tcPr>
            <w:tcW w:w="104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189</w:t>
            </w:r>
          </w:p>
        </w:tc>
        <w:tc>
          <w:tcPr>
            <w:tcW w:w="600" w:type="dxa"/>
            <w:vAlign w:val="bottom"/>
          </w:tcPr>
          <w:p>
            <w:pPr>
              <w:spacing w:after="0"/>
              <w:rPr>
                <w:sz w:val="12"/>
                <w:szCs w:val="12"/>
                <w:color w:val="auto"/>
              </w:rPr>
            </w:pPr>
          </w:p>
        </w:tc>
        <w:tc>
          <w:tcPr>
            <w:tcW w:w="106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(7,237)</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(6,658)</w:t>
            </w: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(7,037)</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(6,872)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48,135</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2,274</w:t>
            </w: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1,565</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w w:val="86"/>
              </w:rPr>
              <w:t>117,462</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97,448</w:t>
            </w: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33,699</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w w:val="90"/>
              </w:rPr>
              <w:t>133,979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280"/>
              <w:spacing w:after="0" w:line="149" w:lineRule="exact"/>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44,400</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36,800</w:t>
            </w: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13,800</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46,500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73,062</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60,648</w:t>
            </w: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19,899</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87,479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80"/>
              <w:spacing w:after="0" w:line="149" w:lineRule="exact"/>
              <w:rPr>
                <w:sz w:val="20"/>
                <w:szCs w:val="20"/>
                <w:color w:val="auto"/>
              </w:rPr>
            </w:pPr>
            <w:r>
              <w:rPr>
                <w:rFonts w:ascii="Arial" w:cs="Arial" w:eastAsia="Arial" w:hAnsi="Arial"/>
                <w:sz w:val="14"/>
                <w:szCs w:val="14"/>
                <w:color w:val="auto"/>
              </w:rPr>
              <w:t>Redeemable preferred stock dividends</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9"/>
              <w:spacing w:after="0" w:line="149" w:lineRule="exact"/>
              <w:rPr>
                <w:sz w:val="20"/>
                <w:szCs w:val="20"/>
                <w:color w:val="auto"/>
              </w:rPr>
            </w:pPr>
            <w:r>
              <w:rPr>
                <w:rFonts w:ascii="Arial" w:cs="Arial" w:eastAsia="Arial" w:hAnsi="Arial"/>
                <w:sz w:val="14"/>
                <w:szCs w:val="14"/>
                <w:color w:val="auto"/>
              </w:rPr>
              <w:t>(517)</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9"/>
              <w:spacing w:after="0" w:line="149" w:lineRule="exact"/>
              <w:rPr>
                <w:sz w:val="20"/>
                <w:szCs w:val="20"/>
                <w:color w:val="auto"/>
              </w:rPr>
            </w:pPr>
            <w:r>
              <w:rPr>
                <w:rFonts w:ascii="Arial" w:cs="Arial" w:eastAsia="Arial" w:hAnsi="Arial"/>
                <w:sz w:val="14"/>
                <w:szCs w:val="14"/>
                <w:color w:val="auto"/>
              </w:rPr>
              <w:t>(258)</w:t>
            </w: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9"/>
              <w:spacing w:after="0" w:line="149" w:lineRule="exact"/>
              <w:rPr>
                <w:sz w:val="20"/>
                <w:szCs w:val="20"/>
                <w:color w:val="auto"/>
              </w:rPr>
            </w:pPr>
            <w:r>
              <w:rPr>
                <w:rFonts w:ascii="Arial" w:cs="Arial" w:eastAsia="Arial" w:hAnsi="Arial"/>
                <w:sz w:val="14"/>
                <w:szCs w:val="14"/>
                <w:color w:val="auto"/>
              </w:rPr>
              <w:t>(252)</w:t>
            </w: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available for common shares</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72,545</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60,390</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19,647</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87,479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vMerge w:val="restart"/>
          </w:tcPr>
          <w:p>
            <w:pPr>
              <w:ind w:left="280"/>
              <w:spacing w:after="0"/>
              <w:rPr>
                <w:sz w:val="20"/>
                <w:szCs w:val="20"/>
                <w:color w:val="auto"/>
              </w:rPr>
            </w:pPr>
            <w:r>
              <w:rPr>
                <w:rFonts w:ascii="Arial" w:cs="Arial" w:eastAsia="Arial" w:hAnsi="Arial"/>
                <w:sz w:val="14"/>
                <w:szCs w:val="14"/>
                <w:color w:val="auto"/>
              </w:rPr>
              <w:t>Basic earnings per common share</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vMerge w:val="continue"/>
          </w:tcPr>
          <w:p>
            <w:pPr>
              <w:spacing w:after="0"/>
              <w:rPr>
                <w:sz w:val="13"/>
                <w:szCs w:val="13"/>
                <w:color w:val="auto"/>
              </w:rPr>
            </w:pP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7.62</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6.34</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9"/>
              <w:spacing w:after="0" w:line="155" w:lineRule="exact"/>
              <w:rPr>
                <w:sz w:val="20"/>
                <w:szCs w:val="20"/>
                <w:color w:val="auto"/>
              </w:rPr>
            </w:pPr>
            <w:r>
              <w:rPr>
                <w:rFonts w:ascii="Arial" w:cs="Arial" w:eastAsia="Arial" w:hAnsi="Arial"/>
                <w:sz w:val="14"/>
                <w:szCs w:val="14"/>
                <w:color w:val="auto"/>
              </w:rPr>
              <w:t>2.06</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9"/>
              <w:spacing w:after="0" w:line="155" w:lineRule="exact"/>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earnings per common share</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7.59</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6.32</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2.06</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vMerge w:val="restart"/>
          </w:tcPr>
          <w:p>
            <w:pPr>
              <w:ind w:left="280"/>
              <w:spacing w:after="0"/>
              <w:rPr>
                <w:sz w:val="20"/>
                <w:szCs w:val="20"/>
                <w:color w:val="auto"/>
              </w:rPr>
            </w:pPr>
            <w:r>
              <w:rPr>
                <w:rFonts w:ascii="Arial" w:cs="Arial" w:eastAsia="Arial" w:hAnsi="Arial"/>
                <w:sz w:val="14"/>
                <w:szCs w:val="14"/>
                <w:color w:val="auto"/>
              </w:rPr>
              <w:t>Basic average shares outstanding</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9,526</w:t>
            </w:r>
          </w:p>
        </w:tc>
        <w:tc>
          <w:tcPr>
            <w:tcW w:w="460" w:type="dxa"/>
            <w:vAlign w:val="bottom"/>
          </w:tcPr>
          <w:p>
            <w:pPr>
              <w:spacing w:after="0"/>
              <w:rPr>
                <w:sz w:val="13"/>
                <w:szCs w:val="13"/>
                <w:color w:val="auto"/>
              </w:rPr>
            </w:pPr>
          </w:p>
        </w:tc>
        <w:tc>
          <w:tcPr>
            <w:tcW w:w="90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9,527</w:t>
            </w:r>
          </w:p>
        </w:tc>
        <w:tc>
          <w:tcPr>
            <w:tcW w:w="460" w:type="dxa"/>
            <w:vAlign w:val="bottom"/>
          </w:tcPr>
          <w:p>
            <w:pPr>
              <w:spacing w:after="0"/>
              <w:rPr>
                <w:sz w:val="13"/>
                <w:szCs w:val="13"/>
                <w:color w:val="auto"/>
              </w:rPr>
            </w:pPr>
          </w:p>
        </w:tc>
        <w:tc>
          <w:tcPr>
            <w:tcW w:w="1040" w:type="dxa"/>
            <w:vAlign w:val="bottom"/>
          </w:tcPr>
          <w:p>
            <w:pPr>
              <w:jc w:val="right"/>
              <w:ind w:right="489"/>
              <w:spacing w:after="0" w:line="155" w:lineRule="exact"/>
              <w:rPr>
                <w:sz w:val="20"/>
                <w:szCs w:val="20"/>
                <w:color w:val="auto"/>
              </w:rPr>
            </w:pPr>
            <w:r>
              <w:rPr>
                <w:rFonts w:ascii="Arial" w:cs="Arial" w:eastAsia="Arial" w:hAnsi="Arial"/>
                <w:sz w:val="14"/>
                <w:szCs w:val="14"/>
                <w:color w:val="auto"/>
              </w:rPr>
              <w:t>9,532</w:t>
            </w:r>
          </w:p>
        </w:tc>
        <w:tc>
          <w:tcPr>
            <w:tcW w:w="600" w:type="dxa"/>
            <w:vAlign w:val="bottom"/>
          </w:tcPr>
          <w:p>
            <w:pPr>
              <w:spacing w:after="0"/>
              <w:rPr>
                <w:sz w:val="13"/>
                <w:szCs w:val="13"/>
                <w:color w:val="auto"/>
              </w:rPr>
            </w:pPr>
          </w:p>
        </w:tc>
        <w:tc>
          <w:tcPr>
            <w:tcW w:w="1060" w:type="dxa"/>
            <w:vAlign w:val="bottom"/>
          </w:tcPr>
          <w:p>
            <w:pPr>
              <w:jc w:val="right"/>
              <w:ind w:right="509"/>
              <w:spacing w:after="0" w:line="155" w:lineRule="exact"/>
              <w:rPr>
                <w:sz w:val="20"/>
                <w:szCs w:val="20"/>
                <w:color w:val="auto"/>
              </w:rPr>
            </w:pPr>
            <w:r>
              <w:rPr>
                <w:rFonts w:ascii="Arial" w:cs="Arial" w:eastAsia="Arial" w:hAnsi="Arial"/>
                <w:sz w:val="14"/>
                <w:szCs w:val="14"/>
                <w:color w:val="auto"/>
              </w:rPr>
              <w:t>9,536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average shares outstanding</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9,553</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9,555</w:t>
            </w: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9,556</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9,563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80"/>
              <w:spacing w:after="0" w:line="149" w:lineRule="exact"/>
              <w:rPr>
                <w:sz w:val="20"/>
                <w:szCs w:val="20"/>
                <w:color w:val="auto"/>
              </w:rPr>
            </w:pPr>
            <w:r>
              <w:rPr>
                <w:rFonts w:ascii="Arial" w:cs="Arial" w:eastAsia="Arial" w:hAnsi="Arial"/>
                <w:sz w:val="14"/>
                <w:szCs w:val="14"/>
                <w:color w:val="auto"/>
              </w:rPr>
              <w:t>2003 Quarterly comprehensive income</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61,417</w:t>
            </w: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69"/>
              <w:spacing w:after="0" w:line="149" w:lineRule="exact"/>
              <w:rPr>
                <w:sz w:val="20"/>
                <w:szCs w:val="20"/>
                <w:color w:val="auto"/>
              </w:rPr>
            </w:pPr>
            <w:r>
              <w:rPr>
                <w:rFonts w:ascii="Arial" w:cs="Arial" w:eastAsia="Arial" w:hAnsi="Arial"/>
                <w:sz w:val="14"/>
                <w:szCs w:val="14"/>
                <w:color w:val="auto"/>
              </w:rPr>
              <w:t>79,992</w:t>
            </w: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24,158</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w w:val="90"/>
              </w:rPr>
              <w:t>106,596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four quarters may not necessarily be equal to the annual amounts reported in the Consolidated Statements of Income due to rounding.</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(1) Results for the third quarter of 2003 include $74.6 million in pre-tax Kaplan stock compensation expense at the education division.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Quarterly impact from certain unusual items (after-tax and diluted EPS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180" w:type="dxa"/>
            <w:vAlign w:val="bottom"/>
          </w:tcPr>
          <w:p>
            <w:pPr>
              <w:jc w:val="center"/>
              <w:ind w:right="114"/>
              <w:spacing w:after="0"/>
              <w:rPr>
                <w:sz w:val="20"/>
                <w:szCs w:val="20"/>
                <w:color w:val="auto"/>
              </w:rPr>
            </w:pPr>
            <w:r>
              <w:rPr>
                <w:rFonts w:ascii="Arial" w:cs="Arial" w:eastAsia="Arial" w:hAnsi="Arial"/>
                <w:sz w:val="13"/>
                <w:szCs w:val="13"/>
                <w:color w:val="auto"/>
                <w:w w:val="94"/>
              </w:rPr>
              <w:t>First</w:t>
            </w:r>
          </w:p>
        </w:tc>
        <w:tc>
          <w:tcPr>
            <w:tcW w:w="1380" w:type="dxa"/>
            <w:vAlign w:val="bottom"/>
          </w:tcPr>
          <w:p>
            <w:pPr>
              <w:ind w:left="500"/>
              <w:spacing w:after="0"/>
              <w:rPr>
                <w:sz w:val="20"/>
                <w:szCs w:val="20"/>
                <w:color w:val="auto"/>
              </w:rPr>
            </w:pPr>
            <w:r>
              <w:rPr>
                <w:rFonts w:ascii="Arial" w:cs="Arial" w:eastAsia="Arial" w:hAnsi="Arial"/>
                <w:sz w:val="13"/>
                <w:szCs w:val="13"/>
                <w:color w:val="auto"/>
              </w:rPr>
              <w:t>Second</w:t>
            </w:r>
          </w:p>
        </w:tc>
        <w:tc>
          <w:tcPr>
            <w:tcW w:w="1240" w:type="dxa"/>
            <w:vAlign w:val="bottom"/>
          </w:tcPr>
          <w:p>
            <w:pPr>
              <w:jc w:val="center"/>
              <w:spacing w:after="0"/>
              <w:rPr>
                <w:sz w:val="20"/>
                <w:szCs w:val="20"/>
                <w:color w:val="auto"/>
              </w:rPr>
            </w:pPr>
            <w:r>
              <w:rPr>
                <w:rFonts w:ascii="Arial" w:cs="Arial" w:eastAsia="Arial" w:hAnsi="Arial"/>
                <w:sz w:val="13"/>
                <w:szCs w:val="13"/>
                <w:color w:val="auto"/>
                <w:w w:val="94"/>
              </w:rPr>
              <w:t>Third</w:t>
            </w:r>
          </w:p>
        </w:tc>
        <w:tc>
          <w:tcPr>
            <w:tcW w:w="1120" w:type="dxa"/>
            <w:vAlign w:val="bottom"/>
          </w:tcPr>
          <w:p>
            <w:pPr>
              <w:ind w:left="460"/>
              <w:spacing w:after="0"/>
              <w:rPr>
                <w:sz w:val="20"/>
                <w:szCs w:val="20"/>
                <w:color w:val="auto"/>
              </w:rPr>
            </w:pPr>
            <w:r>
              <w:rPr>
                <w:rFonts w:ascii="Arial" w:cs="Arial" w:eastAsia="Arial" w:hAnsi="Arial"/>
                <w:sz w:val="13"/>
                <w:szCs w:val="13"/>
                <w:color w:val="auto"/>
              </w:rPr>
              <w:t>Fourth</w:t>
            </w:r>
          </w:p>
        </w:tc>
      </w:tr>
      <w:tr>
        <w:trPr>
          <w:trHeight w:val="156"/>
        </w:trPr>
        <w:tc>
          <w:tcPr>
            <w:tcW w:w="20" w:type="dxa"/>
            <w:vAlign w:val="bottom"/>
          </w:tcPr>
          <w:p>
            <w:pPr>
              <w:spacing w:after="0"/>
              <w:rPr>
                <w:sz w:val="13"/>
                <w:szCs w:val="13"/>
                <w:color w:val="auto"/>
              </w:rPr>
            </w:pPr>
          </w:p>
        </w:tc>
        <w:tc>
          <w:tcPr>
            <w:tcW w:w="6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86"/>
              </w:rPr>
              <w:t>Quarter</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rPr>
              <w:t>Quarter</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Quarter</w:t>
            </w: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Quarter</w:t>
            </w:r>
          </w:p>
        </w:tc>
      </w:tr>
      <w:tr>
        <w:trPr>
          <w:trHeight w:val="130"/>
        </w:trPr>
        <w:tc>
          <w:tcPr>
            <w:tcW w:w="20" w:type="dxa"/>
            <w:vAlign w:val="bottom"/>
          </w:tcPr>
          <w:p>
            <w:pPr>
              <w:spacing w:after="0"/>
              <w:rPr>
                <w:sz w:val="11"/>
                <w:szCs w:val="11"/>
                <w:color w:val="auto"/>
              </w:rPr>
            </w:pPr>
          </w:p>
        </w:tc>
        <w:tc>
          <w:tcPr>
            <w:tcW w:w="6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Early retirement program charges ($1.3 million and $19.5 million in the second and fourth quarters,</w:t>
            </w:r>
          </w:p>
        </w:tc>
        <w:tc>
          <w:tcPr>
            <w:tcW w:w="1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respectively)</w:t>
            </w:r>
          </w:p>
        </w:tc>
        <w:tc>
          <w:tcPr>
            <w:tcW w:w="1180" w:type="dxa"/>
            <w:vAlign w:val="bottom"/>
            <w:shd w:val="clear" w:color="auto" w:fill="CCEEFF"/>
          </w:tcPr>
          <w:p>
            <w:pPr>
              <w:spacing w:after="0"/>
              <w:rPr>
                <w:sz w:val="14"/>
                <w:szCs w:val="14"/>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 (0.14)</w:t>
            </w:r>
          </w:p>
        </w:tc>
        <w:tc>
          <w:tcPr>
            <w:tcW w:w="1240" w:type="dxa"/>
            <w:vAlign w:val="bottom"/>
            <w:shd w:val="clear" w:color="auto" w:fill="CCEEFF"/>
          </w:tcPr>
          <w:p>
            <w:pPr>
              <w:spacing w:after="0"/>
              <w:rPr>
                <w:sz w:val="14"/>
                <w:szCs w:val="14"/>
                <w:color w:val="auto"/>
              </w:rPr>
            </w:pPr>
          </w:p>
        </w:tc>
        <w:tc>
          <w:tcPr>
            <w:tcW w:w="11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 (2.04)</w:t>
            </w: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Gain on sale of IHT ($32.3 million)</w:t>
            </w: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82"/>
              </w:rPr>
              <w:t>$ 3.38</w:t>
            </w:r>
          </w:p>
        </w:tc>
        <w:tc>
          <w:tcPr>
            <w:tcW w:w="1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land ($25.5 million)</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$ 2.66</w:t>
            </w: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Kaplan stock compensation expense for 10% premium on Kaplan stock option offer ($6.4 million)</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ind w:left="420"/>
              <w:spacing w:after="0" w:line="149" w:lineRule="exact"/>
              <w:rPr>
                <w:sz w:val="20"/>
                <w:szCs w:val="20"/>
                <w:color w:val="auto"/>
              </w:rPr>
            </w:pPr>
            <w:r>
              <w:rPr>
                <w:rFonts w:ascii="Arial" w:cs="Arial" w:eastAsia="Arial" w:hAnsi="Arial"/>
                <w:sz w:val="14"/>
                <w:szCs w:val="14"/>
                <w:color w:val="auto"/>
              </w:rPr>
              <w:t>$(0.67)</w:t>
            </w: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Establishment of Kaplan Educational Foundation ($3.9 million)</w:t>
            </w:r>
          </w:p>
        </w:tc>
        <w:tc>
          <w:tcPr>
            <w:tcW w:w="11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$(0.41)</w:t>
            </w: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1" w:name="page62"/>
    <w:bookmarkEnd w:id="61"/>
    <w:p>
      <w:pPr>
        <w:jc w:val="right"/>
        <w:ind w:right="325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2"/>
          </w:tcPr>
          <w:p>
            <w:pPr>
              <w:ind w:left="540"/>
              <w:spacing w:after="0"/>
              <w:rPr>
                <w:sz w:val="20"/>
                <w:szCs w:val="20"/>
                <w:color w:val="auto"/>
              </w:rPr>
            </w:pPr>
            <w:r>
              <w:rPr>
                <w:rFonts w:ascii="Arial" w:cs="Arial" w:eastAsia="Arial" w:hAnsi="Arial"/>
                <w:sz w:val="14"/>
                <w:szCs w:val="14"/>
                <w:b w:val="1"/>
                <w:bCs w:val="1"/>
                <w:color w:val="auto"/>
              </w:rPr>
              <w:t>SCHEDULE II</w:t>
            </w:r>
          </w:p>
        </w:tc>
      </w:tr>
      <w:tr>
        <w:trPr>
          <w:trHeight w:val="257"/>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660" w:type="dxa"/>
            <w:vAlign w:val="bottom"/>
            <w:gridSpan w:val="4"/>
          </w:tcPr>
          <w:p>
            <w:pPr>
              <w:jc w:val="right"/>
              <w:ind w:right="1211"/>
              <w:spacing w:after="0"/>
              <w:rPr>
                <w:sz w:val="20"/>
                <w:szCs w:val="20"/>
                <w:color w:val="auto"/>
              </w:rPr>
            </w:pPr>
            <w:r>
              <w:rPr>
                <w:rFonts w:ascii="Arial" w:cs="Arial" w:eastAsia="Arial" w:hAnsi="Arial"/>
                <w:sz w:val="14"/>
                <w:szCs w:val="14"/>
                <w:b w:val="1"/>
                <w:bCs w:val="1"/>
                <w:color w:val="auto"/>
              </w:rPr>
              <w:t>THE WASHINGTON POST COMPANY</w:t>
            </w: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6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SCHEDULE II — VALUATION AND QUALIFYING ACCOUNTS</w:t>
            </w: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auto"/>
              <w:bottom w:val="single" w:sz="8" w:color="auto"/>
            </w:tcBorders>
          </w:tcPr>
          <w:p>
            <w:pPr>
              <w:ind w:left="1860"/>
              <w:spacing w:after="0" w:line="143" w:lineRule="exact"/>
              <w:rPr>
                <w:sz w:val="20"/>
                <w:szCs w:val="20"/>
                <w:color w:val="auto"/>
              </w:rPr>
            </w:pPr>
            <w:r>
              <w:rPr>
                <w:rFonts w:ascii="Arial" w:cs="Arial" w:eastAsia="Arial" w:hAnsi="Arial"/>
                <w:sz w:val="13"/>
                <w:szCs w:val="13"/>
                <w:color w:val="auto"/>
              </w:rPr>
              <w:t>Column A</w:t>
            </w:r>
          </w:p>
        </w:tc>
        <w:tc>
          <w:tcPr>
            <w:tcW w:w="94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center"/>
              <w:ind w:right="193"/>
              <w:spacing w:after="0" w:line="143" w:lineRule="exact"/>
              <w:rPr>
                <w:sz w:val="20"/>
                <w:szCs w:val="20"/>
                <w:color w:val="auto"/>
              </w:rPr>
            </w:pPr>
            <w:r>
              <w:rPr>
                <w:rFonts w:ascii="Arial" w:cs="Arial" w:eastAsia="Arial" w:hAnsi="Arial"/>
                <w:sz w:val="13"/>
                <w:szCs w:val="13"/>
                <w:color w:val="auto"/>
                <w:w w:val="91"/>
              </w:rPr>
              <w:t>Column B</w:t>
            </w:r>
          </w:p>
        </w:tc>
        <w:tc>
          <w:tcPr>
            <w:tcW w:w="6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ind w:right="691"/>
              <w:spacing w:after="0" w:line="143" w:lineRule="exact"/>
              <w:rPr>
                <w:sz w:val="20"/>
                <w:szCs w:val="20"/>
                <w:color w:val="auto"/>
              </w:rPr>
            </w:pPr>
            <w:r>
              <w:rPr>
                <w:rFonts w:ascii="Arial" w:cs="Arial" w:eastAsia="Arial" w:hAnsi="Arial"/>
                <w:sz w:val="13"/>
                <w:szCs w:val="13"/>
                <w:color w:val="auto"/>
                <w:w w:val="89"/>
              </w:rPr>
              <w:t>Column C</w:t>
            </w:r>
          </w:p>
        </w:tc>
        <w:tc>
          <w:tcPr>
            <w:tcW w:w="5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0"/>
              <w:spacing w:after="0" w:line="143" w:lineRule="exact"/>
              <w:rPr>
                <w:sz w:val="20"/>
                <w:szCs w:val="20"/>
                <w:color w:val="auto"/>
              </w:rPr>
            </w:pPr>
            <w:r>
              <w:rPr>
                <w:rFonts w:ascii="Arial" w:cs="Arial" w:eastAsia="Arial" w:hAnsi="Arial"/>
                <w:sz w:val="13"/>
                <w:szCs w:val="13"/>
                <w:color w:val="auto"/>
                <w:w w:val="93"/>
              </w:rPr>
              <w:t>Column D</w:t>
            </w:r>
          </w:p>
        </w:tc>
        <w:tc>
          <w:tcPr>
            <w:tcW w:w="1480" w:type="dxa"/>
            <w:vAlign w:val="bottom"/>
            <w:tcBorders>
              <w:top w:val="single" w:sz="8" w:color="auto"/>
              <w:bottom w:val="single" w:sz="8" w:color="auto"/>
            </w:tcBorders>
          </w:tcPr>
          <w:p>
            <w:pPr>
              <w:jc w:val="center"/>
              <w:ind w:left="51"/>
              <w:spacing w:after="0" w:line="143" w:lineRule="exact"/>
              <w:rPr>
                <w:sz w:val="20"/>
                <w:szCs w:val="20"/>
                <w:color w:val="auto"/>
              </w:rPr>
            </w:pPr>
            <w:r>
              <w:rPr>
                <w:rFonts w:ascii="Arial" w:cs="Arial" w:eastAsia="Arial" w:hAnsi="Arial"/>
                <w:sz w:val="13"/>
                <w:szCs w:val="13"/>
                <w:color w:val="auto"/>
                <w:w w:val="91"/>
              </w:rPr>
              <w:t>Column E</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tcPr>
          <w:p>
            <w:pPr>
              <w:jc w:val="center"/>
              <w:ind w:right="671"/>
              <w:spacing w:after="0" w:line="128" w:lineRule="exact"/>
              <w:rPr>
                <w:sz w:val="20"/>
                <w:szCs w:val="20"/>
                <w:color w:val="auto"/>
              </w:rPr>
            </w:pPr>
            <w:r>
              <w:rPr>
                <w:rFonts w:ascii="Arial" w:cs="Arial" w:eastAsia="Arial" w:hAnsi="Arial"/>
                <w:sz w:val="13"/>
                <w:szCs w:val="13"/>
                <w:color w:val="auto"/>
                <w:w w:val="90"/>
              </w:rPr>
              <w:t>Additions –</w:t>
            </w: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jc w:val="center"/>
              <w:ind w:right="193"/>
              <w:spacing w:after="0" w:line="135" w:lineRule="exact"/>
              <w:rPr>
                <w:sz w:val="20"/>
                <w:szCs w:val="20"/>
                <w:color w:val="auto"/>
              </w:rPr>
            </w:pPr>
            <w:r>
              <w:rPr>
                <w:rFonts w:ascii="Arial" w:cs="Arial" w:eastAsia="Arial" w:hAnsi="Arial"/>
                <w:sz w:val="13"/>
                <w:szCs w:val="13"/>
                <w:color w:val="auto"/>
                <w:w w:val="84"/>
              </w:rPr>
              <w:t>Balance at</w:t>
            </w:r>
          </w:p>
        </w:tc>
        <w:tc>
          <w:tcPr>
            <w:tcW w:w="660" w:type="dxa"/>
            <w:vAlign w:val="bottom"/>
          </w:tcPr>
          <w:p>
            <w:pPr>
              <w:spacing w:after="0"/>
              <w:rPr>
                <w:sz w:val="11"/>
                <w:szCs w:val="11"/>
                <w:color w:val="auto"/>
              </w:rPr>
            </w:pPr>
          </w:p>
        </w:tc>
        <w:tc>
          <w:tcPr>
            <w:tcW w:w="1360" w:type="dxa"/>
            <w:vAlign w:val="bottom"/>
          </w:tcPr>
          <w:p>
            <w:pPr>
              <w:jc w:val="center"/>
              <w:ind w:right="691"/>
              <w:spacing w:after="0" w:line="135" w:lineRule="exact"/>
              <w:rPr>
                <w:sz w:val="20"/>
                <w:szCs w:val="20"/>
                <w:color w:val="auto"/>
              </w:rPr>
            </w:pPr>
            <w:r>
              <w:rPr>
                <w:rFonts w:ascii="Arial" w:cs="Arial" w:eastAsia="Arial" w:hAnsi="Arial"/>
                <w:sz w:val="13"/>
                <w:szCs w:val="13"/>
                <w:color w:val="auto"/>
                <w:w w:val="87"/>
              </w:rPr>
              <w:t>Charged to</w:t>
            </w: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jc w:val="center"/>
              <w:ind w:left="31"/>
              <w:spacing w:after="0" w:line="135" w:lineRule="exact"/>
              <w:rPr>
                <w:sz w:val="20"/>
                <w:szCs w:val="20"/>
                <w:color w:val="auto"/>
              </w:rPr>
            </w:pPr>
            <w:r>
              <w:rPr>
                <w:rFonts w:ascii="Arial" w:cs="Arial" w:eastAsia="Arial" w:hAnsi="Arial"/>
                <w:sz w:val="13"/>
                <w:szCs w:val="13"/>
                <w:color w:val="auto"/>
                <w:w w:val="84"/>
              </w:rPr>
              <w:t>Balance at</w:t>
            </w: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jc w:val="center"/>
              <w:ind w:right="193"/>
              <w:spacing w:after="0" w:line="135" w:lineRule="exact"/>
              <w:rPr>
                <w:sz w:val="20"/>
                <w:szCs w:val="20"/>
                <w:color w:val="auto"/>
              </w:rPr>
            </w:pPr>
            <w:r>
              <w:rPr>
                <w:rFonts w:ascii="Arial" w:cs="Arial" w:eastAsia="Arial" w:hAnsi="Arial"/>
                <w:sz w:val="13"/>
                <w:szCs w:val="13"/>
                <w:color w:val="auto"/>
                <w:w w:val="89"/>
              </w:rPr>
              <w:t>Beginning</w:t>
            </w:r>
          </w:p>
        </w:tc>
        <w:tc>
          <w:tcPr>
            <w:tcW w:w="660" w:type="dxa"/>
            <w:vAlign w:val="bottom"/>
          </w:tcPr>
          <w:p>
            <w:pPr>
              <w:spacing w:after="0"/>
              <w:rPr>
                <w:sz w:val="11"/>
                <w:szCs w:val="11"/>
                <w:color w:val="auto"/>
              </w:rPr>
            </w:pPr>
          </w:p>
        </w:tc>
        <w:tc>
          <w:tcPr>
            <w:tcW w:w="1360" w:type="dxa"/>
            <w:vAlign w:val="bottom"/>
          </w:tcPr>
          <w:p>
            <w:pPr>
              <w:jc w:val="center"/>
              <w:ind w:right="671"/>
              <w:spacing w:after="0" w:line="135" w:lineRule="exact"/>
              <w:rPr>
                <w:sz w:val="20"/>
                <w:szCs w:val="20"/>
                <w:color w:val="auto"/>
              </w:rPr>
            </w:pPr>
            <w:r>
              <w:rPr>
                <w:rFonts w:ascii="Arial" w:cs="Arial" w:eastAsia="Arial" w:hAnsi="Arial"/>
                <w:sz w:val="13"/>
                <w:szCs w:val="13"/>
                <w:color w:val="auto"/>
                <w:w w:val="85"/>
              </w:rPr>
              <w:t>Costs and</w:t>
            </w: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jc w:val="center"/>
              <w:ind w:left="11"/>
              <w:spacing w:after="0" w:line="135" w:lineRule="exact"/>
              <w:rPr>
                <w:sz w:val="20"/>
                <w:szCs w:val="20"/>
                <w:color w:val="auto"/>
              </w:rPr>
            </w:pPr>
            <w:r>
              <w:rPr>
                <w:rFonts w:ascii="Arial" w:cs="Arial" w:eastAsia="Arial" w:hAnsi="Arial"/>
                <w:sz w:val="13"/>
                <w:szCs w:val="13"/>
                <w:color w:val="auto"/>
                <w:w w:val="90"/>
              </w:rPr>
              <w:t>End of</w:t>
            </w:r>
          </w:p>
        </w:tc>
      </w:tr>
      <w:tr>
        <w:trPr>
          <w:trHeight w:val="156"/>
        </w:trPr>
        <w:tc>
          <w:tcPr>
            <w:tcW w:w="20" w:type="dxa"/>
            <w:vAlign w:val="bottom"/>
          </w:tcPr>
          <w:p>
            <w:pPr>
              <w:spacing w:after="0"/>
              <w:rPr>
                <w:sz w:val="13"/>
                <w:szCs w:val="13"/>
                <w:color w:val="auto"/>
              </w:rPr>
            </w:pPr>
          </w:p>
        </w:tc>
        <w:tc>
          <w:tcPr>
            <w:tcW w:w="3580" w:type="dxa"/>
            <w:vAlign w:val="bottom"/>
          </w:tcPr>
          <w:p>
            <w:pPr>
              <w:ind w:left="1820"/>
              <w:spacing w:after="0"/>
              <w:rPr>
                <w:sz w:val="20"/>
                <w:szCs w:val="20"/>
                <w:color w:val="auto"/>
              </w:rPr>
            </w:pPr>
            <w:r>
              <w:rPr>
                <w:rFonts w:ascii="Arial" w:cs="Arial" w:eastAsia="Arial" w:hAnsi="Arial"/>
                <w:sz w:val="13"/>
                <w:szCs w:val="13"/>
                <w:color w:val="auto"/>
              </w:rPr>
              <w:t>Description</w:t>
            </w:r>
          </w:p>
        </w:tc>
        <w:tc>
          <w:tcPr>
            <w:tcW w:w="940" w:type="dxa"/>
            <w:vAlign w:val="bottom"/>
          </w:tcPr>
          <w:p>
            <w:pPr>
              <w:spacing w:after="0"/>
              <w:rPr>
                <w:sz w:val="13"/>
                <w:szCs w:val="13"/>
                <w:color w:val="auto"/>
              </w:rPr>
            </w:pPr>
          </w:p>
        </w:tc>
        <w:tc>
          <w:tcPr>
            <w:tcW w:w="1700" w:type="dxa"/>
            <w:vAlign w:val="bottom"/>
          </w:tcPr>
          <w:p>
            <w:pPr>
              <w:jc w:val="center"/>
              <w:ind w:right="193"/>
              <w:spacing w:after="0"/>
              <w:rPr>
                <w:sz w:val="20"/>
                <w:szCs w:val="20"/>
                <w:color w:val="auto"/>
              </w:rPr>
            </w:pPr>
            <w:r>
              <w:rPr>
                <w:rFonts w:ascii="Arial" w:cs="Arial" w:eastAsia="Arial" w:hAnsi="Arial"/>
                <w:sz w:val="13"/>
                <w:szCs w:val="13"/>
                <w:color w:val="auto"/>
                <w:w w:val="92"/>
              </w:rPr>
              <w:t>of Period</w:t>
            </w:r>
          </w:p>
        </w:tc>
        <w:tc>
          <w:tcPr>
            <w:tcW w:w="660" w:type="dxa"/>
            <w:vAlign w:val="bottom"/>
          </w:tcPr>
          <w:p>
            <w:pPr>
              <w:spacing w:after="0"/>
              <w:rPr>
                <w:sz w:val="13"/>
                <w:szCs w:val="13"/>
                <w:color w:val="auto"/>
              </w:rPr>
            </w:pPr>
          </w:p>
        </w:tc>
        <w:tc>
          <w:tcPr>
            <w:tcW w:w="1360" w:type="dxa"/>
            <w:vAlign w:val="bottom"/>
          </w:tcPr>
          <w:p>
            <w:pPr>
              <w:jc w:val="center"/>
              <w:ind w:right="691"/>
              <w:spacing w:after="0"/>
              <w:rPr>
                <w:sz w:val="20"/>
                <w:szCs w:val="20"/>
                <w:color w:val="auto"/>
              </w:rPr>
            </w:pPr>
            <w:r>
              <w:rPr>
                <w:rFonts w:ascii="Arial" w:cs="Arial" w:eastAsia="Arial" w:hAnsi="Arial"/>
                <w:sz w:val="13"/>
                <w:szCs w:val="13"/>
                <w:color w:val="auto"/>
                <w:w w:val="84"/>
              </w:rPr>
              <w:t>Expenses</w:t>
            </w:r>
          </w:p>
        </w:tc>
        <w:tc>
          <w:tcPr>
            <w:tcW w:w="540" w:type="dxa"/>
            <w:vAlign w:val="bottom"/>
          </w:tcPr>
          <w:p>
            <w:pPr>
              <w:spacing w:after="0"/>
              <w:rPr>
                <w:sz w:val="13"/>
                <w:szCs w:val="13"/>
                <w:color w:val="auto"/>
              </w:rPr>
            </w:pPr>
          </w:p>
        </w:tc>
        <w:tc>
          <w:tcPr>
            <w:tcW w:w="1140" w:type="dxa"/>
            <w:vAlign w:val="bottom"/>
          </w:tcPr>
          <w:p>
            <w:pPr>
              <w:jc w:val="right"/>
              <w:ind w:right="470"/>
              <w:spacing w:after="0"/>
              <w:rPr>
                <w:sz w:val="20"/>
                <w:szCs w:val="20"/>
                <w:color w:val="auto"/>
              </w:rPr>
            </w:pPr>
            <w:r>
              <w:rPr>
                <w:rFonts w:ascii="Arial" w:cs="Arial" w:eastAsia="Arial" w:hAnsi="Arial"/>
                <w:sz w:val="13"/>
                <w:szCs w:val="13"/>
                <w:color w:val="auto"/>
                <w:w w:val="89"/>
              </w:rPr>
              <w:t>Deductions</w:t>
            </w:r>
          </w:p>
        </w:tc>
        <w:tc>
          <w:tcPr>
            <w:tcW w:w="1500" w:type="dxa"/>
            <w:vAlign w:val="bottom"/>
            <w:gridSpan w:val="2"/>
          </w:tcPr>
          <w:p>
            <w:pPr>
              <w:jc w:val="center"/>
              <w:ind w:left="31"/>
              <w:spacing w:after="0"/>
              <w:rPr>
                <w:sz w:val="20"/>
                <w:szCs w:val="20"/>
                <w:color w:val="auto"/>
              </w:rPr>
            </w:pPr>
            <w:r>
              <w:rPr>
                <w:rFonts w:ascii="Arial" w:cs="Arial" w:eastAsia="Arial" w:hAnsi="Arial"/>
                <w:sz w:val="13"/>
                <w:szCs w:val="13"/>
                <w:color w:val="auto"/>
                <w:w w:val="85"/>
              </w:rPr>
              <w:t>Period</w:t>
            </w:r>
          </w:p>
        </w:tc>
      </w:tr>
      <w:tr>
        <w:trPr>
          <w:trHeight w:val="149"/>
        </w:trPr>
        <w:tc>
          <w:tcPr>
            <w:tcW w:w="20" w:type="dxa"/>
            <w:vAlign w:val="bottom"/>
          </w:tcPr>
          <w:p>
            <w:pPr>
              <w:spacing w:after="0"/>
              <w:rPr>
                <w:sz w:val="12"/>
                <w:szCs w:val="12"/>
                <w:color w:val="auto"/>
              </w:rPr>
            </w:pPr>
          </w:p>
        </w:tc>
        <w:tc>
          <w:tcPr>
            <w:tcW w:w="35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29, 2002</w:t>
            </w:r>
          </w:p>
        </w:tc>
        <w:tc>
          <w:tcPr>
            <w:tcW w:w="94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2640" w:type="dxa"/>
            <w:vAlign w:val="bottom"/>
            <w:gridSpan w:val="2"/>
          </w:tcPr>
          <w:p>
            <w:pPr>
              <w:jc w:val="right"/>
              <w:ind w:right="533"/>
              <w:spacing w:after="0" w:line="149" w:lineRule="exact"/>
              <w:rPr>
                <w:sz w:val="20"/>
                <w:szCs w:val="20"/>
                <w:color w:val="auto"/>
              </w:rPr>
            </w:pPr>
            <w:r>
              <w:rPr>
                <w:rFonts w:ascii="Arial" w:cs="Arial" w:eastAsia="Arial" w:hAnsi="Arial"/>
                <w:sz w:val="14"/>
                <w:szCs w:val="14"/>
                <w:color w:val="auto"/>
              </w:rPr>
              <w:t>$ 67,969,000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571"/>
              <w:spacing w:after="0" w:line="149" w:lineRule="exact"/>
              <w:rPr>
                <w:sz w:val="20"/>
                <w:szCs w:val="20"/>
                <w:color w:val="auto"/>
              </w:rPr>
            </w:pPr>
            <w:r>
              <w:rPr>
                <w:rFonts w:ascii="Arial" w:cs="Arial" w:eastAsia="Arial" w:hAnsi="Arial"/>
                <w:sz w:val="14"/>
                <w:szCs w:val="14"/>
                <w:color w:val="auto"/>
                <w:w w:val="99"/>
              </w:rPr>
              <w:t>91,091,000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350"/>
              <w:spacing w:after="0" w:line="149" w:lineRule="exact"/>
              <w:rPr>
                <w:sz w:val="20"/>
                <w:szCs w:val="20"/>
                <w:color w:val="auto"/>
              </w:rPr>
            </w:pPr>
            <w:r>
              <w:rPr>
                <w:rFonts w:ascii="Arial" w:cs="Arial" w:eastAsia="Arial" w:hAnsi="Arial"/>
                <w:sz w:val="14"/>
                <w:szCs w:val="14"/>
                <w:color w:val="auto"/>
                <w:w w:val="99"/>
              </w:rPr>
              <w:t>98,820,000</w:t>
            </w:r>
          </w:p>
        </w:tc>
        <w:tc>
          <w:tcPr>
            <w:tcW w:w="148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$ 60,240,000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Allowance for advertising rate adjustments and discounts</w:t>
            </w:r>
          </w:p>
        </w:tc>
        <w:tc>
          <w:tcPr>
            <w:tcW w:w="2640" w:type="dxa"/>
            <w:vAlign w:val="bottom"/>
            <w:gridSpan w:val="2"/>
            <w:shd w:val="clear" w:color="auto" w:fill="CCEEFF"/>
          </w:tcPr>
          <w:p>
            <w:pPr>
              <w:jc w:val="right"/>
              <w:ind w:right="533"/>
              <w:spacing w:after="0" w:line="149" w:lineRule="exact"/>
              <w:rPr>
                <w:sz w:val="20"/>
                <w:szCs w:val="20"/>
                <w:color w:val="auto"/>
              </w:rPr>
            </w:pPr>
            <w:r>
              <w:rPr>
                <w:rFonts w:ascii="Arial" w:cs="Arial" w:eastAsia="Arial" w:hAnsi="Arial"/>
                <w:sz w:val="14"/>
                <w:szCs w:val="14"/>
                <w:color w:val="auto"/>
              </w:rPr>
              <w:t>5,279,000</w:t>
            </w:r>
          </w:p>
        </w:tc>
        <w:tc>
          <w:tcPr>
            <w:tcW w:w="6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71"/>
              <w:spacing w:after="0" w:line="149" w:lineRule="exact"/>
              <w:rPr>
                <w:sz w:val="20"/>
                <w:szCs w:val="20"/>
                <w:color w:val="auto"/>
              </w:rPr>
            </w:pPr>
            <w:r>
              <w:rPr>
                <w:rFonts w:ascii="Arial" w:cs="Arial" w:eastAsia="Arial" w:hAnsi="Arial"/>
                <w:sz w:val="14"/>
                <w:szCs w:val="14"/>
                <w:color w:val="auto"/>
              </w:rPr>
              <w:t>4,938,000</w:t>
            </w: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50"/>
              <w:spacing w:after="0" w:line="149" w:lineRule="exact"/>
              <w:rPr>
                <w:sz w:val="20"/>
                <w:szCs w:val="20"/>
                <w:color w:val="auto"/>
              </w:rPr>
            </w:pPr>
            <w:r>
              <w:rPr>
                <w:rFonts w:ascii="Arial" w:cs="Arial" w:eastAsia="Arial" w:hAnsi="Arial"/>
                <w:sz w:val="14"/>
                <w:szCs w:val="14"/>
                <w:color w:val="auto"/>
              </w:rPr>
              <w:t>5,061,000</w:t>
            </w:r>
          </w:p>
        </w:tc>
        <w:tc>
          <w:tcPr>
            <w:tcW w:w="1480" w:type="dxa"/>
            <w:vAlign w:val="bottom"/>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5,156,000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color w:val="auto"/>
              </w:rPr>
              <w:t>$73,248,000</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color w:val="auto"/>
                <w:w w:val="99"/>
              </w:rPr>
              <w:t>96,029,000</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50"/>
              <w:spacing w:after="0" w:line="155" w:lineRule="exact"/>
              <w:rPr>
                <w:sz w:val="20"/>
                <w:szCs w:val="20"/>
                <w:color w:val="auto"/>
              </w:rPr>
            </w:pPr>
            <w:r>
              <w:rPr>
                <w:rFonts w:ascii="Arial" w:cs="Arial" w:eastAsia="Arial" w:hAnsi="Arial"/>
                <w:sz w:val="14"/>
                <w:szCs w:val="14"/>
                <w:color w:val="auto"/>
                <w:w w:val="89"/>
              </w:rPr>
              <w:t>103,881,000</w:t>
            </w:r>
          </w:p>
        </w:tc>
        <w:tc>
          <w:tcPr>
            <w:tcW w:w="148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color w:val="auto"/>
              </w:rPr>
              <w:t>$65,396,000</w:t>
            </w:r>
          </w:p>
        </w:tc>
        <w:tc>
          <w:tcPr>
            <w:tcW w:w="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28, 2003</w:t>
            </w:r>
          </w:p>
        </w:tc>
        <w:tc>
          <w:tcPr>
            <w:tcW w:w="9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2640" w:type="dxa"/>
            <w:vAlign w:val="bottom"/>
            <w:gridSpan w:val="2"/>
          </w:tcPr>
          <w:p>
            <w:pPr>
              <w:jc w:val="right"/>
              <w:ind w:right="533"/>
              <w:spacing w:after="0" w:line="149" w:lineRule="exact"/>
              <w:rPr>
                <w:sz w:val="20"/>
                <w:szCs w:val="20"/>
                <w:color w:val="auto"/>
              </w:rPr>
            </w:pPr>
            <w:r>
              <w:rPr>
                <w:rFonts w:ascii="Arial" w:cs="Arial" w:eastAsia="Arial" w:hAnsi="Arial"/>
                <w:sz w:val="14"/>
                <w:szCs w:val="14"/>
                <w:color w:val="auto"/>
              </w:rPr>
              <w:t>$ 60,240,000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571"/>
              <w:spacing w:after="0" w:line="149" w:lineRule="exact"/>
              <w:rPr>
                <w:sz w:val="20"/>
                <w:szCs w:val="20"/>
                <w:color w:val="auto"/>
              </w:rPr>
            </w:pPr>
            <w:r>
              <w:rPr>
                <w:rFonts w:ascii="Arial" w:cs="Arial" w:eastAsia="Arial" w:hAnsi="Arial"/>
                <w:sz w:val="14"/>
                <w:szCs w:val="14"/>
                <w:color w:val="auto"/>
                <w:w w:val="99"/>
              </w:rPr>
              <w:t>93,565,000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350"/>
              <w:spacing w:after="0" w:line="149" w:lineRule="exact"/>
              <w:rPr>
                <w:sz w:val="20"/>
                <w:szCs w:val="20"/>
                <w:color w:val="auto"/>
              </w:rPr>
            </w:pPr>
            <w:r>
              <w:rPr>
                <w:rFonts w:ascii="Arial" w:cs="Arial" w:eastAsia="Arial" w:hAnsi="Arial"/>
                <w:sz w:val="14"/>
                <w:szCs w:val="14"/>
                <w:color w:val="auto"/>
                <w:w w:val="99"/>
              </w:rPr>
              <w:t>91,951,000</w:t>
            </w:r>
          </w:p>
        </w:tc>
        <w:tc>
          <w:tcPr>
            <w:tcW w:w="148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$ 61,854,000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Allowance for advertising rate adjustments and discounts</w:t>
            </w:r>
          </w:p>
        </w:tc>
        <w:tc>
          <w:tcPr>
            <w:tcW w:w="2640" w:type="dxa"/>
            <w:vAlign w:val="bottom"/>
            <w:gridSpan w:val="2"/>
            <w:shd w:val="clear" w:color="auto" w:fill="CCEEFF"/>
          </w:tcPr>
          <w:p>
            <w:pPr>
              <w:jc w:val="right"/>
              <w:ind w:right="533"/>
              <w:spacing w:after="0" w:line="149" w:lineRule="exact"/>
              <w:rPr>
                <w:sz w:val="20"/>
                <w:szCs w:val="20"/>
                <w:color w:val="auto"/>
              </w:rPr>
            </w:pPr>
            <w:r>
              <w:rPr>
                <w:rFonts w:ascii="Arial" w:cs="Arial" w:eastAsia="Arial" w:hAnsi="Arial"/>
                <w:sz w:val="14"/>
                <w:szCs w:val="14"/>
                <w:color w:val="auto"/>
              </w:rPr>
              <w:t>5,156,000</w:t>
            </w:r>
          </w:p>
        </w:tc>
        <w:tc>
          <w:tcPr>
            <w:tcW w:w="6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71"/>
              <w:spacing w:after="0" w:line="149" w:lineRule="exact"/>
              <w:rPr>
                <w:sz w:val="20"/>
                <w:szCs w:val="20"/>
                <w:color w:val="auto"/>
              </w:rPr>
            </w:pPr>
            <w:r>
              <w:rPr>
                <w:rFonts w:ascii="Arial" w:cs="Arial" w:eastAsia="Arial" w:hAnsi="Arial"/>
                <w:sz w:val="14"/>
                <w:szCs w:val="14"/>
                <w:color w:val="auto"/>
              </w:rPr>
              <w:t>6,371,000</w:t>
            </w: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50"/>
              <w:spacing w:after="0" w:line="149" w:lineRule="exact"/>
              <w:rPr>
                <w:sz w:val="20"/>
                <w:szCs w:val="20"/>
                <w:color w:val="auto"/>
              </w:rPr>
            </w:pPr>
            <w:r>
              <w:rPr>
                <w:rFonts w:ascii="Arial" w:cs="Arial" w:eastAsia="Arial" w:hAnsi="Arial"/>
                <w:sz w:val="14"/>
                <w:szCs w:val="14"/>
                <w:color w:val="auto"/>
              </w:rPr>
              <w:t>6,857,000</w:t>
            </w:r>
          </w:p>
        </w:tc>
        <w:tc>
          <w:tcPr>
            <w:tcW w:w="1480" w:type="dxa"/>
            <w:vAlign w:val="bottom"/>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4,670,000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color w:val="auto"/>
              </w:rPr>
              <w:t>$65,396,000</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color w:val="auto"/>
                <w:w w:val="99"/>
              </w:rPr>
              <w:t>99,936,000</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50"/>
              <w:spacing w:after="0" w:line="155" w:lineRule="exact"/>
              <w:rPr>
                <w:sz w:val="20"/>
                <w:szCs w:val="20"/>
                <w:color w:val="auto"/>
              </w:rPr>
            </w:pPr>
            <w:r>
              <w:rPr>
                <w:rFonts w:ascii="Arial" w:cs="Arial" w:eastAsia="Arial" w:hAnsi="Arial"/>
                <w:sz w:val="14"/>
                <w:szCs w:val="14"/>
                <w:color w:val="auto"/>
                <w:w w:val="99"/>
              </w:rPr>
              <w:t>98,808,000</w:t>
            </w:r>
          </w:p>
        </w:tc>
        <w:tc>
          <w:tcPr>
            <w:tcW w:w="148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color w:val="auto"/>
              </w:rPr>
              <w:t>$66,524,000</w:t>
            </w:r>
          </w:p>
        </w:tc>
        <w:tc>
          <w:tcPr>
            <w:tcW w:w="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January 2, 2005</w:t>
            </w:r>
          </w:p>
        </w:tc>
        <w:tc>
          <w:tcPr>
            <w:tcW w:w="9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2640" w:type="dxa"/>
            <w:vAlign w:val="bottom"/>
            <w:gridSpan w:val="2"/>
          </w:tcPr>
          <w:p>
            <w:pPr>
              <w:jc w:val="right"/>
              <w:ind w:right="533"/>
              <w:spacing w:after="0" w:line="149" w:lineRule="exact"/>
              <w:rPr>
                <w:sz w:val="20"/>
                <w:szCs w:val="20"/>
                <w:color w:val="auto"/>
              </w:rPr>
            </w:pPr>
            <w:r>
              <w:rPr>
                <w:rFonts w:ascii="Arial" w:cs="Arial" w:eastAsia="Arial" w:hAnsi="Arial"/>
                <w:sz w:val="14"/>
                <w:szCs w:val="14"/>
                <w:color w:val="auto"/>
              </w:rPr>
              <w:t>$ 61,854,000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571"/>
              <w:spacing w:after="0" w:line="149" w:lineRule="exact"/>
              <w:rPr>
                <w:sz w:val="20"/>
                <w:szCs w:val="20"/>
                <w:color w:val="auto"/>
              </w:rPr>
            </w:pPr>
            <w:r>
              <w:rPr>
                <w:rFonts w:ascii="Arial" w:cs="Arial" w:eastAsia="Arial" w:hAnsi="Arial"/>
                <w:sz w:val="14"/>
                <w:szCs w:val="14"/>
                <w:color w:val="auto"/>
                <w:w w:val="89"/>
              </w:rPr>
              <w:t>106,605,000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350"/>
              <w:spacing w:after="0" w:line="149" w:lineRule="exact"/>
              <w:rPr>
                <w:sz w:val="20"/>
                <w:szCs w:val="20"/>
                <w:color w:val="auto"/>
              </w:rPr>
            </w:pPr>
            <w:r>
              <w:rPr>
                <w:rFonts w:ascii="Arial" w:cs="Arial" w:eastAsia="Arial" w:hAnsi="Arial"/>
                <w:sz w:val="14"/>
                <w:szCs w:val="14"/>
                <w:color w:val="auto"/>
                <w:w w:val="89"/>
              </w:rPr>
              <w:t>102,807,000</w:t>
            </w:r>
          </w:p>
        </w:tc>
        <w:tc>
          <w:tcPr>
            <w:tcW w:w="148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$ 65,652,000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Allowance for advertising rate adjustments and discounts</w:t>
            </w:r>
          </w:p>
        </w:tc>
        <w:tc>
          <w:tcPr>
            <w:tcW w:w="2640" w:type="dxa"/>
            <w:vAlign w:val="bottom"/>
            <w:gridSpan w:val="2"/>
            <w:shd w:val="clear" w:color="auto" w:fill="CCEEFF"/>
          </w:tcPr>
          <w:p>
            <w:pPr>
              <w:jc w:val="right"/>
              <w:ind w:right="533"/>
              <w:spacing w:after="0" w:line="149" w:lineRule="exact"/>
              <w:rPr>
                <w:sz w:val="20"/>
                <w:szCs w:val="20"/>
                <w:color w:val="auto"/>
              </w:rPr>
            </w:pPr>
            <w:r>
              <w:rPr>
                <w:rFonts w:ascii="Arial" w:cs="Arial" w:eastAsia="Arial" w:hAnsi="Arial"/>
                <w:sz w:val="14"/>
                <w:szCs w:val="14"/>
                <w:color w:val="auto"/>
              </w:rPr>
              <w:t>4,670,000</w:t>
            </w:r>
          </w:p>
        </w:tc>
        <w:tc>
          <w:tcPr>
            <w:tcW w:w="6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71"/>
              <w:spacing w:after="0" w:line="149" w:lineRule="exact"/>
              <w:rPr>
                <w:sz w:val="20"/>
                <w:szCs w:val="20"/>
                <w:color w:val="auto"/>
              </w:rPr>
            </w:pPr>
            <w:r>
              <w:rPr>
                <w:rFonts w:ascii="Arial" w:cs="Arial" w:eastAsia="Arial" w:hAnsi="Arial"/>
                <w:sz w:val="14"/>
                <w:szCs w:val="14"/>
                <w:color w:val="auto"/>
              </w:rPr>
              <w:t>7,874,000</w:t>
            </w: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50"/>
              <w:spacing w:after="0" w:line="149" w:lineRule="exact"/>
              <w:rPr>
                <w:sz w:val="20"/>
                <w:szCs w:val="20"/>
                <w:color w:val="auto"/>
              </w:rPr>
            </w:pPr>
            <w:r>
              <w:rPr>
                <w:rFonts w:ascii="Arial" w:cs="Arial" w:eastAsia="Arial" w:hAnsi="Arial"/>
                <w:sz w:val="14"/>
                <w:szCs w:val="14"/>
                <w:color w:val="auto"/>
              </w:rPr>
              <w:t>7,231,000</w:t>
            </w:r>
          </w:p>
        </w:tc>
        <w:tc>
          <w:tcPr>
            <w:tcW w:w="1480" w:type="dxa"/>
            <w:vAlign w:val="bottom"/>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5,313,000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color w:val="auto"/>
              </w:rPr>
              <w:t>$66,524,000</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color w:val="auto"/>
                <w:w w:val="89"/>
              </w:rPr>
              <w:t>114,479,000</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50"/>
              <w:spacing w:after="0" w:line="155" w:lineRule="exact"/>
              <w:rPr>
                <w:sz w:val="20"/>
                <w:szCs w:val="20"/>
                <w:color w:val="auto"/>
              </w:rPr>
            </w:pPr>
            <w:r>
              <w:rPr>
                <w:rFonts w:ascii="Arial" w:cs="Arial" w:eastAsia="Arial" w:hAnsi="Arial"/>
                <w:sz w:val="14"/>
                <w:szCs w:val="14"/>
                <w:color w:val="auto"/>
                <w:w w:val="89"/>
              </w:rPr>
              <w:t>110,038,000</w:t>
            </w:r>
          </w:p>
        </w:tc>
        <w:tc>
          <w:tcPr>
            <w:tcW w:w="148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color w:val="auto"/>
              </w:rPr>
              <w:t>$70,965,000</w:t>
            </w:r>
          </w:p>
        </w:tc>
        <w:tc>
          <w:tcPr>
            <w:tcW w:w="2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TEN-YEAR SUMMARY OF SELECTED HISTORICAL FINANCIAL DATA</w:t>
      </w:r>
    </w:p>
    <w:p>
      <w:pPr>
        <w:spacing w:after="0" w:line="100" w:lineRule="exact"/>
        <w:rPr>
          <w:sz w:val="20"/>
          <w:szCs w:val="20"/>
          <w:color w:val="auto"/>
        </w:rPr>
      </w:pPr>
    </w:p>
    <w:p>
      <w:pPr>
        <w:ind w:right="440"/>
        <w:spacing w:after="0" w:line="253" w:lineRule="auto"/>
        <w:rPr>
          <w:sz w:val="20"/>
          <w:szCs w:val="20"/>
          <w:color w:val="auto"/>
        </w:rPr>
      </w:pPr>
      <w:r>
        <w:rPr>
          <w:rFonts w:ascii="Arial" w:cs="Arial" w:eastAsia="Arial" w:hAnsi="Arial"/>
          <w:sz w:val="14"/>
          <w:szCs w:val="14"/>
          <w:color w:val="auto"/>
        </w:rPr>
        <w:t>See Notes to Consolidated Financial Statements for the summary of significant accounting policies and additional information relative to the years 2002–2004. Operating results prior to 2002 include amortization of goodwill and certain other intangible assets that are no longer amortized under SFAS 142.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4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(in thousands, except per share amounts)</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2004</w:t>
            </w: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2003</w:t>
            </w: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4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Operating revenues</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w w:val="89"/>
              </w:rPr>
              <w:t>3,300,104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8"/>
              <w:spacing w:after="0" w:line="149" w:lineRule="exact"/>
              <w:rPr>
                <w:sz w:val="20"/>
                <w:szCs w:val="20"/>
                <w:color w:val="auto"/>
              </w:rPr>
            </w:pPr>
            <w:r>
              <w:rPr>
                <w:rFonts w:ascii="Arial" w:cs="Arial" w:eastAsia="Arial" w:hAnsi="Arial"/>
                <w:sz w:val="14"/>
                <w:szCs w:val="14"/>
                <w:color w:val="auto"/>
                <w:w w:val="89"/>
              </w:rPr>
              <w:t>2,838,911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2,584,203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from operations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563,006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363,820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377,590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332,732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241,088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216,368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Cumulative effect of change in method of accounting for goodwill and other intangibles</w:t>
            </w:r>
          </w:p>
        </w:tc>
        <w:tc>
          <w:tcPr>
            <w:tcW w:w="4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Pr>
          <w:p>
            <w:pPr>
              <w:ind w:left="280"/>
              <w:spacing w:after="0" w:line="155" w:lineRule="exact"/>
              <w:rPr>
                <w:sz w:val="20"/>
                <w:szCs w:val="20"/>
                <w:color w:val="auto"/>
              </w:rPr>
            </w:pPr>
            <w:r>
              <w:rPr>
                <w:rFonts w:ascii="Arial" w:cs="Arial" w:eastAsia="Arial" w:hAnsi="Arial"/>
                <w:sz w:val="14"/>
                <w:szCs w:val="14"/>
                <w:color w:val="auto"/>
              </w:rPr>
              <w:t>Net income</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332,732</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241,088</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204,268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Amounts</w:t>
            </w:r>
          </w:p>
        </w:tc>
        <w:tc>
          <w:tcPr>
            <w:tcW w:w="4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Basic earnings per common share</w:t>
            </w: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34.69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25.19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Pr>
          <w:p>
            <w:pPr>
              <w:ind w:left="58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8"/>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income available for common shares</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34.69</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25.19</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vMerge w:val="restart"/>
          </w:tcPr>
          <w:p>
            <w:pPr>
              <w:ind w:left="580"/>
              <w:spacing w:after="0"/>
              <w:rPr>
                <w:sz w:val="20"/>
                <w:szCs w:val="20"/>
                <w:color w:val="auto"/>
              </w:rPr>
            </w:pPr>
            <w:r>
              <w:rPr>
                <w:rFonts w:ascii="Arial" w:cs="Arial" w:eastAsia="Arial" w:hAnsi="Arial"/>
                <w:sz w:val="14"/>
                <w:szCs w:val="14"/>
                <w:color w:val="auto"/>
              </w:rPr>
              <w:t>Basic average shares outstanding</w:t>
            </w: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b w:val="1"/>
                <w:bCs w:val="1"/>
                <w:color w:val="auto"/>
              </w:rPr>
              <w:t>9,563</w:t>
            </w:r>
          </w:p>
        </w:tc>
        <w:tc>
          <w:tcPr>
            <w:tcW w:w="680" w:type="dxa"/>
            <w:vAlign w:val="bottom"/>
          </w:tcPr>
          <w:p>
            <w:pPr>
              <w:spacing w:after="0"/>
              <w:rPr>
                <w:sz w:val="13"/>
                <w:szCs w:val="13"/>
                <w:color w:val="auto"/>
              </w:rPr>
            </w:pPr>
          </w:p>
        </w:tc>
        <w:tc>
          <w:tcPr>
            <w:tcW w:w="1140" w:type="dxa"/>
            <w:vAlign w:val="bottom"/>
          </w:tcPr>
          <w:p>
            <w:pPr>
              <w:jc w:val="right"/>
              <w:ind w:right="488"/>
              <w:spacing w:after="0" w:line="155" w:lineRule="exact"/>
              <w:rPr>
                <w:sz w:val="20"/>
                <w:szCs w:val="20"/>
                <w:color w:val="auto"/>
              </w:rPr>
            </w:pPr>
            <w:r>
              <w:rPr>
                <w:rFonts w:ascii="Arial" w:cs="Arial" w:eastAsia="Arial" w:hAnsi="Arial"/>
                <w:sz w:val="14"/>
                <w:szCs w:val="14"/>
                <w:color w:val="auto"/>
              </w:rPr>
              <w:t>9,530</w:t>
            </w:r>
          </w:p>
        </w:tc>
        <w:tc>
          <w:tcPr>
            <w:tcW w:w="620" w:type="dxa"/>
            <w:vAlign w:val="bottom"/>
          </w:tcPr>
          <w:p>
            <w:pPr>
              <w:spacing w:after="0"/>
              <w:rPr>
                <w:sz w:val="13"/>
                <w:szCs w:val="13"/>
                <w:color w:val="auto"/>
              </w:rPr>
            </w:pPr>
          </w:p>
        </w:tc>
        <w:tc>
          <w:tcPr>
            <w:tcW w:w="9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9,504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earnings per share</w:t>
            </w:r>
          </w:p>
        </w:tc>
        <w:tc>
          <w:tcPr>
            <w:tcW w:w="4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58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34.59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25.12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4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Pr>
          <w:p>
            <w:pPr>
              <w:ind w:left="580"/>
              <w:spacing w:after="0" w:line="155" w:lineRule="exact"/>
              <w:rPr>
                <w:sz w:val="20"/>
                <w:szCs w:val="20"/>
                <w:color w:val="auto"/>
              </w:rPr>
            </w:pPr>
            <w:r>
              <w:rPr>
                <w:rFonts w:ascii="Arial" w:cs="Arial" w:eastAsia="Arial" w:hAnsi="Arial"/>
                <w:sz w:val="14"/>
                <w:szCs w:val="14"/>
                <w:color w:val="auto"/>
              </w:rPr>
              <w:t>Net income available for common shares</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34.59</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25.12</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Diluted average shares outstanding</w:t>
            </w:r>
          </w:p>
        </w:tc>
        <w:tc>
          <w:tcPr>
            <w:tcW w:w="4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9,592</w:t>
            </w: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9,555</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9,523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Cash dividends</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7.00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5.80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shareholders’ equity</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251.93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217.46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193.18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assets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754,367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556,336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410,834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Working capital (deficit)</w:t>
            </w:r>
          </w:p>
        </w:tc>
        <w:tc>
          <w:tcPr>
            <w:tcW w:w="48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66,206</w:t>
            </w:r>
          </w:p>
        </w:tc>
        <w:tc>
          <w:tcPr>
            <w:tcW w:w="680" w:type="dxa"/>
            <w:vAlign w:val="bottom"/>
          </w:tcPr>
          <w:p>
            <w:pPr>
              <w:spacing w:after="0"/>
              <w:rPr>
                <w:sz w:val="12"/>
                <w:szCs w:val="12"/>
                <w:color w:val="auto"/>
              </w:rPr>
            </w:pPr>
          </w:p>
        </w:tc>
        <w:tc>
          <w:tcPr>
            <w:tcW w:w="11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(184,661)</w:t>
            </w:r>
          </w:p>
        </w:tc>
        <w:tc>
          <w:tcPr>
            <w:tcW w:w="62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(353,157)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plant and equipment</w:t>
            </w:r>
          </w:p>
        </w:tc>
        <w:tc>
          <w:tcPr>
            <w:tcW w:w="4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w w:val="89"/>
              </w:rPr>
              <w:t>1,089,952</w:t>
            </w: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89"/>
              </w:rPr>
              <w:t>1,051,373</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1,094,400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280"/>
              <w:spacing w:after="0" w:line="149" w:lineRule="exact"/>
              <w:rPr>
                <w:sz w:val="20"/>
                <w:szCs w:val="20"/>
                <w:color w:val="auto"/>
              </w:rPr>
            </w:pPr>
            <w:r>
              <w:rPr>
                <w:rFonts w:ascii="Arial" w:cs="Arial" w:eastAsia="Arial" w:hAnsi="Arial"/>
                <w:sz w:val="14"/>
                <w:szCs w:val="14"/>
                <w:color w:val="auto"/>
              </w:rPr>
              <w:t>Total assets</w:t>
            </w:r>
          </w:p>
        </w:tc>
        <w:tc>
          <w:tcPr>
            <w:tcW w:w="48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w w:val="89"/>
              </w:rPr>
              <w:t>4,316,641</w:t>
            </w:r>
          </w:p>
        </w:tc>
        <w:tc>
          <w:tcPr>
            <w:tcW w:w="680" w:type="dxa"/>
            <w:vAlign w:val="bottom"/>
          </w:tcPr>
          <w:p>
            <w:pPr>
              <w:spacing w:after="0"/>
              <w:rPr>
                <w:sz w:val="12"/>
                <w:szCs w:val="12"/>
                <w:color w:val="auto"/>
              </w:rPr>
            </w:pPr>
          </w:p>
        </w:tc>
        <w:tc>
          <w:tcPr>
            <w:tcW w:w="1140" w:type="dxa"/>
            <w:vAlign w:val="bottom"/>
          </w:tcPr>
          <w:p>
            <w:pPr>
              <w:jc w:val="right"/>
              <w:ind w:right="488"/>
              <w:spacing w:after="0" w:line="149" w:lineRule="exact"/>
              <w:rPr>
                <w:sz w:val="20"/>
                <w:szCs w:val="20"/>
                <w:color w:val="auto"/>
              </w:rPr>
            </w:pPr>
            <w:r>
              <w:rPr>
                <w:rFonts w:ascii="Arial" w:cs="Arial" w:eastAsia="Arial" w:hAnsi="Arial"/>
                <w:sz w:val="14"/>
                <w:szCs w:val="14"/>
                <w:color w:val="auto"/>
                <w:w w:val="89"/>
              </w:rPr>
              <w:t>3,962,058</w:t>
            </w:r>
          </w:p>
        </w:tc>
        <w:tc>
          <w:tcPr>
            <w:tcW w:w="620" w:type="dxa"/>
            <w:vAlign w:val="bottom"/>
          </w:tcPr>
          <w:p>
            <w:pPr>
              <w:spacing w:after="0"/>
              <w:rPr>
                <w:sz w:val="12"/>
                <w:szCs w:val="12"/>
                <w:color w:val="auto"/>
              </w:rPr>
            </w:pPr>
          </w:p>
        </w:tc>
        <w:tc>
          <w:tcPr>
            <w:tcW w:w="9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86"/>
              </w:rPr>
              <w:t>3,611,773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Long-term debt</w:t>
            </w:r>
          </w:p>
        </w:tc>
        <w:tc>
          <w:tcPr>
            <w:tcW w:w="4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425,889</w:t>
            </w: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422,471</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405,547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Common shareholders’ equity</w:t>
            </w:r>
          </w:p>
        </w:tc>
        <w:tc>
          <w:tcPr>
            <w:tcW w:w="480" w:type="dxa"/>
            <w:vAlign w:val="bottom"/>
          </w:tcPr>
          <w:p>
            <w:pPr>
              <w:spacing w:after="0"/>
              <w:rPr>
                <w:sz w:val="16"/>
                <w:szCs w:val="16"/>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w w:val="89"/>
              </w:rPr>
              <w:t>2,412,482</w:t>
            </w:r>
          </w:p>
        </w:tc>
        <w:tc>
          <w:tcPr>
            <w:tcW w:w="680" w:type="dxa"/>
            <w:vAlign w:val="bottom"/>
          </w:tcPr>
          <w:p>
            <w:pPr>
              <w:spacing w:after="0"/>
              <w:rPr>
                <w:sz w:val="16"/>
                <w:szCs w:val="16"/>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color w:val="auto"/>
                <w:w w:val="89"/>
              </w:rPr>
              <w:t>2,074,941</w:t>
            </w:r>
          </w:p>
        </w:tc>
        <w:tc>
          <w:tcPr>
            <w:tcW w:w="62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color w:val="auto"/>
                <w:w w:val="86"/>
              </w:rPr>
              <w:t>1,837,293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unusual items (after-tax and diluted EPS amounts):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w:t>
      </w:r>
    </w:p>
    <w:p>
      <w:pPr>
        <w:spacing w:after="0" w:line="26" w:lineRule="exact"/>
        <w:rPr>
          <w:sz w:val="20"/>
          <w:szCs w:val="20"/>
          <w:color w:val="auto"/>
        </w:rPr>
      </w:pPr>
    </w:p>
    <w:p>
      <w:pPr>
        <w:ind w:left="120" w:hanging="112"/>
        <w:spacing w:after="0"/>
        <w:tabs>
          <w:tab w:leader="none" w:pos="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gain of $32.3 million ($3.38 per share) on the sale of the Company’s 50% interest in the International Herald Tribune</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gain of $25.5 million ($2.66 per share) on sale of land at The Washington Post newspaper</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charge of $20.8 million ($2.18 per share) for early retirement programs at The Washington Post newspaper</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Kaplan stock compensation expense of $6.4 million ($0.67 per share) for the 10% premium associated with the purchase of outstanding Kaplan stock options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charge of $3.9 million ($0.41 per share) in connection with the establishment of the Kaplan Educational Foundation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2002</w:t>
      </w:r>
    </w:p>
    <w:p>
      <w:pPr>
        <w:spacing w:after="0" w:line="26"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gain of $16.7 million ($1.75 per share) on the exchange of certain cable systems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charge of $11.3 million ($1.18 per share) for early retirement programs at Newsweek and The Washington Post newspaper</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2001</w:t>
      </w:r>
    </w:p>
    <w:p>
      <w:pPr>
        <w:spacing w:after="0" w:line="26"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gain of $196.5 million ($20.69 per share) on the exchange of certain cable systems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non-cash goodwill and other intangibles impairment charge of $19.9 million ($2.10 per share) recorded in conjunction with the Company’s BrassRing investment</w:t>
      </w:r>
    </w:p>
    <w:p>
      <w:pPr>
        <w:spacing w:after="0" w:line="30" w:lineRule="exact"/>
        <w:rPr>
          <w:rFonts w:ascii="Arial" w:cs="Arial" w:eastAsia="Arial" w:hAnsi="Arial"/>
          <w:sz w:val="15"/>
          <w:szCs w:val="15"/>
          <w:color w:val="auto"/>
        </w:rPr>
      </w:pPr>
    </w:p>
    <w:p>
      <w:pPr>
        <w:ind w:left="120" w:hanging="112"/>
        <w:spacing w:after="0"/>
        <w:tabs>
          <w:tab w:leader="none" w:pos="1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charges of $18.3 million ($1.93 per share) from the write-down of a non-operating parcel of land and certain cost-method investments to their estimated fair value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64" w:name="page65"/>
    <w:bookmarkEnd w:id="64"/>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color w:val="auto"/>
              </w:rPr>
              <w:t>2001</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color w:val="auto"/>
              </w:rPr>
              <w:t>2000</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color w:val="auto"/>
              </w:rPr>
              <w:t>1999</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color w:val="auto"/>
              </w:rPr>
              <w:t>1998</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color w:val="auto"/>
              </w:rPr>
              <w:t>1997</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color w:val="auto"/>
              </w:rPr>
              <w:t>1996</w:t>
            </w: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rPr>
              <w:t>1995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9"/>
              </w:rPr>
              <w:t>2,411,024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89"/>
              </w:rPr>
              <w:t>2,409,633</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6"/>
              </w:rPr>
              <w:t>2,212,177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89"/>
              </w:rPr>
              <w:t>2,107,593</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89"/>
              </w:rPr>
              <w:t>1,952,986</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89"/>
              </w:rPr>
              <w:t>1,851,058</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1,716,971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219,932</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339,882</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388,453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378,897</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381,351</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337,169</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271,018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tcPr>
          <w:p>
            <w:pPr>
              <w:ind w:left="200"/>
              <w:spacing w:after="0" w:line="130" w:lineRule="exact"/>
              <w:rPr>
                <w:sz w:val="20"/>
                <w:szCs w:val="20"/>
                <w:color w:val="auto"/>
              </w:rPr>
            </w:pPr>
            <w:r>
              <w:rPr>
                <w:rFonts w:ascii="Arial" w:cs="Arial" w:eastAsia="Arial" w:hAnsi="Arial"/>
                <w:sz w:val="14"/>
                <w:szCs w:val="14"/>
                <w:color w:val="auto"/>
              </w:rPr>
              <w:t>Income before cumulative effect of change</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ind w:left="320"/>
              <w:spacing w:after="0"/>
              <w:rPr>
                <w:sz w:val="20"/>
                <w:szCs w:val="20"/>
                <w:color w:val="auto"/>
              </w:rPr>
            </w:pPr>
            <w:r>
              <w:rPr>
                <w:rFonts w:ascii="Arial" w:cs="Arial" w:eastAsia="Arial" w:hAnsi="Arial"/>
                <w:sz w:val="14"/>
                <w:szCs w:val="14"/>
                <w:color w:val="auto"/>
              </w:rPr>
              <w:t>in accounting principle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229,639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136,470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225,785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417,259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281,574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220,817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190,096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Cumulative effect of change in method of</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accounting for goodwill and other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intangibles</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ind w:left="200"/>
              <w:spacing w:after="0" w:line="155" w:lineRule="exact"/>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229,639</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136,470</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225,785</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417,259</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281,574</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220,817</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190,096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Amounts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200"/>
              <w:spacing w:after="0" w:line="149" w:lineRule="exact"/>
              <w:rPr>
                <w:sz w:val="20"/>
                <w:szCs w:val="20"/>
                <w:color w:val="auto"/>
              </w:rPr>
            </w:pPr>
            <w:r>
              <w:rPr>
                <w:rFonts w:ascii="Arial" w:cs="Arial" w:eastAsia="Arial" w:hAnsi="Arial"/>
                <w:sz w:val="14"/>
                <w:szCs w:val="14"/>
                <w:color w:val="auto"/>
              </w:rPr>
              <w:t>Basic earnings per common share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Before cumulative effect of change in</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accounting principle</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24.10</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14.34</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22.35</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41.27</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26.23</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20.08</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tcPr>
          <w:p>
            <w:pPr>
              <w:ind w:left="440"/>
              <w:spacing w:after="0" w:line="130" w:lineRule="exact"/>
              <w:rPr>
                <w:sz w:val="20"/>
                <w:szCs w:val="20"/>
                <w:color w:val="auto"/>
              </w:rPr>
            </w:pPr>
            <w:r>
              <w:rPr>
                <w:rFonts w:ascii="Arial" w:cs="Arial" w:eastAsia="Arial" w:hAnsi="Arial"/>
                <w:sz w:val="14"/>
                <w:szCs w:val="14"/>
                <w:color w:val="auto"/>
              </w:rPr>
              <w:t>Cumulative effect of change in</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accounting principle</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Net income available for common</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shares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24.10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14.34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22.35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41.27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26.23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vMerge w:val="restart"/>
          </w:tcPr>
          <w:p>
            <w:pPr>
              <w:ind w:left="440"/>
              <w:spacing w:after="0"/>
              <w:rPr>
                <w:sz w:val="20"/>
                <w:szCs w:val="20"/>
                <w:color w:val="auto"/>
              </w:rPr>
            </w:pPr>
            <w:r>
              <w:rPr>
                <w:rFonts w:ascii="Arial" w:cs="Arial" w:eastAsia="Arial" w:hAnsi="Arial"/>
                <w:sz w:val="14"/>
                <w:szCs w:val="14"/>
                <w:color w:val="auto"/>
              </w:rPr>
              <w:t>Basic average shares outstanding</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9,486</w:t>
            </w:r>
          </w:p>
        </w:tc>
        <w:tc>
          <w:tcPr>
            <w:tcW w:w="380" w:type="dxa"/>
            <w:vAlign w:val="bottom"/>
          </w:tcPr>
          <w:p>
            <w:pPr>
              <w:spacing w:after="0"/>
              <w:rPr>
                <w:sz w:val="13"/>
                <w:szCs w:val="13"/>
                <w:color w:val="auto"/>
              </w:rPr>
            </w:pPr>
          </w:p>
        </w:tc>
        <w:tc>
          <w:tcPr>
            <w:tcW w:w="88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9,445</w:t>
            </w:r>
          </w:p>
        </w:tc>
        <w:tc>
          <w:tcPr>
            <w:tcW w:w="340" w:type="dxa"/>
            <w:vAlign w:val="bottom"/>
          </w:tcPr>
          <w:p>
            <w:pPr>
              <w:spacing w:after="0"/>
              <w:rPr>
                <w:sz w:val="13"/>
                <w:szCs w:val="13"/>
                <w:color w:val="auto"/>
              </w:rPr>
            </w:pPr>
          </w:p>
        </w:tc>
        <w:tc>
          <w:tcPr>
            <w:tcW w:w="88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10,061</w:t>
            </w:r>
          </w:p>
        </w:tc>
        <w:tc>
          <w:tcPr>
            <w:tcW w:w="320" w:type="dxa"/>
            <w:vAlign w:val="bottom"/>
          </w:tcPr>
          <w:p>
            <w:pPr>
              <w:spacing w:after="0"/>
              <w:rPr>
                <w:sz w:val="13"/>
                <w:szCs w:val="13"/>
                <w:color w:val="auto"/>
              </w:rPr>
            </w:pPr>
          </w:p>
        </w:tc>
        <w:tc>
          <w:tcPr>
            <w:tcW w:w="86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10,087</w:t>
            </w:r>
          </w:p>
        </w:tc>
        <w:tc>
          <w:tcPr>
            <w:tcW w:w="360" w:type="dxa"/>
            <w:vAlign w:val="bottom"/>
          </w:tcPr>
          <w:p>
            <w:pPr>
              <w:spacing w:after="0"/>
              <w:rPr>
                <w:sz w:val="13"/>
                <w:szCs w:val="13"/>
                <w:color w:val="auto"/>
              </w:rPr>
            </w:pPr>
          </w:p>
        </w:tc>
        <w:tc>
          <w:tcPr>
            <w:tcW w:w="88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10,700</w:t>
            </w:r>
          </w:p>
        </w:tc>
        <w:tc>
          <w:tcPr>
            <w:tcW w:w="340" w:type="dxa"/>
            <w:vAlign w:val="bottom"/>
          </w:tcPr>
          <w:p>
            <w:pPr>
              <w:spacing w:after="0"/>
              <w:rPr>
                <w:sz w:val="13"/>
                <w:szCs w:val="13"/>
                <w:color w:val="auto"/>
              </w:rPr>
            </w:pPr>
          </w:p>
        </w:tc>
        <w:tc>
          <w:tcPr>
            <w:tcW w:w="86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10,964</w:t>
            </w:r>
          </w:p>
        </w:tc>
        <w:tc>
          <w:tcPr>
            <w:tcW w:w="360" w:type="dxa"/>
            <w:vAlign w:val="bottom"/>
          </w:tcPr>
          <w:p>
            <w:pPr>
              <w:spacing w:after="0"/>
              <w:rPr>
                <w:sz w:val="13"/>
                <w:szCs w:val="13"/>
                <w:color w:val="auto"/>
              </w:rPr>
            </w:pPr>
          </w:p>
        </w:tc>
        <w:tc>
          <w:tcPr>
            <w:tcW w:w="80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11,075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earnings per share</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tcPr>
          <w:p>
            <w:pPr>
              <w:ind w:left="440"/>
              <w:spacing w:after="0" w:line="130" w:lineRule="exact"/>
              <w:rPr>
                <w:sz w:val="20"/>
                <w:szCs w:val="20"/>
                <w:color w:val="auto"/>
              </w:rPr>
            </w:pPr>
            <w:r>
              <w:rPr>
                <w:rFonts w:ascii="Arial" w:cs="Arial" w:eastAsia="Arial" w:hAnsi="Arial"/>
                <w:sz w:val="14"/>
                <w:szCs w:val="14"/>
                <w:color w:val="auto"/>
              </w:rPr>
              <w:t>Before cumulative effect of change in</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accounting principle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24.06</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14.32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22.30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41.10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26.15</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20.05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Cumulative effect of change in</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accounting principle</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80" w:type="dxa"/>
            <w:vAlign w:val="bottom"/>
          </w:tcPr>
          <w:p>
            <w:pPr>
              <w:ind w:left="440"/>
              <w:spacing w:after="0" w:line="137" w:lineRule="exact"/>
              <w:rPr>
                <w:sz w:val="20"/>
                <w:szCs w:val="20"/>
                <w:color w:val="auto"/>
              </w:rPr>
            </w:pPr>
            <w:r>
              <w:rPr>
                <w:rFonts w:ascii="Arial" w:cs="Arial" w:eastAsia="Arial" w:hAnsi="Arial"/>
                <w:sz w:val="14"/>
                <w:szCs w:val="14"/>
                <w:color w:val="auto"/>
              </w:rPr>
              <w:t>Net income available for common</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ind w:left="560"/>
              <w:spacing w:after="0"/>
              <w:rPr>
                <w:sz w:val="20"/>
                <w:szCs w:val="20"/>
                <w:color w:val="auto"/>
              </w:rPr>
            </w:pPr>
            <w:r>
              <w:rPr>
                <w:rFonts w:ascii="Arial" w:cs="Arial" w:eastAsia="Arial" w:hAnsi="Arial"/>
                <w:sz w:val="14"/>
                <w:szCs w:val="14"/>
                <w:color w:val="auto"/>
              </w:rPr>
              <w:t>shares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24.06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14.32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22.30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41.10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26.15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Diluted average shares outstanding</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9,500</w:t>
            </w: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9,460</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10,082</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10,129</w:t>
            </w: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10,733</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10,980</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5.60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5.40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5.20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5.00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4.80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4.60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shareholders’ equity</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177.30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156.55</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144.90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157.34</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117.36</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121.24</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assets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426,603</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405,067</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476,159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404,878</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308,492</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382,631</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406,570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200"/>
              <w:spacing w:after="0" w:line="149" w:lineRule="exact"/>
              <w:rPr>
                <w:sz w:val="20"/>
                <w:szCs w:val="20"/>
                <w:color w:val="auto"/>
              </w:rPr>
            </w:pPr>
            <w:r>
              <w:rPr>
                <w:rFonts w:ascii="Arial" w:cs="Arial" w:eastAsia="Arial" w:hAnsi="Arial"/>
                <w:sz w:val="14"/>
                <w:szCs w:val="14"/>
                <w:color w:val="auto"/>
              </w:rPr>
              <w:t>Working capital (deficit)</w:t>
            </w:r>
          </w:p>
        </w:tc>
        <w:tc>
          <w:tcPr>
            <w:tcW w:w="2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(37,233)</w:t>
            </w:r>
          </w:p>
        </w:tc>
        <w:tc>
          <w:tcPr>
            <w:tcW w:w="380" w:type="dxa"/>
            <w:vAlign w:val="bottom"/>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(3,730)</w:t>
            </w:r>
          </w:p>
        </w:tc>
        <w:tc>
          <w:tcPr>
            <w:tcW w:w="340" w:type="dxa"/>
            <w:vAlign w:val="bottom"/>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(346,389)</w:t>
            </w:r>
          </w:p>
        </w:tc>
        <w:tc>
          <w:tcPr>
            <w:tcW w:w="32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15,799</w:t>
            </w:r>
          </w:p>
        </w:tc>
        <w:tc>
          <w:tcPr>
            <w:tcW w:w="360" w:type="dxa"/>
            <w:vAlign w:val="bottom"/>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(300,264)</w:t>
            </w:r>
          </w:p>
        </w:tc>
        <w:tc>
          <w:tcPr>
            <w:tcW w:w="34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100,995</w:t>
            </w:r>
          </w:p>
        </w:tc>
        <w:tc>
          <w:tcPr>
            <w:tcW w:w="360" w:type="dxa"/>
            <w:vAlign w:val="bottom"/>
          </w:tcPr>
          <w:p>
            <w:pPr>
              <w:spacing w:after="0"/>
              <w:rPr>
                <w:sz w:val="12"/>
                <w:szCs w:val="12"/>
                <w:color w:val="auto"/>
              </w:rPr>
            </w:pP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Property, plant and equipment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9"/>
              </w:rPr>
              <w:t>1,098,211</w:t>
            </w: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927,061</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854,906</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841,062</w:t>
            </w: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653,750</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511,363</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457,359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200"/>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2"/>
                <w:szCs w:val="12"/>
                <w:color w:val="auto"/>
              </w:rPr>
            </w:pP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9"/>
              </w:rPr>
              <w:t>3,588,844</w:t>
            </w:r>
          </w:p>
        </w:tc>
        <w:tc>
          <w:tcPr>
            <w:tcW w:w="38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89"/>
              </w:rPr>
              <w:t>3,200,743</w:t>
            </w:r>
          </w:p>
        </w:tc>
        <w:tc>
          <w:tcPr>
            <w:tcW w:w="340" w:type="dxa"/>
            <w:vAlign w:val="bottom"/>
          </w:tcPr>
          <w:p>
            <w:pPr>
              <w:spacing w:after="0"/>
              <w:rPr>
                <w:sz w:val="12"/>
                <w:szCs w:val="12"/>
                <w:color w:val="auto"/>
              </w:rPr>
            </w:pPr>
          </w:p>
        </w:tc>
        <w:tc>
          <w:tcPr>
            <w:tcW w:w="88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6"/>
              </w:rPr>
              <w:t>2,986,944</w:t>
            </w:r>
          </w:p>
        </w:tc>
        <w:tc>
          <w:tcPr>
            <w:tcW w:w="32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89"/>
              </w:rPr>
              <w:t>2,729,661</w:t>
            </w:r>
          </w:p>
        </w:tc>
        <w:tc>
          <w:tcPr>
            <w:tcW w:w="36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89"/>
              </w:rPr>
              <w:t>2,077,317</w:t>
            </w:r>
          </w:p>
        </w:tc>
        <w:tc>
          <w:tcPr>
            <w:tcW w:w="34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89"/>
              </w:rPr>
              <w:t>1,870,411</w:t>
            </w:r>
          </w:p>
        </w:tc>
        <w:tc>
          <w:tcPr>
            <w:tcW w:w="360" w:type="dxa"/>
            <w:vAlign w:val="bottom"/>
          </w:tcPr>
          <w:p>
            <w:pPr>
              <w:spacing w:after="0"/>
              <w:rPr>
                <w:sz w:val="12"/>
                <w:szCs w:val="12"/>
                <w:color w:val="auto"/>
              </w:rPr>
            </w:pP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1,732,893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883,078</w:t>
            </w: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873,267</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397,620</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395,000</w:t>
            </w: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Common shareholders’ equity</w:t>
            </w:r>
          </w:p>
        </w:tc>
        <w:tc>
          <w:tcPr>
            <w:tcW w:w="260" w:type="dxa"/>
            <w:vAlign w:val="bottom"/>
          </w:tcPr>
          <w:p>
            <w:pPr>
              <w:spacing w:after="0"/>
              <w:rPr>
                <w:sz w:val="15"/>
                <w:szCs w:val="15"/>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color w:val="auto"/>
                <w:w w:val="89"/>
              </w:rPr>
              <w:t>1,683,485</w:t>
            </w:r>
          </w:p>
        </w:tc>
        <w:tc>
          <w:tcPr>
            <w:tcW w:w="380" w:type="dxa"/>
            <w:vAlign w:val="bottom"/>
          </w:tcPr>
          <w:p>
            <w:pPr>
              <w:spacing w:after="0"/>
              <w:rPr>
                <w:sz w:val="15"/>
                <w:szCs w:val="15"/>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w w:val="89"/>
              </w:rPr>
              <w:t>1,481,007</w:t>
            </w:r>
          </w:p>
        </w:tc>
        <w:tc>
          <w:tcPr>
            <w:tcW w:w="34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w w:val="86"/>
              </w:rPr>
              <w:t>1,367,790</w:t>
            </w:r>
          </w:p>
        </w:tc>
        <w:tc>
          <w:tcPr>
            <w:tcW w:w="320" w:type="dxa"/>
            <w:vAlign w:val="bottom"/>
          </w:tcPr>
          <w:p>
            <w:pPr>
              <w:spacing w:after="0"/>
              <w:rPr>
                <w:sz w:val="15"/>
                <w:szCs w:val="15"/>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w w:val="89"/>
              </w:rPr>
              <w:t>1,588,103</w:t>
            </w:r>
          </w:p>
        </w:tc>
        <w:tc>
          <w:tcPr>
            <w:tcW w:w="360" w:type="dxa"/>
            <w:vAlign w:val="bottom"/>
          </w:tcPr>
          <w:p>
            <w:pPr>
              <w:spacing w:after="0"/>
              <w:rPr>
                <w:sz w:val="15"/>
                <w:szCs w:val="15"/>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w w:val="89"/>
              </w:rPr>
              <w:t>1,184,074</w:t>
            </w:r>
          </w:p>
        </w:tc>
        <w:tc>
          <w:tcPr>
            <w:tcW w:w="340" w:type="dxa"/>
            <w:vAlign w:val="bottom"/>
          </w:tcPr>
          <w:p>
            <w:pPr>
              <w:spacing w:after="0"/>
              <w:rPr>
                <w:sz w:val="15"/>
                <w:szCs w:val="15"/>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w w:val="89"/>
              </w:rPr>
              <w:t>1,322,803</w:t>
            </w:r>
          </w:p>
        </w:tc>
        <w:tc>
          <w:tcPr>
            <w:tcW w:w="36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1,184,204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charge of $16.5 million ($1.74 per share) for an early retirement program at The Washington Post newspaper</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1999</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gains of $18.6 million ($1.81 per share) on the sales of marketable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1998</w:t>
      </w:r>
    </w:p>
    <w:p>
      <w:pPr>
        <w:spacing w:after="0" w:line="26"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gain of $168.0 million ($16.59 per share) on the disposition of the Company’s 28% interest in Cowles Media Company</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gain of $13.8 million ($1.36 per share) from the sale of 14 small cable systems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gain of $12.6 million ($1.24 per share) on the disposition of the Company’s investment in Junglee, a facilitator of internet commerce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1997</w:t>
      </w:r>
    </w:p>
    <w:p>
      <w:pPr>
        <w:spacing w:after="0" w:line="26"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gain of $28.4 million ($2.65 per share) from the sale of the Company’s investments in Bear Island Paper Company LP and Bear Island Timberlands Company LP</w:t>
      </w:r>
    </w:p>
    <w:p>
      <w:pPr>
        <w:spacing w:after="0" w:line="30" w:lineRule="exact"/>
        <w:rPr>
          <w:rFonts w:ascii="Arial" w:cs="Arial" w:eastAsia="Arial" w:hAnsi="Arial"/>
          <w:sz w:val="15"/>
          <w:szCs w:val="15"/>
          <w:color w:val="auto"/>
        </w:rPr>
      </w:pPr>
    </w:p>
    <w:p>
      <w:pPr>
        <w:ind w:left="120" w:hanging="112"/>
        <w:spacing w:after="0"/>
        <w:tabs>
          <w:tab w:leader="none" w:pos="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gain of $16.0 million ($1.50 per share) from the sale of the PASS regional cable sports network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1995</w:t>
      </w:r>
    </w:p>
    <w:p>
      <w:pPr>
        <w:spacing w:after="0" w:line="26"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gain of $8.4 million ($0.75 per share) from the sale of the Company’s investment in American PCS, LP</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charge of $5.6 million ($0.51 per share) for the write-off of the Company’s interest in Mammoth Micro Productions</w:t>
      </w:r>
    </w:p>
    <w:p>
      <w:pPr>
        <w:spacing w:after="0" w:line="200" w:lineRule="exact"/>
        <w:rPr>
          <w:sz w:val="20"/>
          <w:szCs w:val="20"/>
          <w:color w:val="auto"/>
        </w:rPr>
      </w:pPr>
    </w:p>
    <w:p>
      <w:pPr>
        <w:spacing w:after="0" w:line="35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5" w:name="page66"/>
    <w:bookmarkEnd w:id="65"/>
    <w:p>
      <w:pPr>
        <w:jc w:val="right"/>
        <w:ind w:right="325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9900" w:type="dxa"/>
            <w:vAlign w:val="bottom"/>
          </w:tcPr>
          <w:p>
            <w:pPr>
              <w:ind w:left="3480"/>
              <w:spacing w:after="0"/>
              <w:rPr>
                <w:sz w:val="20"/>
                <w:szCs w:val="20"/>
                <w:color w:val="auto"/>
              </w:rPr>
            </w:pPr>
            <w:r>
              <w:rPr>
                <w:rFonts w:ascii="Arial" w:cs="Arial" w:eastAsia="Arial" w:hAnsi="Arial"/>
                <w:sz w:val="14"/>
                <w:szCs w:val="14"/>
                <w:b w:val="1"/>
                <w:bCs w:val="1"/>
                <w:color w:val="auto"/>
              </w:rPr>
              <w:t>INDEX TO EXHIBITS</w:t>
            </w:r>
          </w:p>
        </w:tc>
        <w:tc>
          <w:tcPr>
            <w:tcW w:w="0" w:type="dxa"/>
            <w:vAlign w:val="bottom"/>
          </w:tcPr>
          <w:p>
            <w:pPr>
              <w:spacing w:after="0"/>
              <w:rPr>
                <w:sz w:val="1"/>
                <w:szCs w:val="1"/>
                <w:color w:val="auto"/>
              </w:rPr>
            </w:pPr>
          </w:p>
        </w:tc>
      </w:tr>
      <w:tr>
        <w:trPr>
          <w:trHeight w:val="340"/>
        </w:trPr>
        <w:tc>
          <w:tcPr>
            <w:tcW w:w="1520" w:type="dxa"/>
            <w:vAlign w:val="bottom"/>
          </w:tcPr>
          <w:p>
            <w:pPr>
              <w:jc w:val="right"/>
              <w:ind w:right="400"/>
              <w:spacing w:after="0"/>
              <w:rPr>
                <w:sz w:val="20"/>
                <w:szCs w:val="20"/>
                <w:color w:val="auto"/>
              </w:rPr>
            </w:pPr>
            <w:r>
              <w:rPr>
                <w:rFonts w:ascii="Arial" w:cs="Arial" w:eastAsia="Arial" w:hAnsi="Arial"/>
                <w:sz w:val="14"/>
                <w:szCs w:val="14"/>
                <w:b w:val="1"/>
                <w:bCs w:val="1"/>
                <w:color w:val="auto"/>
              </w:rPr>
              <w:t>Exhibit</w:t>
            </w:r>
          </w:p>
        </w:tc>
        <w:tc>
          <w:tcPr>
            <w:tcW w:w="990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9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3.1</w:t>
            </w:r>
          </w:p>
        </w:tc>
        <w:tc>
          <w:tcPr>
            <w:tcW w:w="9900" w:type="dxa"/>
            <w:vAlign w:val="bottom"/>
          </w:tcPr>
          <w:p>
            <w:pPr>
              <w:ind w:left="440"/>
              <w:spacing w:after="0"/>
              <w:rPr>
                <w:sz w:val="20"/>
                <w:szCs w:val="20"/>
                <w:color w:val="auto"/>
              </w:rPr>
            </w:pPr>
            <w:r>
              <w:rPr>
                <w:rFonts w:ascii="Arial" w:cs="Arial" w:eastAsia="Arial" w:hAnsi="Arial"/>
                <w:sz w:val="16"/>
                <w:szCs w:val="16"/>
                <w:color w:val="auto"/>
                <w:w w:val="96"/>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3.2</w:t>
            </w: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3.3</w:t>
            </w:r>
          </w:p>
        </w:tc>
        <w:tc>
          <w:tcPr>
            <w:tcW w:w="9900" w:type="dxa"/>
            <w:vAlign w:val="bottom"/>
          </w:tcPr>
          <w:p>
            <w:pPr>
              <w:ind w:left="440"/>
              <w:spacing w:after="0"/>
              <w:rPr>
                <w:sz w:val="20"/>
                <w:szCs w:val="20"/>
                <w:color w:val="auto"/>
              </w:rPr>
            </w:pPr>
            <w:r>
              <w:rPr>
                <w:rFonts w:ascii="Arial" w:cs="Arial" w:eastAsia="Arial" w:hAnsi="Arial"/>
                <w:sz w:val="16"/>
                <w:szCs w:val="16"/>
                <w:color w:val="auto"/>
                <w:w w:val="95"/>
              </w:rPr>
              <w:t>By-Laws of the Company as amended and restated through September 22, 2003 (incorporated by reference to Exhibit 3.4 to the Company’s</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Current Report on Form 8-K dated September 22, 2003).</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4.1</w:t>
            </w:r>
          </w:p>
        </w:tc>
        <w:tc>
          <w:tcPr>
            <w:tcW w:w="9900" w:type="dxa"/>
            <w:vAlign w:val="bottom"/>
          </w:tcPr>
          <w:p>
            <w:pPr>
              <w:ind w:left="440"/>
              <w:spacing w:after="0"/>
              <w:rPr>
                <w:sz w:val="20"/>
                <w:szCs w:val="20"/>
                <w:color w:val="auto"/>
              </w:rPr>
            </w:pPr>
            <w:r>
              <w:rPr>
                <w:rFonts w:ascii="Arial" w:cs="Arial" w:eastAsia="Arial" w:hAnsi="Arial"/>
                <w:sz w:val="16"/>
                <w:szCs w:val="16"/>
                <w:color w:val="auto"/>
                <w:w w:val="92"/>
              </w:rPr>
              <w:t>Form of the Company’s 5.50% Notes due February 15, 2009, issued under the Indenture dated as of February 17, 1999, between the Company</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3"/>
              </w:rPr>
              <w:t>and The First National Bank of Chicago, as Trustee (incorporated by reference to Exhibit 4.2 to the Company’s Annual Report on Form 10-K for</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the fiscal year ended January 3, 1999).</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4.2</w:t>
            </w:r>
          </w:p>
        </w:tc>
        <w:tc>
          <w:tcPr>
            <w:tcW w:w="9900" w:type="dxa"/>
            <w:vAlign w:val="bottom"/>
          </w:tcPr>
          <w:p>
            <w:pPr>
              <w:ind w:left="440"/>
              <w:spacing w:after="0"/>
              <w:rPr>
                <w:sz w:val="20"/>
                <w:szCs w:val="20"/>
                <w:color w:val="auto"/>
              </w:rPr>
            </w:pPr>
            <w:r>
              <w:rPr>
                <w:rFonts w:ascii="Arial" w:cs="Arial" w:eastAsia="Arial" w:hAnsi="Arial"/>
                <w:sz w:val="16"/>
                <w:szCs w:val="16"/>
                <w:color w:val="auto"/>
                <w:w w:val="91"/>
              </w:rPr>
              <w:t>Indenture dated as of February 17, 1999, between the Company and The First National Bank of Chicago, as Trustee (incorporated by reference to</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Exhibit 4.3 to the Company’s Annual Report on Form 10-K for the fiscal year ended January 3, 1999).</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4.3</w:t>
            </w:r>
          </w:p>
        </w:tc>
        <w:tc>
          <w:tcPr>
            <w:tcW w:w="9900" w:type="dxa"/>
            <w:vAlign w:val="bottom"/>
          </w:tcPr>
          <w:p>
            <w:pPr>
              <w:ind w:left="440"/>
              <w:spacing w:after="0"/>
              <w:rPr>
                <w:sz w:val="20"/>
                <w:szCs w:val="20"/>
                <w:color w:val="auto"/>
              </w:rPr>
            </w:pPr>
            <w:r>
              <w:rPr>
                <w:rFonts w:ascii="Arial" w:cs="Arial" w:eastAsia="Arial" w:hAnsi="Arial"/>
                <w:sz w:val="16"/>
                <w:szCs w:val="16"/>
                <w:color w:val="auto"/>
                <w:w w:val="91"/>
              </w:rPr>
              <w:t>First Supplemental Indenture dated as of September 22, 2003, among WP Company LLC, the Company and Bank One, NA, as successor to The</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First National Bank of Chicago, as Trustee, to the Indenture dated as of February 17, 1999, between The Washington Post Company and The</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7"/>
              </w:rPr>
              <w:t>First National Bank of Chicago, as Trustee (incorporated by reference to Exhibit 4.1 to the Company’s Current Report on Form 8-K dated</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September 22, 2003).</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4.4</w:t>
            </w: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364-Day Credit Agreement dated as of August 11, 2004, among the Company, Citibank, N.A., JP Morgan Chase Bank, Wachovia Bank, N.A.,</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5"/>
              </w:rPr>
              <w:t>SunTrust Bank, The Bank of New York and Riggs Bank N.A. (incorporated by reference to Exhibit 4.4 to the Company’s Quarterly Report on</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Form 10-Q for the quarter ended September 26, 2004).</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4.5</w:t>
            </w:r>
          </w:p>
        </w:tc>
        <w:tc>
          <w:tcPr>
            <w:tcW w:w="9900" w:type="dxa"/>
            <w:vAlign w:val="bottom"/>
          </w:tcPr>
          <w:p>
            <w:pPr>
              <w:ind w:left="440"/>
              <w:spacing w:after="0"/>
              <w:rPr>
                <w:sz w:val="20"/>
                <w:szCs w:val="20"/>
                <w:color w:val="auto"/>
              </w:rPr>
            </w:pPr>
            <w:r>
              <w:rPr>
                <w:rFonts w:ascii="Arial" w:cs="Arial" w:eastAsia="Arial" w:hAnsi="Arial"/>
                <w:sz w:val="16"/>
                <w:szCs w:val="16"/>
                <w:color w:val="auto"/>
                <w:w w:val="93"/>
              </w:rPr>
              <w:t>5-Year Credit Agreement dated as of August 14, 2002, among the Company, Citibank, N.A., Wachovia Bank, N.A., SunTrust Bank, Bank One,</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3"/>
              </w:rPr>
              <w:t>N.A., JPMorgan Chase Bank, The Bank of New York and Riggs Bank N.A. (incorporated by reference to Exhibit 4.4 to the Company’s Quarterly</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Report on Form 10-Q for the quarter ended September 29, 2002).</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4.6</w:t>
            </w:r>
          </w:p>
        </w:tc>
        <w:tc>
          <w:tcPr>
            <w:tcW w:w="9900" w:type="dxa"/>
            <w:vAlign w:val="bottom"/>
          </w:tcPr>
          <w:p>
            <w:pPr>
              <w:ind w:left="440"/>
              <w:spacing w:after="0"/>
              <w:rPr>
                <w:sz w:val="20"/>
                <w:szCs w:val="20"/>
                <w:color w:val="auto"/>
              </w:rPr>
            </w:pPr>
            <w:r>
              <w:rPr>
                <w:rFonts w:ascii="Arial" w:cs="Arial" w:eastAsia="Arial" w:hAnsi="Arial"/>
                <w:sz w:val="16"/>
                <w:szCs w:val="16"/>
                <w:color w:val="auto"/>
                <w:w w:val="91"/>
              </w:rPr>
              <w:t>Consent and Amendment No. 1 dated as of August 13, 2003, to the 5-Year Credit Agreement dated as of August 14, 2002, among the Company,</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7"/>
              </w:rPr>
              <w:t>Citibank, N.A. and the other lenders that are parties to such Credit Agreement (incorporated by reference to Exhibit 4.3 to the Company’s</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Current Report on Form 8-K dated September 22, 2003).</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10.1</w:t>
            </w:r>
          </w:p>
        </w:tc>
        <w:tc>
          <w:tcPr>
            <w:tcW w:w="9900" w:type="dxa"/>
            <w:vAlign w:val="bottom"/>
          </w:tcPr>
          <w:p>
            <w:pPr>
              <w:ind w:left="440"/>
              <w:spacing w:after="0"/>
              <w:rPr>
                <w:sz w:val="20"/>
                <w:szCs w:val="20"/>
                <w:color w:val="auto"/>
              </w:rPr>
            </w:pPr>
            <w:r>
              <w:rPr>
                <w:rFonts w:ascii="Arial" w:cs="Arial" w:eastAsia="Arial" w:hAnsi="Arial"/>
                <w:sz w:val="16"/>
                <w:szCs w:val="16"/>
                <w:color w:val="auto"/>
                <w:w w:val="95"/>
              </w:rPr>
              <w:t>The Washington Post Company Incentive Compensation Plan as adopted January 20, 2005 (incorporated by reference to Exhibit 10.1 to the</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Company’s Current Report on Form 8-K dated January 20, 2005).*</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10.2</w:t>
            </w:r>
          </w:p>
        </w:tc>
        <w:tc>
          <w:tcPr>
            <w:tcW w:w="9900" w:type="dxa"/>
            <w:vAlign w:val="bottom"/>
          </w:tcPr>
          <w:p>
            <w:pPr>
              <w:ind w:left="440"/>
              <w:spacing w:after="0"/>
              <w:rPr>
                <w:sz w:val="20"/>
                <w:szCs w:val="20"/>
                <w:color w:val="auto"/>
              </w:rPr>
            </w:pPr>
            <w:r>
              <w:rPr>
                <w:rFonts w:ascii="Arial" w:cs="Arial" w:eastAsia="Arial" w:hAnsi="Arial"/>
                <w:sz w:val="16"/>
                <w:szCs w:val="16"/>
                <w:color w:val="auto"/>
                <w:w w:val="92"/>
              </w:rPr>
              <w:t>The Washington Post Company Stock Option Plan as amended and restated effective May 31, 2003 (incorporated by reference to Exhibit 10.1 to</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the Company’s Quarterly Report on Form 10-Q for the quarter ended September 28, 2003).*</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10.3</w:t>
            </w: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The Washington Post Company Supplemental Executive Retirement Plan as amended and restated through March 14, 2002 (incorporated by</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reference to Exhibit 10.4 to the Company’s Annual Report on Form 10-K for the fiscal year ended December 30, 2001).*</w:t>
            </w:r>
          </w:p>
        </w:tc>
        <w:tc>
          <w:tcPr>
            <w:tcW w:w="0" w:type="dxa"/>
            <w:vAlign w:val="bottom"/>
          </w:tcPr>
          <w:p>
            <w:pPr>
              <w:spacing w:after="0"/>
              <w:rPr>
                <w:sz w:val="1"/>
                <w:szCs w:val="1"/>
                <w:color w:val="auto"/>
              </w:rPr>
            </w:pP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10.4</w:t>
            </w:r>
          </w:p>
        </w:tc>
        <w:tc>
          <w:tcPr>
            <w:tcW w:w="9900" w:type="dxa"/>
            <w:vAlign w:val="bottom"/>
          </w:tcPr>
          <w:p>
            <w:pPr>
              <w:ind w:left="440"/>
              <w:spacing w:after="0"/>
              <w:rPr>
                <w:sz w:val="20"/>
                <w:szCs w:val="20"/>
                <w:color w:val="auto"/>
              </w:rPr>
            </w:pPr>
            <w:r>
              <w:rPr>
                <w:rFonts w:ascii="Arial" w:cs="Arial" w:eastAsia="Arial" w:hAnsi="Arial"/>
                <w:sz w:val="16"/>
                <w:szCs w:val="16"/>
                <w:color w:val="auto"/>
                <w:w w:val="91"/>
              </w:rPr>
              <w:t>The Washington Post Company Deferred Compensation Plan as amended and restated effective February 24, 2005 (incorporated by reference to</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Exhibit 10.1 to the Company’s Current Report on Form 8-K dated February 28, 2005).*</w:t>
            </w:r>
          </w:p>
        </w:tc>
        <w:tc>
          <w:tcPr>
            <w:tcW w:w="0" w:type="dxa"/>
            <w:vAlign w:val="bottom"/>
          </w:tcPr>
          <w:p>
            <w:pPr>
              <w:spacing w:after="0"/>
              <w:rPr>
                <w:sz w:val="1"/>
                <w:szCs w:val="1"/>
                <w:color w:val="auto"/>
              </w:rPr>
            </w:pPr>
          </w:p>
        </w:tc>
      </w:tr>
      <w:tr>
        <w:trPr>
          <w:trHeight w:val="405"/>
        </w:trPr>
        <w:tc>
          <w:tcPr>
            <w:tcW w:w="1520" w:type="dxa"/>
            <w:vAlign w:val="bottom"/>
          </w:tcPr>
          <w:p>
            <w:pPr>
              <w:jc w:val="right"/>
              <w:ind w:right="480"/>
              <w:spacing w:after="0"/>
              <w:rPr>
                <w:sz w:val="20"/>
                <w:szCs w:val="20"/>
                <w:color w:val="auto"/>
              </w:rPr>
            </w:pPr>
            <w:r>
              <w:rPr>
                <w:rFonts w:ascii="Arial" w:cs="Arial" w:eastAsia="Arial" w:hAnsi="Arial"/>
                <w:sz w:val="16"/>
                <w:szCs w:val="16"/>
                <w:color w:val="auto"/>
              </w:rPr>
              <w:t>11</w:t>
            </w:r>
          </w:p>
        </w:tc>
        <w:tc>
          <w:tcPr>
            <w:tcW w:w="9900" w:type="dxa"/>
            <w:vAlign w:val="bottom"/>
          </w:tcPr>
          <w:p>
            <w:pPr>
              <w:ind w:left="440"/>
              <w:spacing w:after="0"/>
              <w:rPr>
                <w:sz w:val="20"/>
                <w:szCs w:val="20"/>
                <w:color w:val="auto"/>
              </w:rPr>
            </w:pPr>
            <w:r>
              <w:rPr>
                <w:rFonts w:ascii="Arial" w:cs="Arial" w:eastAsia="Arial" w:hAnsi="Arial"/>
                <w:sz w:val="16"/>
                <w:szCs w:val="16"/>
                <w:color w:val="auto"/>
              </w:rPr>
              <w:t>Calculation of earnings per share of common stock.</w:t>
            </w:r>
          </w:p>
        </w:tc>
        <w:tc>
          <w:tcPr>
            <w:tcW w:w="0" w:type="dxa"/>
            <w:vAlign w:val="bottom"/>
          </w:tcPr>
          <w:p>
            <w:pPr>
              <w:spacing w:after="0"/>
              <w:rPr>
                <w:sz w:val="1"/>
                <w:szCs w:val="1"/>
                <w:color w:val="auto"/>
              </w:rPr>
            </w:pPr>
          </w:p>
        </w:tc>
      </w:tr>
      <w:tr>
        <w:trPr>
          <w:trHeight w:val="405"/>
        </w:trPr>
        <w:tc>
          <w:tcPr>
            <w:tcW w:w="1520" w:type="dxa"/>
            <w:vAlign w:val="bottom"/>
          </w:tcPr>
          <w:p>
            <w:pPr>
              <w:jc w:val="right"/>
              <w:ind w:right="480"/>
              <w:spacing w:after="0"/>
              <w:rPr>
                <w:sz w:val="20"/>
                <w:szCs w:val="20"/>
                <w:color w:val="auto"/>
              </w:rPr>
            </w:pPr>
            <w:r>
              <w:rPr>
                <w:rFonts w:ascii="Arial" w:cs="Arial" w:eastAsia="Arial" w:hAnsi="Arial"/>
                <w:sz w:val="16"/>
                <w:szCs w:val="16"/>
                <w:color w:val="auto"/>
              </w:rPr>
              <w:t>21</w:t>
            </w:r>
          </w:p>
        </w:tc>
        <w:tc>
          <w:tcPr>
            <w:tcW w:w="9900" w:type="dxa"/>
            <w:vAlign w:val="bottom"/>
          </w:tcPr>
          <w:p>
            <w:pPr>
              <w:ind w:left="440"/>
              <w:spacing w:after="0"/>
              <w:rPr>
                <w:sz w:val="20"/>
                <w:szCs w:val="20"/>
                <w:color w:val="auto"/>
              </w:rPr>
            </w:pPr>
            <w:r>
              <w:rPr>
                <w:rFonts w:ascii="Arial" w:cs="Arial" w:eastAsia="Arial" w:hAnsi="Arial"/>
                <w:sz w:val="16"/>
                <w:szCs w:val="16"/>
                <w:color w:val="auto"/>
              </w:rPr>
              <w:t>List of subsidiaries of the Company.</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960" w:hanging="1169"/>
        <w:spacing w:after="0"/>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Consent of independent accountants.</w:t>
      </w:r>
    </w:p>
    <w:p>
      <w:pPr>
        <w:spacing w:after="0" w:line="221" w:lineRule="exact"/>
        <w:rPr>
          <w:rFonts w:ascii="Arial" w:cs="Arial" w:eastAsia="Arial" w:hAnsi="Arial"/>
          <w:sz w:val="16"/>
          <w:szCs w:val="16"/>
          <w:color w:val="auto"/>
        </w:rPr>
      </w:pPr>
    </w:p>
    <w:p>
      <w:pPr>
        <w:ind w:left="1960" w:hanging="1169"/>
        <w:spacing w:after="0"/>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Power of attorney dated February 24, 2005.</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06"/>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83"/>
              </w:rPr>
              <w:t>31.1</w:t>
            </w:r>
          </w:p>
        </w:tc>
        <w:tc>
          <w:tcPr>
            <w:tcW w:w="5000" w:type="dxa"/>
            <w:vAlign w:val="bottom"/>
            <w:gridSpan w:val="2"/>
          </w:tcPr>
          <w:p>
            <w:pPr>
              <w:ind w:left="440"/>
              <w:spacing w:after="0"/>
              <w:rPr>
                <w:sz w:val="20"/>
                <w:szCs w:val="20"/>
                <w:color w:val="auto"/>
              </w:rPr>
            </w:pPr>
            <w:r>
              <w:rPr>
                <w:rFonts w:ascii="Arial" w:cs="Arial" w:eastAsia="Arial" w:hAnsi="Arial"/>
                <w:sz w:val="16"/>
                <w:szCs w:val="16"/>
                <w:color w:val="auto"/>
                <w:w w:val="93"/>
              </w:rPr>
              <w:t>Rule 13a-14(a)/15d-14(a) Certification of the Chief Executive Officer.</w:t>
            </w:r>
          </w:p>
        </w:tc>
      </w:tr>
      <w:tr>
        <w:trPr>
          <w:trHeight w:val="405"/>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83"/>
              </w:rPr>
              <w:t>31.2</w:t>
            </w:r>
          </w:p>
        </w:tc>
        <w:tc>
          <w:tcPr>
            <w:tcW w:w="5000" w:type="dxa"/>
            <w:vAlign w:val="bottom"/>
            <w:gridSpan w:val="2"/>
          </w:tcPr>
          <w:p>
            <w:pPr>
              <w:ind w:left="440"/>
              <w:spacing w:after="0"/>
              <w:rPr>
                <w:sz w:val="20"/>
                <w:szCs w:val="20"/>
                <w:color w:val="auto"/>
              </w:rPr>
            </w:pPr>
            <w:r>
              <w:rPr>
                <w:rFonts w:ascii="Arial" w:cs="Arial" w:eastAsia="Arial" w:hAnsi="Arial"/>
                <w:sz w:val="16"/>
                <w:szCs w:val="16"/>
                <w:color w:val="auto"/>
                <w:w w:val="94"/>
              </w:rPr>
              <w:t>Rule 13a-14(a)/15d-14(a) Certification of the Chief Financial Officer.</w:t>
            </w:r>
          </w:p>
        </w:tc>
      </w:tr>
      <w:tr>
        <w:trPr>
          <w:trHeight w:val="405"/>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83"/>
              </w:rPr>
              <w:t>32.1</w:t>
            </w:r>
          </w:p>
        </w:tc>
        <w:tc>
          <w:tcPr>
            <w:tcW w:w="1320" w:type="dxa"/>
            <w:vAlign w:val="bottom"/>
          </w:tcPr>
          <w:p>
            <w:pPr>
              <w:ind w:left="440"/>
              <w:spacing w:after="0"/>
              <w:rPr>
                <w:sz w:val="20"/>
                <w:szCs w:val="20"/>
                <w:color w:val="auto"/>
              </w:rPr>
            </w:pPr>
            <w:r>
              <w:rPr>
                <w:rFonts w:ascii="Arial" w:cs="Arial" w:eastAsia="Arial" w:hAnsi="Arial"/>
                <w:sz w:val="16"/>
                <w:szCs w:val="16"/>
                <w:color w:val="auto"/>
                <w:w w:val="92"/>
              </w:rPr>
              <w:t>Section 1350</w:t>
            </w:r>
          </w:p>
        </w:tc>
        <w:tc>
          <w:tcPr>
            <w:tcW w:w="3680" w:type="dxa"/>
            <w:vAlign w:val="bottom"/>
          </w:tcPr>
          <w:p>
            <w:pPr>
              <w:ind w:left="20"/>
              <w:spacing w:after="0"/>
              <w:rPr>
                <w:sz w:val="20"/>
                <w:szCs w:val="20"/>
                <w:color w:val="auto"/>
              </w:rPr>
            </w:pPr>
            <w:r>
              <w:rPr>
                <w:rFonts w:ascii="Arial" w:cs="Arial" w:eastAsia="Arial" w:hAnsi="Arial"/>
                <w:sz w:val="16"/>
                <w:szCs w:val="16"/>
                <w:color w:val="auto"/>
              </w:rPr>
              <w:t>Certification of the Chief Executive Officer.</w:t>
            </w:r>
          </w:p>
        </w:tc>
      </w:tr>
      <w:tr>
        <w:trPr>
          <w:trHeight w:val="405"/>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83"/>
              </w:rPr>
              <w:t>32.2</w:t>
            </w:r>
          </w:p>
        </w:tc>
        <w:tc>
          <w:tcPr>
            <w:tcW w:w="1320" w:type="dxa"/>
            <w:vAlign w:val="bottom"/>
          </w:tcPr>
          <w:p>
            <w:pPr>
              <w:ind w:left="440"/>
              <w:spacing w:after="0"/>
              <w:rPr>
                <w:sz w:val="20"/>
                <w:szCs w:val="20"/>
                <w:color w:val="auto"/>
              </w:rPr>
            </w:pPr>
            <w:r>
              <w:rPr>
                <w:rFonts w:ascii="Arial" w:cs="Arial" w:eastAsia="Arial" w:hAnsi="Arial"/>
                <w:sz w:val="16"/>
                <w:szCs w:val="16"/>
                <w:color w:val="auto"/>
                <w:w w:val="92"/>
              </w:rPr>
              <w:t>Section 1350</w:t>
            </w:r>
          </w:p>
        </w:tc>
        <w:tc>
          <w:tcPr>
            <w:tcW w:w="3680" w:type="dxa"/>
            <w:vAlign w:val="bottom"/>
          </w:tcPr>
          <w:p>
            <w:pPr>
              <w:ind w:left="20"/>
              <w:spacing w:after="0"/>
              <w:rPr>
                <w:sz w:val="20"/>
                <w:szCs w:val="20"/>
                <w:color w:val="auto"/>
              </w:rPr>
            </w:pPr>
            <w:r>
              <w:rPr>
                <w:rFonts w:ascii="Arial" w:cs="Arial" w:eastAsia="Arial" w:hAnsi="Arial"/>
                <w:sz w:val="16"/>
                <w:szCs w:val="16"/>
                <w:color w:val="auto"/>
              </w:rPr>
              <w:t>Certification of the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 A management contract or compensatory plan or arrangement required to be included as an exhibit hereto pursuant to Item 15(c) of Form 10-K.</w:t>
      </w:r>
    </w:p>
    <w:p>
      <w:pPr>
        <w:spacing w:after="0" w:line="200" w:lineRule="exact"/>
        <w:rPr>
          <w:sz w:val="20"/>
          <w:szCs w:val="20"/>
          <w:color w:val="auto"/>
        </w:rPr>
      </w:pPr>
    </w:p>
    <w:p>
      <w:pPr>
        <w:spacing w:after="0" w:line="33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2004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954" w:right="239" w:bottom="1440" w:gutter="0" w:footer="0" w:header="0"/>
        </w:sectPr>
      </w:pPr>
    </w:p>
    <w:bookmarkStart w:id="67" w:name="page68"/>
    <w:bookmarkEnd w:id="67"/>
    <w:p>
      <w:pPr>
        <w:ind w:left="10480"/>
        <w:spacing w:after="0"/>
        <w:rPr>
          <w:sz w:val="20"/>
          <w:szCs w:val="20"/>
          <w:color w:val="auto"/>
        </w:rPr>
      </w:pPr>
      <w:r>
        <w:rPr>
          <w:rFonts w:ascii="Arial" w:cs="Arial" w:eastAsia="Arial" w:hAnsi="Arial"/>
          <w:sz w:val="17"/>
          <w:szCs w:val="17"/>
          <w:color w:val="auto"/>
        </w:rPr>
        <w:t>EXHIBIT 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EARNINGS PER SHARE OF 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color w:val="auto"/>
                <w:w w:val="94"/>
              </w:rPr>
              <w:t>Fiscal Year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2003</w:t>
            </w:r>
          </w:p>
        </w:tc>
        <w:tc>
          <w:tcPr>
            <w:tcW w:w="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Class A Common</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1,722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Class B Common (excluding shares issuable upon exercise of stock options – accounted for</w:t>
            </w:r>
          </w:p>
        </w:tc>
        <w:tc>
          <w:tcPr>
            <w:tcW w:w="2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7,841</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below)</w:t>
            </w:r>
          </w:p>
        </w:tc>
        <w:tc>
          <w:tcPr>
            <w:tcW w:w="22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Shares used in computation of basic earnings per share</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9,563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9,530</w:t>
            </w: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 – Shares assumed issuable upon exercise of stock options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line="201" w:lineRule="exact"/>
              <w:rPr>
                <w:sz w:val="20"/>
                <w:szCs w:val="20"/>
                <w:color w:val="auto"/>
              </w:rPr>
            </w:pPr>
            <w:r>
              <w:rPr>
                <w:rFonts w:ascii="Arial" w:cs="Arial" w:eastAsia="Arial" w:hAnsi="Arial"/>
                <w:sz w:val="18"/>
                <w:szCs w:val="18"/>
                <w:color w:val="auto"/>
                <w:w w:val="97"/>
              </w:rPr>
              <w:t>Deduct – Shares assumed to be purchased for Treasury with proceeds from exercise of stock</w:t>
            </w:r>
          </w:p>
        </w:tc>
        <w:tc>
          <w:tcPr>
            <w:tcW w:w="220" w:type="dxa"/>
            <w:vAlign w:val="bottom"/>
          </w:tcPr>
          <w:p>
            <w:pPr>
              <w:spacing w:after="0"/>
              <w:rPr>
                <w:sz w:val="17"/>
                <w:szCs w:val="17"/>
                <w:color w:val="auto"/>
              </w:rPr>
            </w:pPr>
          </w:p>
        </w:tc>
        <w:tc>
          <w:tcPr>
            <w:tcW w:w="128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diluted earnings per common share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331,740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240,061</w:t>
            </w:r>
          </w:p>
        </w:tc>
        <w:tc>
          <w:tcPr>
            <w:tcW w:w="5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34.69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6"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EXHIBIT 21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660" w:type="dxa"/>
            <w:vAlign w:val="bottom"/>
          </w:tcPr>
          <w:p>
            <w:pPr>
              <w:ind w:left="4280"/>
              <w:spacing w:after="0"/>
              <w:rPr>
                <w:sz w:val="20"/>
                <w:szCs w:val="20"/>
                <w:color w:val="auto"/>
              </w:rPr>
            </w:pPr>
            <w:r>
              <w:rPr>
                <w:rFonts w:ascii="Arial" w:cs="Arial" w:eastAsia="Arial" w:hAnsi="Arial"/>
                <w:sz w:val="18"/>
                <w:szCs w:val="18"/>
                <w:color w:val="auto"/>
              </w:rPr>
              <w:t>SUBSIDIARIES OF THE COMPANY</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3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60" w:type="dxa"/>
            <w:vAlign w:val="bottom"/>
            <w:tcBorders>
              <w:bottom w:val="single" w:sz="8" w:color="auto"/>
            </w:tcBorders>
          </w:tcPr>
          <w:p>
            <w:pPr>
              <w:ind w:left="3240"/>
              <w:spacing w:after="0"/>
              <w:rPr>
                <w:sz w:val="20"/>
                <w:szCs w:val="20"/>
                <w:color w:val="auto"/>
              </w:rPr>
            </w:pPr>
            <w:r>
              <w:rPr>
                <w:rFonts w:ascii="Arial" w:cs="Arial" w:eastAsia="Arial" w:hAnsi="Arial"/>
                <w:sz w:val="14"/>
                <w:szCs w:val="14"/>
                <w:color w:val="auto"/>
              </w:rPr>
              <w:t>Name of Subsidiary</w:t>
            </w:r>
          </w:p>
        </w:tc>
        <w:tc>
          <w:tcPr>
            <w:tcW w:w="38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3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Bowater Mersey Paper Company Limited</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Nova Scotia</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BRLLC Holdings, Inc.</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Cable One, Inc.</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Capitol Fiber, Inc.</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Maryland</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The Daily Herald Company</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Washington</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El Tiempo Latino LLC</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Express Publications Company, LCC</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Greater Washington Publishing, Inc.</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Kaplan, Inc.</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Accountancy &amp; Business College Holdings Limited</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Ireland</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Accountancy &amp; Business College (Ireland) Limited</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00"/>
              <w:spacing w:after="0"/>
              <w:rPr>
                <w:sz w:val="20"/>
                <w:szCs w:val="20"/>
                <w:color w:val="auto"/>
              </w:rPr>
            </w:pPr>
            <w:r>
              <w:rPr>
                <w:rFonts w:ascii="Arial" w:cs="Arial" w:eastAsia="Arial" w:hAnsi="Arial"/>
                <w:sz w:val="18"/>
                <w:szCs w:val="18"/>
                <w:color w:val="auto"/>
              </w:rPr>
              <w:t>Accountancy &amp; Business College (Software) Limited</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Ireland</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DBS Training Limited</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00"/>
              <w:spacing w:after="0"/>
              <w:rPr>
                <w:sz w:val="20"/>
                <w:szCs w:val="20"/>
                <w:color w:val="auto"/>
              </w:rPr>
            </w:pPr>
            <w:r>
              <w:rPr>
                <w:rFonts w:ascii="Arial" w:cs="Arial" w:eastAsia="Arial" w:hAnsi="Arial"/>
                <w:sz w:val="18"/>
                <w:szCs w:val="18"/>
                <w:color w:val="auto"/>
              </w:rPr>
              <w:t>DBS Recruitment Limited</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LSB College Limited</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00"/>
              <w:spacing w:after="0"/>
              <w:rPr>
                <w:sz w:val="20"/>
                <w:szCs w:val="20"/>
                <w:color w:val="auto"/>
              </w:rPr>
            </w:pPr>
            <w:r>
              <w:rPr>
                <w:rFonts w:ascii="Arial" w:cs="Arial" w:eastAsia="Arial" w:hAnsi="Arial"/>
                <w:sz w:val="18"/>
                <w:szCs w:val="18"/>
                <w:color w:val="auto"/>
              </w:rPr>
              <w:t>Buccleuch Estates Limited</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Newhall Printing Co. Limited</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00"/>
              <w:spacing w:after="0"/>
              <w:rPr>
                <w:sz w:val="20"/>
                <w:szCs w:val="20"/>
                <w:color w:val="auto"/>
              </w:rPr>
            </w:pPr>
            <w:r>
              <w:rPr>
                <w:rFonts w:ascii="Arial" w:cs="Arial" w:eastAsia="Arial" w:hAnsi="Arial"/>
                <w:sz w:val="18"/>
                <w:szCs w:val="18"/>
                <w:color w:val="auto"/>
              </w:rPr>
              <w:t>The Dublin Business College Limited</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Dublin Business School Limited</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American Educational Resources, Inc.</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Massachusetts</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Coxcourt Limited</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DP Group, Inc.</w:t>
            </w: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DF Institute, Inc.</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600"/>
              <w:spacing w:after="0"/>
              <w:rPr>
                <w:sz w:val="20"/>
                <w:szCs w:val="20"/>
                <w:color w:val="auto"/>
              </w:rPr>
            </w:pPr>
            <w:r>
              <w:rPr>
                <w:rFonts w:ascii="Arial" w:cs="Arial" w:eastAsia="Arial" w:hAnsi="Arial"/>
                <w:sz w:val="18"/>
                <w:szCs w:val="18"/>
                <w:color w:val="auto"/>
              </w:rPr>
              <w:t>Anthony Schools Corporation</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California</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7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SUBSIDIARIES OF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5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5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7"/>
              </w:rPr>
              <w:t>Equity</w:t>
            </w:r>
          </w:p>
        </w:tc>
      </w:tr>
      <w:tr>
        <w:trPr>
          <w:trHeight w:val="149"/>
        </w:trPr>
        <w:tc>
          <w:tcPr>
            <w:tcW w:w="5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4"/>
              </w:rPr>
              <w:t>Owned</w:t>
            </w:r>
          </w:p>
        </w:tc>
      </w:tr>
      <w:tr>
        <w:trPr>
          <w:trHeight w:val="167"/>
        </w:trPr>
        <w:tc>
          <w:tcPr>
            <w:tcW w:w="5040" w:type="dxa"/>
            <w:vAlign w:val="bottom"/>
            <w:tcBorders>
              <w:bottom w:val="single" w:sz="8" w:color="auto"/>
            </w:tcBorders>
          </w:tcPr>
          <w:p>
            <w:pPr>
              <w:ind w:left="3280"/>
              <w:spacing w:after="0"/>
              <w:rPr>
                <w:sz w:val="20"/>
                <w:szCs w:val="20"/>
                <w:color w:val="auto"/>
              </w:rPr>
            </w:pPr>
            <w:r>
              <w:rPr>
                <w:rFonts w:ascii="Arial" w:cs="Arial" w:eastAsia="Arial" w:hAnsi="Arial"/>
                <w:sz w:val="14"/>
                <w:szCs w:val="14"/>
                <w:color w:val="auto"/>
              </w:rPr>
              <w:t>Name of Subsidiary</w:t>
            </w:r>
          </w:p>
        </w:tc>
        <w:tc>
          <w:tcPr>
            <w:tcW w:w="2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Organization</w:t>
            </w:r>
          </w:p>
        </w:tc>
        <w:tc>
          <w:tcPr>
            <w:tcW w:w="3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by Parent</w:t>
            </w:r>
          </w:p>
        </w:tc>
      </w:tr>
      <w:tr>
        <w:trPr>
          <w:trHeight w:val="210"/>
        </w:trPr>
        <w:tc>
          <w:tcPr>
            <w:tcW w:w="5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Leonard’s Training Programs, Inc.</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Texas</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rPr>
              <w:t>Prosource Educational Services, Inc.</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Minnesota</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Dearborn Financial Publishing, Inc.</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Illinois</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Kaplan (Canada) Ltd.</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Ontario</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Kaplan Educational Services de Mexico, S. de R.L. de C.V.</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99%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Kaplan Higher Education Corporation</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Andon Colleges, Inc.</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California</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rPr>
              <w:t>DEST Education Corporation</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California</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California Academy of Merchandising, Art &amp; Design, Inc.</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CHI Acquisition Corp.</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Computer Hardware Service Company, Inc.</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Pennsylvania</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Denver Acquisition Corp.</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Educational Ventures (Texas), Inc.</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rPr>
              <w:t>Texas Educational Ventures, LLP</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Texas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HBC Acquisition Corp.</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Heritage-KHEC, Inc.</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Nevada</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ICM Acquisition Corp.</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Iowa College Acquisition Corp.</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KHEC-Florida, Inc.</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Florida</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KHEC-Maine, Inc.</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Maine</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Andover College</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Maine</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MTSX Acquisition Corp.</w:t>
            </w:r>
          </w:p>
        </w:tc>
        <w:tc>
          <w:tcPr>
            <w:tcW w:w="2660" w:type="dxa"/>
            <w:vAlign w:val="bottom"/>
          </w:tcPr>
          <w:p>
            <w:pPr>
              <w:spacing w:after="0"/>
              <w:rPr>
                <w:sz w:val="18"/>
                <w:szCs w:val="18"/>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Maric Learning Systems</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California</w:t>
            </w:r>
          </w:p>
        </w:tc>
        <w:tc>
          <w:tcPr>
            <w:tcW w:w="1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30"/>
        </w:trPr>
        <w:tc>
          <w:tcPr>
            <w:tcW w:w="5040" w:type="dxa"/>
            <w:vAlign w:val="bottom"/>
          </w:tcPr>
          <w:p>
            <w:pPr>
              <w:ind w:left="220"/>
              <w:spacing w:after="0"/>
              <w:rPr>
                <w:sz w:val="20"/>
                <w:szCs w:val="20"/>
                <w:color w:val="auto"/>
              </w:rPr>
            </w:pPr>
            <w:r>
              <w:rPr>
                <w:rFonts w:ascii="Arial" w:cs="Arial" w:eastAsia="Arial" w:hAnsi="Arial"/>
                <w:sz w:val="18"/>
                <w:szCs w:val="18"/>
                <w:color w:val="auto"/>
              </w:rPr>
              <w:t>New Hamsphire Acquisition Corp.</w:t>
            </w:r>
          </w:p>
        </w:tc>
        <w:tc>
          <w:tcPr>
            <w:tcW w:w="2660" w:type="dxa"/>
            <w:vAlign w:val="bottom"/>
          </w:tcPr>
          <w:p>
            <w:pPr>
              <w:spacing w:after="0"/>
              <w:rPr>
                <w:sz w:val="20"/>
                <w:szCs w:val="20"/>
                <w:color w:val="auto"/>
              </w:rPr>
            </w:pP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377"/>
        </w:trPr>
        <w:tc>
          <w:tcPr>
            <w:tcW w:w="5040" w:type="dxa"/>
            <w:vAlign w:val="bottom"/>
          </w:tcPr>
          <w:p>
            <w:pPr>
              <w:spacing w:after="0"/>
              <w:rPr>
                <w:sz w:val="24"/>
                <w:szCs w:val="24"/>
                <w:color w:val="auto"/>
              </w:rPr>
            </w:pPr>
          </w:p>
        </w:tc>
        <w:tc>
          <w:tcPr>
            <w:tcW w:w="2660" w:type="dxa"/>
            <w:vAlign w:val="bottom"/>
          </w:tcPr>
          <w:p>
            <w:pPr>
              <w:jc w:val="right"/>
              <w:ind w:right="185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504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SUBSIDIARIES OF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5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Voting</w:t>
            </w:r>
          </w:p>
        </w:tc>
      </w:tr>
      <w:tr>
        <w:trPr>
          <w:trHeight w:val="149"/>
        </w:trPr>
        <w:tc>
          <w:tcPr>
            <w:tcW w:w="5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5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r>
      <w:tr>
        <w:trPr>
          <w:trHeight w:val="167"/>
        </w:trPr>
        <w:tc>
          <w:tcPr>
            <w:tcW w:w="5460" w:type="dxa"/>
            <w:vAlign w:val="bottom"/>
            <w:tcBorders>
              <w:bottom w:val="single" w:sz="8" w:color="auto"/>
            </w:tcBorders>
          </w:tcPr>
          <w:p>
            <w:pPr>
              <w:ind w:left="3260"/>
              <w:spacing w:after="0"/>
              <w:rPr>
                <w:sz w:val="20"/>
                <w:szCs w:val="20"/>
                <w:color w:val="auto"/>
              </w:rPr>
            </w:pPr>
            <w:r>
              <w:rPr>
                <w:rFonts w:ascii="Arial" w:cs="Arial" w:eastAsia="Arial" w:hAnsi="Arial"/>
                <w:sz w:val="14"/>
                <w:szCs w:val="14"/>
                <w:color w:val="auto"/>
              </w:rPr>
              <w:t>Name of Subsidiary</w:t>
            </w:r>
          </w:p>
        </w:tc>
        <w:tc>
          <w:tcPr>
            <w:tcW w:w="22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3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r>
      <w:tr>
        <w:trPr>
          <w:trHeight w:val="210"/>
        </w:trPr>
        <w:tc>
          <w:tcPr>
            <w:tcW w:w="5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Hesser, Inc.</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New Hampshire</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OIOPT Acquisition Corp.</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Palo Vista College of Nursing &amp; Allied Health Sciences, Inc.</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Quest Ventures, LLC</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Texas Educational Ventures, LLP</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99%(d)</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RETS Acquisition Corp.</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Massachusetts</w:t>
            </w:r>
          </w:p>
        </w:tc>
        <w:tc>
          <w:tcPr>
            <w:tcW w:w="146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SACMD Acquisition Corp.</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Sawyer-KHEC, Inc.</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Indiana</w:t>
            </w:r>
          </w:p>
        </w:tc>
        <w:tc>
          <w:tcPr>
            <w:tcW w:w="146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Sawyer College, Inc.</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w w:val="94"/>
              </w:rPr>
              <w:t>Scottsdale Educational Center for Allied Health Careers, Incorporated</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Arizona</w:t>
            </w:r>
          </w:p>
        </w:tc>
        <w:tc>
          <w:tcPr>
            <w:tcW w:w="146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Tesst-Kap, LLC</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Thompson Education, LLC</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Kaplan International, Inc.</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Kaplan IT, Inc.</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Georgia</w:t>
            </w:r>
          </w:p>
        </w:tc>
        <w:tc>
          <w:tcPr>
            <w:tcW w:w="146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Kaplan Mexico Holdings, LLC</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Kaplan Educational Services de Mexico, S. de R.L. de C.V.</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Mexico</w:t>
            </w:r>
          </w:p>
        </w:tc>
        <w:tc>
          <w:tcPr>
            <w:tcW w:w="1460" w:type="dxa"/>
            <w:vAlign w:val="bottom"/>
            <w:gridSpan w:val="2"/>
          </w:tcPr>
          <w:p>
            <w:pPr>
              <w:jc w:val="right"/>
              <w:ind w:right="185"/>
              <w:spacing w:after="0"/>
              <w:rPr>
                <w:sz w:val="20"/>
                <w:szCs w:val="20"/>
                <w:color w:val="auto"/>
              </w:rPr>
            </w:pPr>
            <w:r>
              <w:rPr>
                <w:rFonts w:ascii="Arial" w:cs="Arial" w:eastAsia="Arial" w:hAnsi="Arial"/>
                <w:sz w:val="18"/>
                <w:szCs w:val="18"/>
                <w:color w:val="auto"/>
              </w:rPr>
              <w:t>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Kaplan (PR) Inc.</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Puerto Rico</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w:t>
            </w:r>
          </w:p>
        </w:tc>
      </w:tr>
      <w:tr>
        <w:trPr>
          <w:trHeight w:val="392"/>
        </w:trPr>
        <w:tc>
          <w:tcPr>
            <w:tcW w:w="5460" w:type="dxa"/>
            <w:vAlign w:val="bottom"/>
          </w:tcPr>
          <w:p>
            <w:pPr>
              <w:spacing w:after="0"/>
              <w:rPr>
                <w:sz w:val="24"/>
                <w:szCs w:val="24"/>
                <w:color w:val="auto"/>
              </w:rPr>
            </w:pPr>
          </w:p>
        </w:tc>
        <w:tc>
          <w:tcPr>
            <w:tcW w:w="2220" w:type="dxa"/>
            <w:vAlign w:val="bottom"/>
          </w:tcPr>
          <w:p>
            <w:pPr>
              <w:jc w:val="right"/>
              <w:ind w:right="183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54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SUBSIDIARIES OF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3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3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tcBorders>
              <w:bottom w:val="single" w:sz="8" w:color="auto"/>
            </w:tcBorders>
          </w:tcPr>
          <w:p>
            <w:pPr>
              <w:ind w:left="3200"/>
              <w:spacing w:after="0"/>
              <w:rPr>
                <w:sz w:val="20"/>
                <w:szCs w:val="20"/>
                <w:color w:val="auto"/>
              </w:rPr>
            </w:pPr>
            <w:r>
              <w:rPr>
                <w:rFonts w:ascii="Arial" w:cs="Arial" w:eastAsia="Arial" w:hAnsi="Arial"/>
                <w:sz w:val="14"/>
                <w:szCs w:val="14"/>
                <w:color w:val="auto"/>
              </w:rPr>
              <w:t>Name of Subsidiary</w:t>
            </w:r>
          </w:p>
        </w:tc>
        <w:tc>
          <w:tcPr>
            <w:tcW w:w="23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3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by Parent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Kaplan Test Prep International, Inc.</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California</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Kaplan U.K. Limited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Kaplan International Colleges U.K. Limited</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Kaplan NT Limited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FTC Holdings Limited</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The Financial Training Company Limited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Accountancy &amp; Financial Publishing Limited</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Accountancy &amp; Management Training Limited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Accountancy Tuition Centre (Eastern) Limited</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Accountancy Tutors Limited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AT Foulks Lynch Limited</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ATC (North West) Limited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Business Training for Accountants Limited</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Financial Training (City Courses) Ltd.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 Training Company (Mauritius) Limited</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Mauritius</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The Financial Training (Shanghai) Co., Ltd.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China (PR)</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The Financial Training Company (Singapore) Pte Limited</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Singapore</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Portman College Limited</w:t>
            </w:r>
          </w:p>
        </w:tc>
        <w:tc>
          <w:tcPr>
            <w:tcW w:w="2360" w:type="dxa"/>
            <w:vAlign w:val="bottom"/>
          </w:tcPr>
          <w:p>
            <w:pPr>
              <w:spacing w:after="0"/>
              <w:rPr>
                <w:sz w:val="18"/>
                <w:szCs w:val="18"/>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England &amp; Wales</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Score! Learning, Inc.</w:t>
            </w:r>
          </w:p>
        </w:tc>
        <w:tc>
          <w:tcPr>
            <w:tcW w:w="2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eScore.com, Inc.</w:t>
            </w:r>
          </w:p>
        </w:tc>
        <w:tc>
          <w:tcPr>
            <w:tcW w:w="2360" w:type="dxa"/>
            <w:vAlign w:val="bottom"/>
          </w:tcPr>
          <w:p>
            <w:pPr>
              <w:spacing w:after="0"/>
              <w:rPr>
                <w:sz w:val="20"/>
                <w:szCs w:val="20"/>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color w:val="auto"/>
              </w:rPr>
              <w:t>Delaware</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60" w:type="dxa"/>
            <w:vAlign w:val="bottom"/>
          </w:tcPr>
          <w:p>
            <w:pPr>
              <w:jc w:val="right"/>
              <w:ind w:right="175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SUBSIDIARIES OF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5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Voting</w:t>
            </w:r>
          </w:p>
        </w:tc>
      </w:tr>
      <w:tr>
        <w:trPr>
          <w:trHeight w:val="149"/>
        </w:trPr>
        <w:tc>
          <w:tcPr>
            <w:tcW w:w="5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5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r>
      <w:tr>
        <w:trPr>
          <w:trHeight w:val="167"/>
        </w:trPr>
        <w:tc>
          <w:tcPr>
            <w:tcW w:w="5240" w:type="dxa"/>
            <w:vAlign w:val="bottom"/>
            <w:tcBorders>
              <w:bottom w:val="single" w:sz="8" w:color="auto"/>
            </w:tcBorders>
          </w:tcPr>
          <w:p>
            <w:pPr>
              <w:ind w:left="3260"/>
              <w:spacing w:after="0"/>
              <w:rPr>
                <w:sz w:val="20"/>
                <w:szCs w:val="20"/>
                <w:color w:val="auto"/>
              </w:rPr>
            </w:pPr>
            <w:r>
              <w:rPr>
                <w:rFonts w:ascii="Arial" w:cs="Arial" w:eastAsia="Arial" w:hAnsi="Arial"/>
                <w:sz w:val="14"/>
                <w:szCs w:val="14"/>
                <w:color w:val="auto"/>
              </w:rPr>
              <w:t>Name of Subsidiary</w:t>
            </w:r>
          </w:p>
        </w:tc>
        <w:tc>
          <w:tcPr>
            <w:tcW w:w="2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3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r>
      <w:tr>
        <w:trPr>
          <w:trHeight w:val="210"/>
        </w:trPr>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Score! Educational Centers, Inc.</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Los Angeles Times-Washington Post News Service,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D.C.</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Newsprint, Inc.</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Newsweek,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Newsweek Budget Travel, Inc.</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Newsweek Productions,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Newsweek Services, Inc.</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Newsweek Services (Canada),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Post-Newsweek Media, Inc.</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Post-Newsweek Stations,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Post-Newsweek Stations, Florida, Inc.</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Post-Newsweek Stations, Houston GP,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Post-Newsweek Stations, Houston, LP</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Post-Newsweek Stations, Houston Holdings (Limited),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Post-Newsweek Stations, Houston, LP</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99%(d)</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Post-Newsweek Stations, Michigan,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Post-Newsweek Stations, Orlando, Inc.</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Post-Newsweek Stations, San Antonio GP,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Post-Newsweek Stations, San Antonio, LP</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Post-Newsweek Stations, San Antonio Holdings (Limited), Inc.</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Post-Newsweek Stations, San Antonio, LP</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99%(d)</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Robinson Terminal Warehouse Corporation</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Washingtonpost.Newsweek Interactive Company, LLC</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WP Company LLC</w:t>
            </w: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r>
      <w:tr>
        <w:trPr>
          <w:trHeight w:val="377"/>
        </w:trPr>
        <w:tc>
          <w:tcPr>
            <w:tcW w:w="5240" w:type="dxa"/>
            <w:vAlign w:val="bottom"/>
          </w:tcPr>
          <w:p>
            <w:pPr>
              <w:spacing w:after="0"/>
              <w:rPr>
                <w:sz w:val="24"/>
                <w:szCs w:val="24"/>
                <w:color w:val="auto"/>
              </w:rPr>
            </w:pPr>
          </w:p>
        </w:tc>
        <w:tc>
          <w:tcPr>
            <w:tcW w:w="2440" w:type="dxa"/>
            <w:vAlign w:val="bottom"/>
          </w:tcPr>
          <w:p>
            <w:pPr>
              <w:jc w:val="right"/>
              <w:ind w:right="183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524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color w:val="auto"/>
        </w:rPr>
        <w:t>SUBSIDIARIES OF THE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9037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94" w:lineRule="exact"/>
        <w:rPr>
          <w:sz w:val="20"/>
          <w:szCs w:val="20"/>
          <w:color w:val="auto"/>
        </w:rPr>
      </w:pPr>
    </w:p>
    <w:p>
      <w:pPr>
        <w:ind w:left="680" w:hanging="334"/>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Coxcourt Limited also owns voting stock in Accountancy &amp; Business College Holdings Limited. The combined stock ownership of Kaplan, Inc. and Coxcourt Limited in Accounting &amp; Business College Holdings Limited is 100%.</w:t>
      </w:r>
    </w:p>
    <w:p>
      <w:pPr>
        <w:spacing w:after="0" w:line="170" w:lineRule="exact"/>
        <w:rPr>
          <w:rFonts w:ascii="Arial" w:cs="Arial" w:eastAsia="Arial" w:hAnsi="Arial"/>
          <w:sz w:val="18"/>
          <w:szCs w:val="18"/>
          <w:color w:val="auto"/>
        </w:rPr>
      </w:pPr>
    </w:p>
    <w:p>
      <w:pPr>
        <w:ind w:left="680" w:right="340" w:hanging="334"/>
        <w:spacing w:after="0" w:line="308" w:lineRule="auto"/>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Kaplan, Inc. also owns voting stock in Accountancy &amp; Business College (Software) Limited. The combined stock ownership of Accountancy &amp; Business College Holdings Limited and Kaplan, Inc. in Accountancy &amp; Business College (Software) Limited is 100%.</w:t>
      </w:r>
    </w:p>
    <w:p>
      <w:pPr>
        <w:spacing w:after="0" w:line="146" w:lineRule="exact"/>
        <w:rPr>
          <w:rFonts w:ascii="Arial" w:cs="Arial" w:eastAsia="Arial" w:hAnsi="Arial"/>
          <w:sz w:val="17"/>
          <w:szCs w:val="17"/>
          <w:color w:val="auto"/>
        </w:rPr>
      </w:pPr>
    </w:p>
    <w:p>
      <w:pPr>
        <w:ind w:left="680" w:hanging="334"/>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partnership interest.</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partnership interest.</w:t>
      </w:r>
    </w:p>
    <w:p>
      <w:pPr>
        <w:spacing w:after="0" w:line="225" w:lineRule="exact"/>
        <w:rPr>
          <w:sz w:val="20"/>
          <w:szCs w:val="20"/>
          <w:color w:val="auto"/>
        </w:rPr>
      </w:pPr>
    </w:p>
    <w:p>
      <w:pPr>
        <w:ind w:right="720" w:firstLine="260"/>
        <w:spacing w:after="0" w:line="308" w:lineRule="auto"/>
        <w:rPr>
          <w:sz w:val="20"/>
          <w:szCs w:val="20"/>
          <w:color w:val="auto"/>
        </w:rPr>
      </w:pPr>
      <w:r>
        <w:rPr>
          <w:rFonts w:ascii="Arial" w:cs="Arial" w:eastAsia="Arial" w:hAnsi="Arial"/>
          <w:sz w:val="17"/>
          <w:szCs w:val="17"/>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935" w:right="2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8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hereby consent to the incorporation by reference in the Registration Statements on Form S-3 (Registration Nos. 333-72162 and 333-71350) and Form S-8 (Registration No. 2-42170) of The Washington Post Company, and in the Prospectuses constituting a part thereof, of our report dated March 1, 2005 relating to the financial statements, management’s assessment of the effectiveness of internal control over financial reporting and the effectiveness of internal control over financial reporting, which appears in this Annual Report on Form 10-K, and to the reference to us under the heading “Experts” in such Prospectuses.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2005</w:t>
      </w:r>
    </w:p>
    <w:p>
      <w:pPr>
        <w:sectPr>
          <w:pgSz w:w="11900" w:h="16838" w:orient="portrait"/>
          <w:cols w:equalWidth="0" w:num="1">
            <w:col w:w="11420"/>
          </w:cols>
          <w:pgMar w:left="240" w:top="936" w:right="239" w:bottom="1440" w:gutter="0" w:footer="0" w:header="0"/>
        </w:sectPr>
      </w:pPr>
    </w:p>
    <w:bookmarkStart w:id="75" w:name="page76"/>
    <w:bookmarkEnd w:id="75"/>
    <w:p>
      <w:pPr>
        <w:ind w:left="10480"/>
        <w:spacing w:after="0"/>
        <w:rPr>
          <w:sz w:val="20"/>
          <w:szCs w:val="20"/>
          <w:color w:val="auto"/>
        </w:rPr>
      </w:pPr>
      <w:r>
        <w:rPr>
          <w:rFonts w:ascii="Arial" w:cs="Arial" w:eastAsia="Arial" w:hAnsi="Arial"/>
          <w:sz w:val="17"/>
          <w:szCs w:val="17"/>
          <w:color w:val="auto"/>
        </w:rPr>
        <w:t>EXHIBIT 24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170"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24, 2005</w:t>
      </w:r>
    </w:p>
    <w:p>
      <w:pPr>
        <w:spacing w:after="0" w:line="208" w:lineRule="exact"/>
        <w:rPr>
          <w:sz w:val="20"/>
          <w:szCs w:val="20"/>
          <w:color w:val="auto"/>
        </w:rPr>
      </w:pPr>
    </w:p>
    <w:p>
      <w:pPr>
        <w:ind w:right="120" w:firstLine="270"/>
        <w:spacing w:after="0" w:line="270" w:lineRule="auto"/>
        <w:rPr>
          <w:sz w:val="20"/>
          <w:szCs w:val="20"/>
          <w:color w:val="auto"/>
        </w:rPr>
      </w:pPr>
      <w:r>
        <w:rPr>
          <w:rFonts w:ascii="Arial" w:cs="Arial" w:eastAsia="Arial" w:hAnsi="Arial"/>
          <w:sz w:val="17"/>
          <w:szCs w:val="17"/>
          <w:color w:val="auto"/>
        </w:rPr>
        <w:t>KNOW ALL MEN BY THESE PRESENTS that each of the undersigned directors and officers of The Washington Post Company, a Delaware corporation (hereinafter called the “Company”), hereby constitutes and appoints DONALD E. GRAHAM, JOHN B. MORSE, JR. and DIANA M. DANIELS,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936" w:right="239" w:bottom="1440" w:gutter="0" w:footer="0" w:header="0"/>
        </w:sect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Donald E. Graham, Chairman of the Board and Chief Executive Officer (Principal Executive Officer) and Director</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John B. Morse, Jr., Vice President-Finance (Principal Financial and Accounting Officer)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Warren E. Buffett, Director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Barry Diller, Director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L. Dotson Jr., Director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Melinda French Gates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Melinda French Gates,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George J. Gillespie,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George J. Gillespie, III, Director</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Ronald L. Olson, Director</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Alice M. Rivlin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Alice M. Rivlin, Director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Richard 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Richard D. Simmons, Director</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George 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W. Wilson, Director</w:t>
      </w:r>
    </w:p>
    <w:p>
      <w:pPr>
        <w:sectPr>
          <w:pgSz w:w="11900" w:h="16838" w:orient="portrait"/>
          <w:cols w:equalWidth="0" w:num="2">
            <w:col w:w="5560" w:space="720"/>
            <w:col w:w="5140"/>
          </w:cols>
          <w:pgMar w:left="240" w:top="936" w:right="2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RULE 13a-14(a)/15d-14(a) CERTIFICATION OF THE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85" w:lineRule="exact"/>
        <w:rPr>
          <w:sz w:val="20"/>
          <w:szCs w:val="20"/>
          <w:color w:val="auto"/>
        </w:rPr>
      </w:pPr>
    </w:p>
    <w:p>
      <w:pPr>
        <w:ind w:left="480" w:hanging="185"/>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98" w:lineRule="exact"/>
        <w:rPr>
          <w:rFonts w:ascii="Arial" w:cs="Arial" w:eastAsia="Arial" w:hAnsi="Arial"/>
          <w:sz w:val="18"/>
          <w:szCs w:val="18"/>
          <w:color w:val="auto"/>
        </w:rPr>
      </w:pPr>
    </w:p>
    <w:p>
      <w:pPr>
        <w:ind w:left="80" w:right="100" w:firstLine="215"/>
        <w:spacing w:after="0" w:line="342" w:lineRule="auto"/>
        <w:tabs>
          <w:tab w:leader="none" w:pos="4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80" w:right="200" w:firstLine="215"/>
        <w:spacing w:after="0" w:line="277"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0" w:right="180" w:firstLine="215"/>
        <w:spacing w:after="0" w:line="264"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ind w:left="80" w:right="280" w:firstLine="215"/>
        <w:spacing w:after="0" w:line="264" w:lineRule="auto"/>
        <w:tabs>
          <w:tab w:leader="none" w:pos="5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80" w:right="540" w:firstLine="215"/>
        <w:spacing w:after="0" w:line="264"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80" w:right="840" w:firstLine="215"/>
        <w:spacing w:after="0" w:line="342" w:lineRule="auto"/>
        <w:tabs>
          <w:tab w:leader="none" w:pos="5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ind w:left="80" w:right="220" w:firstLine="215"/>
        <w:spacing w:after="0" w:line="308" w:lineRule="auto"/>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reasonable likely to materially affect, the Registrant’s internal control over financial reporting;</w:t>
      </w:r>
    </w:p>
    <w:p>
      <w:pPr>
        <w:spacing w:after="0" w:line="106" w:lineRule="exact"/>
        <w:rPr>
          <w:sz w:val="20"/>
          <w:szCs w:val="20"/>
          <w:color w:val="auto"/>
        </w:rPr>
      </w:pPr>
    </w:p>
    <w:p>
      <w:pPr>
        <w:ind w:left="80" w:right="20" w:firstLine="215"/>
        <w:spacing w:after="0" w:line="308" w:lineRule="auto"/>
        <w:tabs>
          <w:tab w:leader="none" w:pos="48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sz w:val="20"/>
          <w:szCs w:val="20"/>
          <w:color w:val="auto"/>
        </w:rPr>
      </w:pPr>
    </w:p>
    <w:p>
      <w:pPr>
        <w:ind w:left="80" w:right="280" w:firstLine="215"/>
        <w:spacing w:after="0" w:line="277" w:lineRule="auto"/>
        <w:tabs>
          <w:tab w:leader="none" w:pos="5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0" w:right="180" w:firstLine="215"/>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w w:val="94"/>
              </w:rPr>
              <w:t>By</w:t>
            </w:r>
          </w:p>
        </w:tc>
        <w:tc>
          <w:tcPr>
            <w:tcW w:w="3940" w:type="dxa"/>
            <w:vAlign w:val="bottom"/>
            <w:vMerge w:val="restart"/>
          </w:tcPr>
          <w:p>
            <w:pPr>
              <w:jc w:val="center"/>
              <w:spacing w:after="0"/>
              <w:rPr>
                <w:sz w:val="20"/>
                <w:szCs w:val="20"/>
                <w:color w:val="auto"/>
              </w:rPr>
            </w:pPr>
            <w:r>
              <w:rPr>
                <w:rFonts w:ascii="Arial" w:cs="Arial" w:eastAsia="Arial" w:hAnsi="Arial"/>
                <w:sz w:val="18"/>
                <w:szCs w:val="18"/>
                <w:color w:val="auto"/>
                <w:w w:val="91"/>
              </w:rPr>
              <w:t>/s/ Donald E. Graham</w:t>
            </w: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3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tcPr>
          <w:p>
            <w:pPr>
              <w:spacing w:after="0"/>
              <w:rPr>
                <w:sz w:val="20"/>
                <w:szCs w:val="20"/>
                <w:color w:val="auto"/>
              </w:rPr>
            </w:pPr>
            <w:r>
              <w:rPr>
                <w:rFonts w:ascii="Arial" w:cs="Arial" w:eastAsia="Arial" w:hAnsi="Arial"/>
                <w:sz w:val="18"/>
                <w:szCs w:val="18"/>
                <w:color w:val="auto"/>
              </w:rPr>
              <w:t>Date: March 2, 2005</w:t>
            </w:r>
          </w:p>
        </w:tc>
        <w:tc>
          <w:tcPr>
            <w:tcW w:w="210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6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3940" w:type="dxa"/>
            <w:vAlign w:val="bottom"/>
          </w:tcPr>
          <w:p>
            <w:pPr>
              <w:jc w:val="center"/>
              <w:spacing w:after="0" w:line="195" w:lineRule="exact"/>
              <w:rPr>
                <w:sz w:val="20"/>
                <w:szCs w:val="20"/>
                <w:color w:val="auto"/>
              </w:rPr>
            </w:pPr>
            <w:r>
              <w:rPr>
                <w:rFonts w:ascii="Arial" w:cs="Arial" w:eastAsia="Arial" w:hAnsi="Arial"/>
                <w:sz w:val="18"/>
                <w:szCs w:val="18"/>
                <w:color w:val="auto"/>
                <w:w w:val="90"/>
              </w:rPr>
              <w:t>Donald E. Graham,</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c>
          <w:tcPr>
            <w:tcW w:w="0" w:type="dxa"/>
            <w:vAlign w:val="bottom"/>
          </w:tcPr>
          <w:p>
            <w:pPr>
              <w:spacing w:after="0"/>
              <w:rPr>
                <w:sz w:val="1"/>
                <w:szCs w:val="1"/>
                <w:color w:val="auto"/>
              </w:rPr>
            </w:pPr>
          </w:p>
        </w:tc>
      </w:tr>
    </w:tbl>
    <w:p>
      <w:pPr>
        <w:sectPr>
          <w:pgSz w:w="11900" w:h="16838" w:orient="portrait"/>
          <w:cols w:equalWidth="0" w:num="1">
            <w:col w:w="11140"/>
          </w:cols>
          <w:pgMar w:left="520" w:top="93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RULE 13a-14(a)/15d-14(a) CERTIFICATION OF THE CHIEF FINANCIAL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185" w:lineRule="exact"/>
        <w:rPr>
          <w:sz w:val="20"/>
          <w:szCs w:val="20"/>
          <w:color w:val="auto"/>
        </w:rPr>
      </w:pPr>
    </w:p>
    <w:p>
      <w:pPr>
        <w:ind w:left="480" w:hanging="185"/>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98" w:lineRule="exact"/>
        <w:rPr>
          <w:rFonts w:ascii="Arial" w:cs="Arial" w:eastAsia="Arial" w:hAnsi="Arial"/>
          <w:sz w:val="18"/>
          <w:szCs w:val="18"/>
          <w:color w:val="auto"/>
        </w:rPr>
      </w:pPr>
    </w:p>
    <w:p>
      <w:pPr>
        <w:ind w:left="80" w:right="100" w:firstLine="215"/>
        <w:spacing w:after="0" w:line="342" w:lineRule="auto"/>
        <w:tabs>
          <w:tab w:leader="none" w:pos="4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80" w:right="200" w:firstLine="215"/>
        <w:spacing w:after="0" w:line="277" w:lineRule="auto"/>
        <w:tabs>
          <w:tab w:leader="none" w:pos="4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0" w:right="180" w:firstLine="215"/>
        <w:spacing w:after="0" w:line="264" w:lineRule="auto"/>
        <w:tabs>
          <w:tab w:leader="none" w:pos="4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ind w:left="80" w:right="280" w:firstLine="215"/>
        <w:spacing w:after="0" w:line="264" w:lineRule="auto"/>
        <w:tabs>
          <w:tab w:leader="none" w:pos="5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80" w:right="540" w:firstLine="215"/>
        <w:spacing w:after="0" w:line="264"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80" w:right="840" w:firstLine="215"/>
        <w:spacing w:after="0" w:line="342" w:lineRule="auto"/>
        <w:tabs>
          <w:tab w:leader="none" w:pos="5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ind w:left="80" w:right="220" w:firstLine="215"/>
        <w:spacing w:after="0" w:line="308" w:lineRule="auto"/>
        <w:tabs>
          <w:tab w:leader="none" w:pos="5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reasonable likely to materially affect, the Registrant’s internal control over financial reporting;</w:t>
      </w:r>
    </w:p>
    <w:p>
      <w:pPr>
        <w:spacing w:after="0" w:line="106" w:lineRule="exact"/>
        <w:rPr>
          <w:sz w:val="20"/>
          <w:szCs w:val="20"/>
          <w:color w:val="auto"/>
        </w:rPr>
      </w:pPr>
    </w:p>
    <w:p>
      <w:pPr>
        <w:ind w:left="80" w:right="20" w:firstLine="215"/>
        <w:spacing w:after="0" w:line="308" w:lineRule="auto"/>
        <w:tabs>
          <w:tab w:leader="none" w:pos="4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sz w:val="20"/>
          <w:szCs w:val="20"/>
          <w:color w:val="auto"/>
        </w:rPr>
      </w:pPr>
    </w:p>
    <w:p>
      <w:pPr>
        <w:ind w:left="80" w:right="280" w:firstLine="215"/>
        <w:spacing w:after="0" w:line="277" w:lineRule="auto"/>
        <w:tabs>
          <w:tab w:leader="none" w:pos="5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0" w:right="180" w:firstLine="215"/>
        <w:spacing w:after="0" w:line="277"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w w:val="94"/>
              </w:rPr>
              <w:t>By</w:t>
            </w:r>
          </w:p>
        </w:tc>
        <w:tc>
          <w:tcPr>
            <w:tcW w:w="3940" w:type="dxa"/>
            <w:vAlign w:val="bottom"/>
            <w:vMerge w:val="restart"/>
          </w:tcPr>
          <w:p>
            <w:pPr>
              <w:ind w:left="1160"/>
              <w:spacing w:after="0"/>
              <w:rPr>
                <w:sz w:val="20"/>
                <w:szCs w:val="20"/>
                <w:color w:val="auto"/>
              </w:rPr>
            </w:pPr>
            <w:r>
              <w:rPr>
                <w:rFonts w:ascii="Arial" w:cs="Arial" w:eastAsia="Arial" w:hAnsi="Arial"/>
                <w:sz w:val="18"/>
                <w:szCs w:val="18"/>
                <w:color w:val="auto"/>
              </w:rPr>
              <w:t>/s/ John B. Morse, Jr.</w:t>
            </w: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3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tcPr>
          <w:p>
            <w:pPr>
              <w:spacing w:after="0"/>
              <w:rPr>
                <w:sz w:val="20"/>
                <w:szCs w:val="20"/>
                <w:color w:val="auto"/>
              </w:rPr>
            </w:pPr>
            <w:r>
              <w:rPr>
                <w:rFonts w:ascii="Arial" w:cs="Arial" w:eastAsia="Arial" w:hAnsi="Arial"/>
                <w:sz w:val="18"/>
                <w:szCs w:val="18"/>
                <w:color w:val="auto"/>
              </w:rPr>
              <w:t>Date: March 2, 2005</w:t>
            </w:r>
          </w:p>
        </w:tc>
        <w:tc>
          <w:tcPr>
            <w:tcW w:w="210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6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3940" w:type="dxa"/>
            <w:vAlign w:val="bottom"/>
          </w:tcPr>
          <w:p>
            <w:pPr>
              <w:jc w:val="center"/>
              <w:spacing w:after="0" w:line="195" w:lineRule="exact"/>
              <w:rPr>
                <w:sz w:val="20"/>
                <w:szCs w:val="20"/>
                <w:color w:val="auto"/>
              </w:rPr>
            </w:pPr>
            <w:r>
              <w:rPr>
                <w:rFonts w:ascii="Arial" w:cs="Arial" w:eastAsia="Arial" w:hAnsi="Arial"/>
                <w:sz w:val="18"/>
                <w:szCs w:val="18"/>
                <w:color w:val="auto"/>
                <w:w w:val="88"/>
              </w:rPr>
              <w:t>John B. Morse, Jr.,</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9"/>
              </w:rPr>
              <w:t>Vice President–Finance</w:t>
            </w:r>
          </w:p>
        </w:tc>
        <w:tc>
          <w:tcPr>
            <w:tcW w:w="0" w:type="dxa"/>
            <w:vAlign w:val="bottom"/>
          </w:tcPr>
          <w:p>
            <w:pPr>
              <w:spacing w:after="0"/>
              <w:rPr>
                <w:sz w:val="1"/>
                <w:szCs w:val="1"/>
                <w:color w:val="auto"/>
              </w:rPr>
            </w:pPr>
          </w:p>
        </w:tc>
      </w:tr>
    </w:tbl>
    <w:p>
      <w:pPr>
        <w:sectPr>
          <w:pgSz w:w="11900" w:h="16838" w:orient="portrait"/>
          <w:cols w:equalWidth="0" w:num="1">
            <w:col w:w="11140"/>
          </w:cols>
          <w:pgMar w:left="520" w:top="93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18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period ending January 2, 2005 (the “Report”), I, Donald E. Graham, Chief Executive Officer (principal executive officer) of the Company, certify, pursuant to 18 U.S.C. § 1350, as adopted pursuant to § 906 of the Sarbanes-Oxley Act of 2002, that:</w:t>
      </w:r>
    </w:p>
    <w:p>
      <w:pPr>
        <w:spacing w:after="0" w:line="181" w:lineRule="exact"/>
        <w:rPr>
          <w:sz w:val="20"/>
          <w:szCs w:val="20"/>
          <w:color w:val="auto"/>
        </w:rPr>
      </w:pPr>
    </w:p>
    <w:p>
      <w:pPr>
        <w:ind w:left="680" w:hanging="334"/>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 2005</w:t>
            </w:r>
          </w:p>
        </w:tc>
        <w:tc>
          <w:tcPr>
            <w:tcW w:w="4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/s/ Donald E. Graham</w:t>
            </w:r>
          </w:p>
        </w:tc>
      </w:tr>
      <w:tr>
        <w:trPr>
          <w:trHeight w:val="195"/>
        </w:trPr>
        <w:tc>
          <w:tcPr>
            <w:tcW w:w="5500" w:type="dxa"/>
            <w:vAlign w:val="bottom"/>
          </w:tcPr>
          <w:p>
            <w:pPr>
              <w:spacing w:after="0"/>
              <w:rPr>
                <w:sz w:val="16"/>
                <w:szCs w:val="16"/>
                <w:color w:val="auto"/>
              </w:rPr>
            </w:pPr>
          </w:p>
        </w:tc>
        <w:tc>
          <w:tcPr>
            <w:tcW w:w="4220" w:type="dxa"/>
            <w:vAlign w:val="bottom"/>
          </w:tcPr>
          <w:p>
            <w:pPr>
              <w:jc w:val="center"/>
              <w:spacing w:after="0" w:line="195" w:lineRule="exact"/>
              <w:rPr>
                <w:sz w:val="20"/>
                <w:szCs w:val="20"/>
                <w:color w:val="auto"/>
              </w:rPr>
            </w:pPr>
            <w:r>
              <w:rPr>
                <w:rFonts w:ascii="Arial" w:cs="Arial" w:eastAsia="Arial" w:hAnsi="Arial"/>
                <w:sz w:val="18"/>
                <w:szCs w:val="18"/>
                <w:color w:val="auto"/>
                <w:w w:val="90"/>
              </w:rPr>
              <w:t>Donald E. Graham,</w:t>
            </w:r>
          </w:p>
        </w:tc>
      </w:tr>
      <w:tr>
        <w:trPr>
          <w:trHeight w:val="230"/>
        </w:trPr>
        <w:tc>
          <w:tcPr>
            <w:tcW w:w="55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420"/>
          </w:cols>
          <w:pgMar w:left="240" w:top="93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18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period ending January 2, 2005 (the “Report”), I, John B. Morse, Jr., Vice President–Finance (principal financial officer) of the Company, certify, pursuant to 18 U.S.C. § 1350, as adopted pursuant to § 906 of the Sarbanes-Oxley Act of 2002, that:</w:t>
      </w:r>
    </w:p>
    <w:p>
      <w:pPr>
        <w:spacing w:after="0" w:line="181" w:lineRule="exact"/>
        <w:rPr>
          <w:sz w:val="20"/>
          <w:szCs w:val="20"/>
          <w:color w:val="auto"/>
        </w:rPr>
      </w:pPr>
    </w:p>
    <w:p>
      <w:pPr>
        <w:ind w:left="920" w:hanging="345"/>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345"/>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 2005</w:t>
            </w:r>
          </w:p>
        </w:tc>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 John B. Morse, Jr.</w:t>
            </w:r>
          </w:p>
        </w:tc>
      </w:tr>
      <w:tr>
        <w:trPr>
          <w:trHeight w:val="195"/>
        </w:trPr>
        <w:tc>
          <w:tcPr>
            <w:tcW w:w="5500" w:type="dxa"/>
            <w:vAlign w:val="bottom"/>
          </w:tcPr>
          <w:p>
            <w:pPr>
              <w:spacing w:after="0"/>
              <w:rPr>
                <w:sz w:val="16"/>
                <w:szCs w:val="16"/>
                <w:color w:val="auto"/>
              </w:rPr>
            </w:pPr>
          </w:p>
        </w:tc>
        <w:tc>
          <w:tcPr>
            <w:tcW w:w="4220" w:type="dxa"/>
            <w:vAlign w:val="bottom"/>
          </w:tcPr>
          <w:p>
            <w:pPr>
              <w:jc w:val="center"/>
              <w:spacing w:after="0" w:line="195" w:lineRule="exact"/>
              <w:rPr>
                <w:sz w:val="20"/>
                <w:szCs w:val="20"/>
                <w:color w:val="auto"/>
              </w:rPr>
            </w:pPr>
            <w:r>
              <w:rPr>
                <w:rFonts w:ascii="Arial" w:cs="Arial" w:eastAsia="Arial" w:hAnsi="Arial"/>
                <w:sz w:val="18"/>
                <w:szCs w:val="18"/>
                <w:color w:val="auto"/>
                <w:w w:val="90"/>
              </w:rPr>
              <w:t>John B. Morse, Jr.,</w:t>
            </w:r>
          </w:p>
        </w:tc>
      </w:tr>
      <w:tr>
        <w:trPr>
          <w:trHeight w:val="230"/>
        </w:trPr>
        <w:tc>
          <w:tcPr>
            <w:tcW w:w="55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Vice President–Finance</w:t>
            </w:r>
          </w:p>
        </w:tc>
      </w:tr>
    </w:tbl>
    <w:p>
      <w:pPr>
        <w:spacing w:after="0" w:line="1" w:lineRule="exact"/>
        <w:rPr>
          <w:sz w:val="20"/>
          <w:szCs w:val="20"/>
          <w:color w:val="auto"/>
        </w:rPr>
      </w:pP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amp;"/>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23"/>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2019-12-13T07:57:07Z</dcterms:created>
  <dcterms:modified xsi:type="dcterms:W3CDTF">2019-12-13T07:57:07Z</dcterms:modified>
</cp:coreProperties>
</file>