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7"/>
        <w:spacing w:after="0"/>
        <w:rPr>
          <w:sz w:val="20"/>
          <w:szCs w:val="20"/>
          <w:color w:val="auto"/>
        </w:rPr>
      </w:pPr>
      <w:r>
        <w:rPr>
          <w:rFonts w:ascii="Courier New" w:cs="Courier New" w:eastAsia="Courier New" w:hAnsi="Courier New"/>
          <w:sz w:val="15"/>
          <w:szCs w:val="15"/>
          <w:color w:val="auto"/>
        </w:rPr>
        <w:t>1</w:t>
      </w:r>
    </w:p>
    <w:p>
      <w:pPr>
        <w:spacing w:after="0" w:line="5" w:lineRule="exact"/>
        <w:rPr>
          <w:sz w:val="24"/>
          <w:szCs w:val="24"/>
          <w:color w:val="auto"/>
        </w:rPr>
      </w:pPr>
    </w:p>
    <w:p>
      <w:pPr>
        <w:jc w:val="center"/>
        <w:ind w:right="2852"/>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Quarterly Report Pursuant to Section 13 or 15(d)</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200" w:lineRule="exact"/>
        <w:rPr>
          <w:sz w:val="24"/>
          <w:szCs w:val="24"/>
          <w:color w:val="auto"/>
        </w:rPr>
      </w:pPr>
    </w:p>
    <w:p>
      <w:pPr>
        <w:spacing w:after="0" w:line="329"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For the Quarterly</w:t>
      </w:r>
    </w:p>
    <w:p>
      <w:pPr>
        <w:spacing w:after="0" w:line="5" w:lineRule="exact"/>
        <w:rPr>
          <w:sz w:val="24"/>
          <w:szCs w:val="24"/>
          <w:color w:val="auto"/>
        </w:rPr>
      </w:pPr>
    </w:p>
    <w:p>
      <w:pPr>
        <w:ind w:left="7"/>
        <w:spacing w:after="0"/>
        <w:tabs>
          <w:tab w:leader="none" w:pos="1346" w:val="left"/>
        </w:tabs>
        <w:rPr>
          <w:sz w:val="20"/>
          <w:szCs w:val="20"/>
          <w:color w:val="auto"/>
        </w:rPr>
      </w:pPr>
      <w:r>
        <w:rPr>
          <w:rFonts w:ascii="Courier New" w:cs="Courier New" w:eastAsia="Courier New" w:hAnsi="Courier New"/>
          <w:sz w:val="15"/>
          <w:szCs w:val="15"/>
          <w:color w:val="auto"/>
        </w:rPr>
        <w:t>Period Ended</w:t>
      </w:r>
      <w:r>
        <w:rPr>
          <w:sz w:val="20"/>
          <w:szCs w:val="20"/>
          <w:color w:val="auto"/>
        </w:rPr>
        <w:tab/>
      </w:r>
      <w:r>
        <w:rPr>
          <w:rFonts w:ascii="Courier New" w:cs="Courier New" w:eastAsia="Courier New" w:hAnsi="Courier New"/>
          <w:sz w:val="15"/>
          <w:szCs w:val="15"/>
          <w:color w:val="auto"/>
        </w:rPr>
        <w:t>September 27, 1998 Commission File Number 1-6714</w:t>
      </w:r>
    </w:p>
    <w:p>
      <w:pPr>
        <w:spacing w:after="0" w:line="5" w:lineRule="exact"/>
        <w:rPr>
          <w:sz w:val="24"/>
          <w:szCs w:val="24"/>
          <w:color w:val="auto"/>
        </w:rPr>
      </w:pPr>
    </w:p>
    <w:p>
      <w:pPr>
        <w:ind w:left="10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THE WASHINGTON POST COMPANY</w:t>
      </w:r>
    </w:p>
    <w:p>
      <w:pPr>
        <w:spacing w:after="0" w:line="5" w:lineRule="exact"/>
        <w:rPr>
          <w:sz w:val="24"/>
          <w:szCs w:val="24"/>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29" w:lineRule="exact"/>
        <w:rPr>
          <w:sz w:val="24"/>
          <w:szCs w:val="24"/>
          <w:color w:val="auto"/>
        </w:rPr>
      </w:pPr>
    </w:p>
    <w:p>
      <w:pPr>
        <w:ind w:left="1827"/>
        <w:spacing w:after="0"/>
        <w:tabs>
          <w:tab w:leader="none" w:pos="5166" w:val="left"/>
        </w:tabs>
        <w:rPr>
          <w:sz w:val="20"/>
          <w:szCs w:val="20"/>
          <w:color w:val="auto"/>
        </w:rPr>
      </w:pP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4"/>
          <w:szCs w:val="14"/>
          <w:color w:val="auto"/>
        </w:rPr>
        <w:t>53-0182885</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ind w:left="827"/>
        <w:spacing w:after="0"/>
        <w:tabs>
          <w:tab w:leader="none" w:pos="4786"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5"/>
          <w:szCs w:val="15"/>
          <w:color w:val="auto"/>
        </w:rPr>
        <w:t>(I.R.S. Employer</w:t>
      </w:r>
    </w:p>
    <w:p>
      <w:pPr>
        <w:spacing w:after="0" w:line="5" w:lineRule="exact"/>
        <w:rPr>
          <w:sz w:val="24"/>
          <w:szCs w:val="24"/>
          <w:color w:val="auto"/>
        </w:rPr>
      </w:pPr>
    </w:p>
    <w:p>
      <w:pPr>
        <w:ind w:left="907"/>
        <w:spacing w:after="0"/>
        <w:tabs>
          <w:tab w:leader="none" w:pos="4706"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5"/>
          <w:szCs w:val="15"/>
          <w:color w:val="auto"/>
        </w:rPr>
        <w:t>Identification No.)</w:t>
      </w:r>
    </w:p>
    <w:p>
      <w:pPr>
        <w:spacing w:after="0" w:line="354" w:lineRule="exact"/>
        <w:rPr>
          <w:sz w:val="24"/>
          <w:szCs w:val="24"/>
          <w:color w:val="auto"/>
        </w:rPr>
      </w:pPr>
    </w:p>
    <w:p>
      <w:pPr>
        <w:ind w:left="267"/>
        <w:spacing w:after="0"/>
        <w:tabs>
          <w:tab w:leader="none" w:pos="3526" w:val="left"/>
          <w:tab w:leader="none" w:pos="5706" w:val="left"/>
        </w:tabs>
        <w:rPr>
          <w:sz w:val="20"/>
          <w:szCs w:val="20"/>
          <w:color w:val="auto"/>
        </w:rPr>
      </w:pPr>
      <w:r>
        <w:rPr>
          <w:rFonts w:ascii="Courier New" w:cs="Courier New" w:eastAsia="Courier New" w:hAnsi="Courier New"/>
          <w:sz w:val="15"/>
          <w:szCs w:val="15"/>
          <w:color w:val="auto"/>
        </w:rPr>
        <w:t>1150 15th Street, N.W.</w:t>
      </w:r>
      <w:r>
        <w:rPr>
          <w:sz w:val="20"/>
          <w:szCs w:val="20"/>
          <w:color w:val="auto"/>
        </w:rPr>
        <w:tab/>
      </w: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5"/>
          <w:szCs w:val="15"/>
          <w:color w:val="auto"/>
        </w:rPr>
        <w:t>20071</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ind w:left="827"/>
        <w:spacing w:after="0"/>
        <w:tabs>
          <w:tab w:leader="none" w:pos="5526"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54" w:lineRule="exact"/>
        <w:rPr>
          <w:sz w:val="24"/>
          <w:szCs w:val="24"/>
          <w:color w:val="auto"/>
        </w:rPr>
      </w:pPr>
    </w:p>
    <w:p>
      <w:pPr>
        <w:ind w:left="3547" w:hanging="548"/>
        <w:spacing w:after="0"/>
        <w:tabs>
          <w:tab w:leader="none" w:pos="3547"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334-6000</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(Registrant's telephone number, including area code)</w:t>
      </w:r>
    </w:p>
    <w:p>
      <w:pPr>
        <w:spacing w:after="0" w:line="200" w:lineRule="exact"/>
        <w:rPr>
          <w:sz w:val="24"/>
          <w:szCs w:val="24"/>
          <w:color w:val="auto"/>
        </w:rPr>
      </w:pPr>
    </w:p>
    <w:p>
      <w:pPr>
        <w:spacing w:after="0" w:line="329" w:lineRule="exact"/>
        <w:rPr>
          <w:sz w:val="24"/>
          <w:szCs w:val="24"/>
          <w:color w:val="auto"/>
        </w:rPr>
      </w:pPr>
    </w:p>
    <w:p>
      <w:pPr>
        <w:ind w:left="547"/>
        <w:spacing w:after="0"/>
        <w:rPr>
          <w:sz w:val="20"/>
          <w:szCs w:val="20"/>
          <w:color w:val="auto"/>
        </w:rPr>
      </w:pPr>
      <w:r>
        <w:rPr>
          <w:rFonts w:ascii="Courier New" w:cs="Courier New" w:eastAsia="Courier New" w:hAnsi="Courier New"/>
          <w:sz w:val="15"/>
          <w:szCs w:val="15"/>
          <w:color w:val="auto"/>
        </w:rPr>
        <w:t>Indicate by check mark whether the registrant (1) has filed all reports</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required to be filed by Section 13 or 15(d) of the Securities Exchange Act of</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1934 during the preceding 12 months (or for such shorter period that the</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registrant was required to file such reports), and (2) has been subject to such</w:t>
      </w:r>
    </w:p>
    <w:p>
      <w:pPr>
        <w:spacing w:after="0" w:line="5" w:lineRule="exact"/>
        <w:rPr>
          <w:sz w:val="24"/>
          <w:szCs w:val="24"/>
          <w:color w:val="auto"/>
        </w:rPr>
      </w:pPr>
    </w:p>
    <w:p>
      <w:pPr>
        <w:ind w:left="7"/>
        <w:spacing w:after="0"/>
        <w:tabs>
          <w:tab w:leader="none" w:pos="4246" w:val="left"/>
          <w:tab w:leader="none" w:pos="4526" w:val="left"/>
          <w:tab w:leader="none" w:pos="5346" w:val="left"/>
        </w:tabs>
        <w:rPr>
          <w:sz w:val="20"/>
          <w:szCs w:val="20"/>
          <w:color w:val="auto"/>
        </w:rPr>
      </w:pPr>
      <w:r>
        <w:rPr>
          <w:rFonts w:ascii="Courier New" w:cs="Courier New" w:eastAsia="Courier New" w:hAnsi="Courier New"/>
          <w:sz w:val="15"/>
          <w:szCs w:val="15"/>
          <w:color w:val="auto"/>
        </w:rPr>
        <w:t>filing requirements for the past 90 days. Yes</w:t>
        <w:tab/>
        <w:t>X</w:t>
        <w:tab/>
        <w:t>. No</w:t>
      </w:r>
      <w:r>
        <w:rPr>
          <w:sz w:val="20"/>
          <w:szCs w:val="20"/>
          <w:color w:val="auto"/>
        </w:rPr>
        <w:tab/>
      </w:r>
      <w:r>
        <w:rPr>
          <w:rFonts w:ascii="Courier New" w:cs="Courier New" w:eastAsia="Courier New" w:hAnsi="Courier New"/>
          <w:sz w:val="13"/>
          <w:szCs w:val="13"/>
          <w:color w:val="auto"/>
        </w:rPr>
        <w:t>.</w:t>
      </w:r>
    </w:p>
    <w:p>
      <w:pPr>
        <w:spacing w:after="0" w:line="5" w:lineRule="exact"/>
        <w:rPr>
          <w:sz w:val="24"/>
          <w:szCs w:val="24"/>
          <w:color w:val="auto"/>
        </w:rPr>
      </w:pPr>
    </w:p>
    <w:p>
      <w:pPr>
        <w:ind w:left="4087"/>
        <w:spacing w:after="0"/>
        <w:tabs>
          <w:tab w:leader="none" w:pos="48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0" w:lineRule="exact"/>
        <w:rPr>
          <w:sz w:val="24"/>
          <w:szCs w:val="24"/>
          <w:color w:val="auto"/>
        </w:rPr>
      </w:pPr>
    </w:p>
    <w:p>
      <w:pPr>
        <w:ind w:left="547"/>
        <w:spacing w:after="0"/>
        <w:rPr>
          <w:sz w:val="20"/>
          <w:szCs w:val="20"/>
          <w:color w:val="auto"/>
        </w:rPr>
      </w:pPr>
      <w:r>
        <w:rPr>
          <w:rFonts w:ascii="Courier New" w:cs="Courier New" w:eastAsia="Courier New" w:hAnsi="Courier New"/>
          <w:sz w:val="15"/>
          <w:szCs w:val="15"/>
          <w:color w:val="auto"/>
        </w:rPr>
        <w:t>Shares outstanding at November 2, 1998:</w:t>
      </w:r>
    </w:p>
    <w:p>
      <w:pPr>
        <w:sectPr>
          <w:pgSz w:w="11900" w:h="16838" w:orient="portrait"/>
          <w:cols w:equalWidth="0" w:num="1">
            <w:col w:w="10226"/>
          </w:cols>
          <w:pgMar w:left="233" w:top="235" w:right="1440" w:bottom="1440" w:gutter="0" w:footer="0" w:header="0"/>
        </w:sectPr>
      </w:pPr>
    </w:p>
    <w:p>
      <w:pPr>
        <w:spacing w:after="0" w:line="180" w:lineRule="exact"/>
        <w:rPr>
          <w:sz w:val="24"/>
          <w:szCs w:val="24"/>
          <w:color w:val="auto"/>
        </w:rPr>
      </w:pPr>
    </w:p>
    <w:p>
      <w:pPr>
        <w:ind w:left="1187"/>
        <w:spacing w:after="0"/>
        <w:rPr>
          <w:sz w:val="20"/>
          <w:szCs w:val="20"/>
          <w:color w:val="auto"/>
        </w:rPr>
      </w:pPr>
      <w:r>
        <w:rPr>
          <w:rFonts w:ascii="Courier New" w:cs="Courier New" w:eastAsia="Courier New" w:hAnsi="Courier New"/>
          <w:sz w:val="15"/>
          <w:szCs w:val="15"/>
          <w:color w:val="auto"/>
        </w:rPr>
        <w:t>Class A Common Stock</w:t>
      </w:r>
    </w:p>
    <w:p>
      <w:pPr>
        <w:spacing w:after="0" w:line="180" w:lineRule="exact"/>
        <w:rPr>
          <w:sz w:val="24"/>
          <w:szCs w:val="24"/>
          <w:color w:val="auto"/>
        </w:rPr>
      </w:pPr>
    </w:p>
    <w:p>
      <w:pPr>
        <w:ind w:left="1187"/>
        <w:spacing w:after="0"/>
        <w:rPr>
          <w:sz w:val="20"/>
          <w:szCs w:val="20"/>
          <w:color w:val="auto"/>
        </w:rPr>
      </w:pPr>
      <w:r>
        <w:rPr>
          <w:rFonts w:ascii="Courier New" w:cs="Courier New" w:eastAsia="Courier New" w:hAnsi="Courier New"/>
          <w:sz w:val="15"/>
          <w:szCs w:val="15"/>
          <w:color w:val="auto"/>
        </w:rPr>
        <w:t>Class B Common Stock</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1,739,250 Shares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8,338,940 Shares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3727" w:space="720"/>
            <w:col w:w="5779"/>
          </w:cols>
          <w:pgMar w:left="233" w:top="235"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180" w:type="dxa"/>
            <w:vAlign w:val="bottom"/>
          </w:tcPr>
          <w:p>
            <w:pPr>
              <w:jc w:val="right"/>
              <w:ind w:right="924"/>
              <w:spacing w:after="0"/>
              <w:rPr>
                <w:sz w:val="20"/>
                <w:szCs w:val="20"/>
                <w:color w:val="auto"/>
              </w:rPr>
            </w:pPr>
            <w:r>
              <w:rPr>
                <w:rFonts w:ascii="Courier New" w:cs="Courier New" w:eastAsia="Courier New" w:hAnsi="Courier New"/>
                <w:sz w:val="15"/>
                <w:szCs w:val="15"/>
                <w:color w:val="auto"/>
                <w:w w:val="88"/>
              </w:rPr>
              <w:t>2.</w:t>
            </w:r>
          </w:p>
        </w:tc>
      </w:tr>
      <w:tr>
        <w:trPr>
          <w:trHeight w:val="350"/>
        </w:trPr>
        <w:tc>
          <w:tcPr>
            <w:tcW w:w="900" w:type="dxa"/>
            <w:vAlign w:val="bottom"/>
          </w:tcPr>
          <w:p>
            <w:pPr>
              <w:spacing w:after="0"/>
              <w:rPr>
                <w:sz w:val="24"/>
                <w:szCs w:val="24"/>
                <w:color w:val="auto"/>
              </w:rPr>
            </w:pPr>
          </w:p>
        </w:tc>
        <w:tc>
          <w:tcPr>
            <w:tcW w:w="6180" w:type="dxa"/>
            <w:vAlign w:val="bottom"/>
          </w:tcPr>
          <w:p>
            <w:pPr>
              <w:ind w:left="1540"/>
              <w:spacing w:after="0"/>
              <w:rPr>
                <w:sz w:val="20"/>
                <w:szCs w:val="20"/>
                <w:color w:val="auto"/>
              </w:rPr>
            </w:pPr>
            <w:r>
              <w:rPr>
                <w:rFonts w:ascii="Courier New" w:cs="Courier New" w:eastAsia="Courier New" w:hAnsi="Courier New"/>
                <w:sz w:val="15"/>
                <w:szCs w:val="15"/>
                <w:color w:val="auto"/>
              </w:rPr>
              <w:t>THE WASHINGTON POST COMPANY</w:t>
            </w:r>
          </w:p>
        </w:tc>
        <w:tc>
          <w:tcPr>
            <w:tcW w:w="1180" w:type="dxa"/>
            <w:vAlign w:val="bottom"/>
          </w:tcPr>
          <w:p>
            <w:pPr>
              <w:spacing w:after="0"/>
              <w:rPr>
                <w:sz w:val="24"/>
                <w:szCs w:val="24"/>
                <w:color w:val="auto"/>
              </w:rPr>
            </w:pPr>
          </w:p>
        </w:tc>
      </w:tr>
      <w:tr>
        <w:trPr>
          <w:trHeight w:val="350"/>
        </w:trPr>
        <w:tc>
          <w:tcPr>
            <w:tcW w:w="900" w:type="dxa"/>
            <w:vAlign w:val="bottom"/>
          </w:tcPr>
          <w:p>
            <w:pPr>
              <w:spacing w:after="0"/>
              <w:rPr>
                <w:sz w:val="24"/>
                <w:szCs w:val="24"/>
                <w:color w:val="auto"/>
              </w:rPr>
            </w:pPr>
          </w:p>
        </w:tc>
        <w:tc>
          <w:tcPr>
            <w:tcW w:w="6180" w:type="dxa"/>
            <w:vAlign w:val="bottom"/>
          </w:tcPr>
          <w:p>
            <w:pPr>
              <w:ind w:left="1920"/>
              <w:spacing w:after="0"/>
              <w:rPr>
                <w:sz w:val="20"/>
                <w:szCs w:val="20"/>
                <w:color w:val="auto"/>
              </w:rPr>
            </w:pPr>
            <w:r>
              <w:rPr>
                <w:rFonts w:ascii="Courier New" w:cs="Courier New" w:eastAsia="Courier New" w:hAnsi="Courier New"/>
                <w:sz w:val="15"/>
                <w:szCs w:val="15"/>
                <w:color w:val="auto"/>
              </w:rPr>
              <w:t>INDEX TO FORM 10-Q</w:t>
            </w:r>
          </w:p>
        </w:tc>
        <w:tc>
          <w:tcPr>
            <w:tcW w:w="1180" w:type="dxa"/>
            <w:vAlign w:val="bottom"/>
          </w:tcPr>
          <w:p>
            <w:pPr>
              <w:spacing w:after="0"/>
              <w:rPr>
                <w:sz w:val="24"/>
                <w:szCs w:val="24"/>
                <w:color w:val="auto"/>
              </w:rPr>
            </w:pPr>
          </w:p>
        </w:tc>
      </w:tr>
      <w:tr>
        <w:trPr>
          <w:trHeight w:val="699"/>
        </w:trPr>
        <w:tc>
          <w:tcPr>
            <w:tcW w:w="9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524"/>
        </w:trPr>
        <w:tc>
          <w:tcPr>
            <w:tcW w:w="9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FINANCIAL INFORMATION</w:t>
            </w:r>
          </w:p>
        </w:tc>
        <w:tc>
          <w:tcPr>
            <w:tcW w:w="1180" w:type="dxa"/>
            <w:vAlign w:val="bottom"/>
          </w:tcPr>
          <w:p>
            <w:pPr>
              <w:spacing w:after="0"/>
              <w:rPr>
                <w:sz w:val="24"/>
                <w:szCs w:val="24"/>
                <w:color w:val="auto"/>
              </w:rPr>
            </w:pPr>
          </w:p>
        </w:tc>
      </w:tr>
      <w:tr>
        <w:trPr>
          <w:trHeight w:val="350"/>
        </w:trPr>
        <w:tc>
          <w:tcPr>
            <w:tcW w:w="9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w:t>
            </w:r>
          </w:p>
        </w:tc>
        <w:tc>
          <w:tcPr>
            <w:tcW w:w="1180" w:type="dxa"/>
            <w:vAlign w:val="bottom"/>
          </w:tcPr>
          <w:p>
            <w:pPr>
              <w:spacing w:after="0"/>
              <w:rPr>
                <w:sz w:val="24"/>
                <w:szCs w:val="24"/>
                <w:color w:val="auto"/>
              </w:rPr>
            </w:pPr>
          </w:p>
        </w:tc>
      </w:tr>
      <w:tr>
        <w:trPr>
          <w:trHeight w:val="350"/>
        </w:trPr>
        <w:tc>
          <w:tcPr>
            <w:tcW w:w="900" w:type="dxa"/>
            <w:vAlign w:val="bottom"/>
          </w:tcPr>
          <w:p>
            <w:pPr>
              <w:spacing w:after="0"/>
              <w:rPr>
                <w:sz w:val="24"/>
                <w:szCs w:val="24"/>
                <w:color w:val="auto"/>
              </w:rPr>
            </w:pPr>
          </w:p>
        </w:tc>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Condensed Consolidated Statements of Income</w:t>
            </w:r>
          </w:p>
        </w:tc>
        <w:tc>
          <w:tcPr>
            <w:tcW w:w="1180" w:type="dxa"/>
            <w:vAlign w:val="bottom"/>
          </w:tcPr>
          <w:p>
            <w:pPr>
              <w:spacing w:after="0"/>
              <w:rPr>
                <w:sz w:val="24"/>
                <w:szCs w:val="24"/>
                <w:color w:val="auto"/>
              </w:rPr>
            </w:pPr>
          </w:p>
        </w:tc>
      </w:tr>
      <w:tr>
        <w:trPr>
          <w:trHeight w:val="175"/>
        </w:trPr>
        <w:tc>
          <w:tcPr>
            <w:tcW w:w="900" w:type="dxa"/>
            <w:vAlign w:val="bottom"/>
          </w:tcPr>
          <w:p>
            <w:pPr>
              <w:spacing w:after="0"/>
              <w:rPr>
                <w:sz w:val="15"/>
                <w:szCs w:val="15"/>
                <w:color w:val="auto"/>
              </w:rPr>
            </w:pPr>
          </w:p>
        </w:tc>
        <w:tc>
          <w:tcPr>
            <w:tcW w:w="6180" w:type="dxa"/>
            <w:vAlign w:val="bottom"/>
          </w:tcPr>
          <w:p>
            <w:pPr>
              <w:ind w:left="460"/>
              <w:spacing w:after="0"/>
              <w:rPr>
                <w:sz w:val="20"/>
                <w:szCs w:val="20"/>
                <w:color w:val="auto"/>
              </w:rPr>
            </w:pPr>
            <w:r>
              <w:rPr>
                <w:rFonts w:ascii="Courier New" w:cs="Courier New" w:eastAsia="Courier New" w:hAnsi="Courier New"/>
                <w:sz w:val="15"/>
                <w:szCs w:val="15"/>
                <w:color w:val="auto"/>
              </w:rPr>
              <w:t>(Unaudited) for the Thirteen and Thirty-nine</w:t>
            </w:r>
          </w:p>
        </w:tc>
        <w:tc>
          <w:tcPr>
            <w:tcW w:w="1180" w:type="dxa"/>
            <w:vAlign w:val="bottom"/>
          </w:tcPr>
          <w:p>
            <w:pPr>
              <w:spacing w:after="0"/>
              <w:rPr>
                <w:sz w:val="15"/>
                <w:szCs w:val="15"/>
                <w:color w:val="auto"/>
              </w:rPr>
            </w:pPr>
          </w:p>
        </w:tc>
      </w:tr>
      <w:tr>
        <w:trPr>
          <w:trHeight w:val="175"/>
        </w:trPr>
        <w:tc>
          <w:tcPr>
            <w:tcW w:w="900" w:type="dxa"/>
            <w:vAlign w:val="bottom"/>
          </w:tcPr>
          <w:p>
            <w:pPr>
              <w:spacing w:after="0"/>
              <w:rPr>
                <w:sz w:val="15"/>
                <w:szCs w:val="15"/>
                <w:color w:val="auto"/>
              </w:rPr>
            </w:pPr>
          </w:p>
        </w:tc>
        <w:tc>
          <w:tcPr>
            <w:tcW w:w="6180" w:type="dxa"/>
            <w:vAlign w:val="bottom"/>
          </w:tcPr>
          <w:p>
            <w:pPr>
              <w:ind w:left="460"/>
              <w:spacing w:after="0"/>
              <w:rPr>
                <w:sz w:val="20"/>
                <w:szCs w:val="20"/>
                <w:color w:val="auto"/>
              </w:rPr>
            </w:pPr>
            <w:r>
              <w:rPr>
                <w:rFonts w:ascii="Courier New" w:cs="Courier New" w:eastAsia="Courier New" w:hAnsi="Courier New"/>
                <w:sz w:val="15"/>
                <w:szCs w:val="15"/>
                <w:color w:val="auto"/>
              </w:rPr>
              <w:t>Weeks Ended September 27, 1998 and</w:t>
            </w:r>
          </w:p>
        </w:tc>
        <w:tc>
          <w:tcPr>
            <w:tcW w:w="1180" w:type="dxa"/>
            <w:vAlign w:val="bottom"/>
          </w:tcPr>
          <w:p>
            <w:pPr>
              <w:spacing w:after="0"/>
              <w:rPr>
                <w:sz w:val="15"/>
                <w:szCs w:val="15"/>
                <w:color w:val="auto"/>
              </w:rPr>
            </w:pPr>
          </w:p>
        </w:tc>
      </w:tr>
      <w:tr>
        <w:trPr>
          <w:trHeight w:val="175"/>
        </w:trPr>
        <w:tc>
          <w:tcPr>
            <w:tcW w:w="900" w:type="dxa"/>
            <w:vAlign w:val="bottom"/>
          </w:tcPr>
          <w:p>
            <w:pPr>
              <w:spacing w:after="0"/>
              <w:rPr>
                <w:sz w:val="15"/>
                <w:szCs w:val="15"/>
                <w:color w:val="auto"/>
              </w:rPr>
            </w:pPr>
          </w:p>
        </w:tc>
        <w:tc>
          <w:tcPr>
            <w:tcW w:w="6180" w:type="dxa"/>
            <w:vAlign w:val="bottom"/>
          </w:tcPr>
          <w:p>
            <w:pPr>
              <w:ind w:left="460"/>
              <w:spacing w:after="0"/>
              <w:rPr>
                <w:sz w:val="20"/>
                <w:szCs w:val="20"/>
                <w:color w:val="auto"/>
              </w:rPr>
            </w:pPr>
            <w:r>
              <w:rPr>
                <w:rFonts w:ascii="Courier New" w:cs="Courier New" w:eastAsia="Courier New" w:hAnsi="Courier New"/>
                <w:sz w:val="15"/>
                <w:szCs w:val="15"/>
                <w:color w:val="auto"/>
                <w:w w:val="86"/>
              </w:rPr>
              <w:t>September 28, 1997.......................................................</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r>
      <w:tr>
        <w:trPr>
          <w:trHeight w:val="350"/>
        </w:trPr>
        <w:tc>
          <w:tcPr>
            <w:tcW w:w="900" w:type="dxa"/>
            <w:vAlign w:val="bottom"/>
          </w:tcPr>
          <w:p>
            <w:pPr>
              <w:spacing w:after="0"/>
              <w:rPr>
                <w:sz w:val="24"/>
                <w:szCs w:val="24"/>
                <w:color w:val="auto"/>
              </w:rPr>
            </w:pPr>
          </w:p>
        </w:tc>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Condensed Consolidated Balance Sheets at</w:t>
            </w:r>
          </w:p>
        </w:tc>
        <w:tc>
          <w:tcPr>
            <w:tcW w:w="1180" w:type="dxa"/>
            <w:vAlign w:val="bottom"/>
          </w:tcPr>
          <w:p>
            <w:pPr>
              <w:spacing w:after="0"/>
              <w:rPr>
                <w:sz w:val="24"/>
                <w:szCs w:val="24"/>
                <w:color w:val="auto"/>
              </w:rPr>
            </w:pPr>
          </w:p>
        </w:tc>
      </w:tr>
      <w:tr>
        <w:trPr>
          <w:trHeight w:val="175"/>
        </w:trPr>
        <w:tc>
          <w:tcPr>
            <w:tcW w:w="900" w:type="dxa"/>
            <w:vAlign w:val="bottom"/>
          </w:tcPr>
          <w:p>
            <w:pPr>
              <w:spacing w:after="0"/>
              <w:rPr>
                <w:sz w:val="15"/>
                <w:szCs w:val="15"/>
                <w:color w:val="auto"/>
              </w:rPr>
            </w:pPr>
          </w:p>
        </w:tc>
        <w:tc>
          <w:tcPr>
            <w:tcW w:w="6180" w:type="dxa"/>
            <w:vAlign w:val="bottom"/>
          </w:tcPr>
          <w:p>
            <w:pPr>
              <w:ind w:left="460"/>
              <w:spacing w:after="0"/>
              <w:rPr>
                <w:sz w:val="20"/>
                <w:szCs w:val="20"/>
                <w:color w:val="auto"/>
              </w:rPr>
            </w:pPr>
            <w:r>
              <w:rPr>
                <w:rFonts w:ascii="Courier New" w:cs="Courier New" w:eastAsia="Courier New" w:hAnsi="Courier New"/>
                <w:sz w:val="15"/>
                <w:szCs w:val="15"/>
                <w:color w:val="auto"/>
                <w:w w:val="86"/>
              </w:rPr>
              <w:t>September 27, 1998 (Unaudited) and December 28, 1997.....................</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w:t>
            </w:r>
          </w:p>
        </w:tc>
      </w:tr>
      <w:tr>
        <w:trPr>
          <w:trHeight w:val="350"/>
        </w:trPr>
        <w:tc>
          <w:tcPr>
            <w:tcW w:w="900" w:type="dxa"/>
            <w:vAlign w:val="bottom"/>
          </w:tcPr>
          <w:p>
            <w:pPr>
              <w:spacing w:after="0"/>
              <w:rPr>
                <w:sz w:val="24"/>
                <w:szCs w:val="24"/>
                <w:color w:val="auto"/>
              </w:rPr>
            </w:pPr>
          </w:p>
        </w:tc>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Condensed Consolidated Statements of Cash Flows</w:t>
            </w:r>
          </w:p>
        </w:tc>
        <w:tc>
          <w:tcPr>
            <w:tcW w:w="1180" w:type="dxa"/>
            <w:vAlign w:val="bottom"/>
          </w:tcPr>
          <w:p>
            <w:pPr>
              <w:spacing w:after="0"/>
              <w:rPr>
                <w:sz w:val="24"/>
                <w:szCs w:val="24"/>
                <w:color w:val="auto"/>
              </w:rPr>
            </w:pPr>
          </w:p>
        </w:tc>
      </w:tr>
      <w:tr>
        <w:trPr>
          <w:trHeight w:val="175"/>
        </w:trPr>
        <w:tc>
          <w:tcPr>
            <w:tcW w:w="900" w:type="dxa"/>
            <w:vAlign w:val="bottom"/>
          </w:tcPr>
          <w:p>
            <w:pPr>
              <w:spacing w:after="0"/>
              <w:rPr>
                <w:sz w:val="15"/>
                <w:szCs w:val="15"/>
                <w:color w:val="auto"/>
              </w:rPr>
            </w:pPr>
          </w:p>
        </w:tc>
        <w:tc>
          <w:tcPr>
            <w:tcW w:w="6180" w:type="dxa"/>
            <w:vAlign w:val="bottom"/>
          </w:tcPr>
          <w:p>
            <w:pPr>
              <w:ind w:left="460"/>
              <w:spacing w:after="0"/>
              <w:rPr>
                <w:sz w:val="20"/>
                <w:szCs w:val="20"/>
                <w:color w:val="auto"/>
              </w:rPr>
            </w:pPr>
            <w:r>
              <w:rPr>
                <w:rFonts w:ascii="Courier New" w:cs="Courier New" w:eastAsia="Courier New" w:hAnsi="Courier New"/>
                <w:sz w:val="15"/>
                <w:szCs w:val="15"/>
                <w:color w:val="auto"/>
              </w:rPr>
              <w:t>(Unaudited) for the Thirty-nine Weeks Ended</w:t>
            </w:r>
          </w:p>
        </w:tc>
        <w:tc>
          <w:tcPr>
            <w:tcW w:w="1180" w:type="dxa"/>
            <w:vAlign w:val="bottom"/>
          </w:tcPr>
          <w:p>
            <w:pPr>
              <w:spacing w:after="0"/>
              <w:rPr>
                <w:sz w:val="15"/>
                <w:szCs w:val="15"/>
                <w:color w:val="auto"/>
              </w:rPr>
            </w:pPr>
          </w:p>
        </w:tc>
      </w:tr>
      <w:tr>
        <w:trPr>
          <w:trHeight w:val="175"/>
        </w:trPr>
        <w:tc>
          <w:tcPr>
            <w:tcW w:w="900" w:type="dxa"/>
            <w:vAlign w:val="bottom"/>
          </w:tcPr>
          <w:p>
            <w:pPr>
              <w:spacing w:after="0"/>
              <w:rPr>
                <w:sz w:val="15"/>
                <w:szCs w:val="15"/>
                <w:color w:val="auto"/>
              </w:rPr>
            </w:pPr>
          </w:p>
        </w:tc>
        <w:tc>
          <w:tcPr>
            <w:tcW w:w="6180" w:type="dxa"/>
            <w:vAlign w:val="bottom"/>
          </w:tcPr>
          <w:p>
            <w:pPr>
              <w:ind w:left="460"/>
              <w:spacing w:after="0"/>
              <w:rPr>
                <w:sz w:val="20"/>
                <w:szCs w:val="20"/>
                <w:color w:val="auto"/>
              </w:rPr>
            </w:pPr>
            <w:r>
              <w:rPr>
                <w:rFonts w:ascii="Courier New" w:cs="Courier New" w:eastAsia="Courier New" w:hAnsi="Courier New"/>
                <w:sz w:val="15"/>
                <w:szCs w:val="15"/>
                <w:color w:val="auto"/>
                <w:w w:val="86"/>
              </w:rPr>
              <w:t>September 27, 1998 and September 28, 1997................................</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w:t>
            </w:r>
          </w:p>
        </w:tc>
      </w:tr>
      <w:tr>
        <w:trPr>
          <w:trHeight w:val="350"/>
        </w:trPr>
        <w:tc>
          <w:tcPr>
            <w:tcW w:w="900" w:type="dxa"/>
            <w:vAlign w:val="bottom"/>
          </w:tcPr>
          <w:p>
            <w:pPr>
              <w:spacing w:after="0"/>
              <w:rPr>
                <w:sz w:val="24"/>
                <w:szCs w:val="24"/>
                <w:color w:val="auto"/>
              </w:rPr>
            </w:pPr>
          </w:p>
        </w:tc>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1180" w:type="dxa"/>
            <w:vAlign w:val="bottom"/>
          </w:tcPr>
          <w:p>
            <w:pPr>
              <w:spacing w:after="0"/>
              <w:rPr>
                <w:sz w:val="24"/>
                <w:szCs w:val="24"/>
                <w:color w:val="auto"/>
              </w:rPr>
            </w:pPr>
          </w:p>
        </w:tc>
      </w:tr>
      <w:tr>
        <w:trPr>
          <w:trHeight w:val="175"/>
        </w:trPr>
        <w:tc>
          <w:tcPr>
            <w:tcW w:w="900" w:type="dxa"/>
            <w:vAlign w:val="bottom"/>
          </w:tcPr>
          <w:p>
            <w:pPr>
              <w:spacing w:after="0"/>
              <w:rPr>
                <w:sz w:val="15"/>
                <w:szCs w:val="15"/>
                <w:color w:val="auto"/>
              </w:rPr>
            </w:pPr>
          </w:p>
        </w:tc>
        <w:tc>
          <w:tcPr>
            <w:tcW w:w="6180" w:type="dxa"/>
            <w:vAlign w:val="bottom"/>
          </w:tcPr>
          <w:p>
            <w:pPr>
              <w:ind w:left="460"/>
              <w:spacing w:after="0"/>
              <w:rPr>
                <w:sz w:val="20"/>
                <w:szCs w:val="20"/>
                <w:color w:val="auto"/>
              </w:rPr>
            </w:pPr>
            <w:r>
              <w:rPr>
                <w:rFonts w:ascii="Courier New" w:cs="Courier New" w:eastAsia="Courier New" w:hAnsi="Courier New"/>
                <w:sz w:val="15"/>
                <w:szCs w:val="15"/>
                <w:color w:val="auto"/>
                <w:w w:val="86"/>
              </w:rPr>
              <w:t>(Unaudited)..............................................................</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r>
      <w:tr>
        <w:trPr>
          <w:trHeight w:val="350"/>
        </w:trPr>
        <w:tc>
          <w:tcPr>
            <w:tcW w:w="90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Management's Discussion and Analysis of Results of</w:t>
            </w:r>
          </w:p>
        </w:tc>
        <w:tc>
          <w:tcPr>
            <w:tcW w:w="1180" w:type="dxa"/>
            <w:vAlign w:val="bottom"/>
          </w:tcPr>
          <w:p>
            <w:pPr>
              <w:spacing w:after="0"/>
              <w:rPr>
                <w:sz w:val="24"/>
                <w:szCs w:val="24"/>
                <w:color w:val="auto"/>
              </w:rPr>
            </w:pPr>
          </w:p>
        </w:tc>
      </w:tr>
      <w:tr>
        <w:trPr>
          <w:trHeight w:val="175"/>
        </w:trPr>
        <w:tc>
          <w:tcPr>
            <w:tcW w:w="900" w:type="dxa"/>
            <w:vAlign w:val="bottom"/>
          </w:tcPr>
          <w:p>
            <w:pPr>
              <w:spacing w:after="0"/>
              <w:rPr>
                <w:sz w:val="15"/>
                <w:szCs w:val="15"/>
                <w:color w:val="auto"/>
              </w:rPr>
            </w:pPr>
          </w:p>
        </w:tc>
        <w:tc>
          <w:tcPr>
            <w:tcW w:w="6180" w:type="dxa"/>
            <w:vAlign w:val="bottom"/>
          </w:tcPr>
          <w:p>
            <w:pPr>
              <w:ind w:left="460"/>
              <w:spacing w:after="0"/>
              <w:rPr>
                <w:sz w:val="20"/>
                <w:szCs w:val="20"/>
                <w:color w:val="auto"/>
              </w:rPr>
            </w:pPr>
            <w:r>
              <w:rPr>
                <w:rFonts w:ascii="Courier New" w:cs="Courier New" w:eastAsia="Courier New" w:hAnsi="Courier New"/>
                <w:sz w:val="15"/>
                <w:szCs w:val="15"/>
                <w:color w:val="auto"/>
                <w:w w:val="86"/>
              </w:rPr>
              <w:t>Operations and Financial Condition.......................................</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r>
      <w:tr>
        <w:trPr>
          <w:trHeight w:val="350"/>
        </w:trPr>
        <w:tc>
          <w:tcPr>
            <w:tcW w:w="90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OTHER INFORMATION</w:t>
            </w:r>
          </w:p>
        </w:tc>
        <w:tc>
          <w:tcPr>
            <w:tcW w:w="1180" w:type="dxa"/>
            <w:vAlign w:val="bottom"/>
          </w:tcPr>
          <w:p>
            <w:pPr>
              <w:spacing w:after="0"/>
              <w:rPr>
                <w:sz w:val="24"/>
                <w:szCs w:val="24"/>
                <w:color w:val="auto"/>
              </w:rPr>
            </w:pPr>
          </w:p>
        </w:tc>
      </w:tr>
      <w:tr>
        <w:trPr>
          <w:trHeight w:val="350"/>
        </w:trPr>
        <w:tc>
          <w:tcPr>
            <w:tcW w:w="9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w w:val="88"/>
              </w:rPr>
              <w:t>Exhibits and Reports on Form 8-K...........................................</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w:t>
            </w:r>
          </w:p>
        </w:tc>
      </w:tr>
      <w:tr>
        <w:trPr>
          <w:trHeight w:val="350"/>
        </w:trPr>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Signatures</w:t>
            </w:r>
          </w:p>
        </w:tc>
        <w:tc>
          <w:tcPr>
            <w:tcW w:w="618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w:t>
            </w:r>
          </w:p>
        </w:tc>
      </w:tr>
      <w:tr>
        <w:trPr>
          <w:trHeight w:val="350"/>
        </w:trPr>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Exhibit 11</w:t>
            </w:r>
          </w:p>
        </w:tc>
        <w:tc>
          <w:tcPr>
            <w:tcW w:w="61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27 (Electronic Filing Only)</w:t>
      </w:r>
    </w:p>
    <w:p>
      <w:pPr>
        <w:sectPr>
          <w:pgSz w:w="11900" w:h="16838" w:orient="portrait"/>
          <w:cols w:equalWidth="0" w:num="1">
            <w:col w:w="10219"/>
          </w:cols>
          <w:pgMar w:left="240" w:top="29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3.</w:t>
            </w: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50"/>
        </w:trPr>
        <w:tc>
          <w:tcPr>
            <w:tcW w:w="8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4540" w:type="dxa"/>
            <w:vAlign w:val="bottom"/>
          </w:tcPr>
          <w:p>
            <w:pPr>
              <w:spacing w:after="0"/>
              <w:rPr>
                <w:sz w:val="20"/>
                <w:szCs w:val="20"/>
                <w:color w:val="auto"/>
              </w:rPr>
            </w:pPr>
            <w:r>
              <w:rPr>
                <w:rFonts w:ascii="Courier New" w:cs="Courier New" w:eastAsia="Courier New" w:hAnsi="Courier New"/>
                <w:sz w:val="15"/>
                <w:szCs w:val="15"/>
                <w:color w:val="auto"/>
              </w:rPr>
              <w:t>FINANCIAL INFORMATION</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454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5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The Washington Post Company</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Condensed Consolidated Statements of Income (Unaudited)</w:t>
            </w: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699"/>
        </w:trPr>
        <w:tc>
          <w:tcPr>
            <w:tcW w:w="8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80" w:type="dxa"/>
            <w:vAlign w:val="bottom"/>
            <w:gridSpan w:val="3"/>
          </w:tcPr>
          <w:p>
            <w:pPr>
              <w:jc w:val="right"/>
              <w:ind w:right="704"/>
              <w:spacing w:after="0"/>
              <w:rPr>
                <w:sz w:val="20"/>
                <w:szCs w:val="20"/>
                <w:color w:val="auto"/>
              </w:rPr>
            </w:pPr>
            <w:r>
              <w:rPr>
                <w:rFonts w:ascii="Courier New" w:cs="Courier New" w:eastAsia="Courier New" w:hAnsi="Courier New"/>
                <w:sz w:val="15"/>
                <w:szCs w:val="15"/>
                <w:color w:val="auto"/>
              </w:rPr>
              <w:t>Thirteen Weeks Ended</w:t>
            </w:r>
          </w:p>
        </w:tc>
        <w:tc>
          <w:tcPr>
            <w:tcW w:w="500" w:type="dxa"/>
            <w:vAlign w:val="bottom"/>
          </w:tcPr>
          <w:p>
            <w:pPr>
              <w:spacing w:after="0"/>
              <w:rPr>
                <w:sz w:val="24"/>
                <w:szCs w:val="24"/>
                <w:color w:val="auto"/>
              </w:rPr>
            </w:pPr>
          </w:p>
        </w:tc>
        <w:tc>
          <w:tcPr>
            <w:tcW w:w="2440" w:type="dxa"/>
            <w:vAlign w:val="bottom"/>
            <w:gridSpan w:val="3"/>
          </w:tcPr>
          <w:p>
            <w:pPr>
              <w:jc w:val="right"/>
              <w:ind w:right="84"/>
              <w:spacing w:after="0"/>
              <w:rPr>
                <w:sz w:val="20"/>
                <w:szCs w:val="20"/>
                <w:color w:val="auto"/>
              </w:rPr>
            </w:pPr>
            <w:r>
              <w:rPr>
                <w:rFonts w:ascii="Courier New" w:cs="Courier New" w:eastAsia="Courier New" w:hAnsi="Courier New"/>
                <w:sz w:val="15"/>
                <w:szCs w:val="15"/>
                <w:color w:val="auto"/>
              </w:rPr>
              <w:t>Thirty-nine Weeks Ended</w:t>
            </w:r>
          </w:p>
        </w:tc>
      </w:tr>
      <w:tr>
        <w:trPr>
          <w:trHeight w:val="175"/>
        </w:trPr>
        <w:tc>
          <w:tcPr>
            <w:tcW w:w="8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322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24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8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Sept 27,</w:t>
            </w:r>
          </w:p>
        </w:tc>
        <w:tc>
          <w:tcPr>
            <w:tcW w:w="17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Sept 28,</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Sept 27,</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Sept 28,</w:t>
            </w:r>
          </w:p>
        </w:tc>
      </w:tr>
      <w:tr>
        <w:trPr>
          <w:trHeight w:val="175"/>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(In thousands, except per share amounts)</w:t>
            </w:r>
          </w:p>
        </w:tc>
        <w:tc>
          <w:tcPr>
            <w:tcW w:w="440" w:type="dxa"/>
            <w:vAlign w:val="bottom"/>
          </w:tcPr>
          <w:p>
            <w:pPr>
              <w:spacing w:after="0"/>
              <w:rPr>
                <w:sz w:val="15"/>
                <w:szCs w:val="15"/>
                <w:color w:val="auto"/>
              </w:rPr>
            </w:pPr>
          </w:p>
        </w:tc>
        <w:tc>
          <w:tcPr>
            <w:tcW w:w="1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640" w:type="dxa"/>
            <w:vAlign w:val="bottom"/>
          </w:tcPr>
          <w:p>
            <w:pPr>
              <w:spacing w:after="0"/>
              <w:rPr>
                <w:sz w:val="15"/>
                <w:szCs w:val="15"/>
                <w:color w:val="auto"/>
              </w:rPr>
            </w:pPr>
          </w:p>
        </w:tc>
        <w:tc>
          <w:tcPr>
            <w:tcW w:w="1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1997</w:t>
            </w:r>
          </w:p>
        </w:tc>
        <w:tc>
          <w:tcPr>
            <w:tcW w:w="500" w:type="dxa"/>
            <w:vAlign w:val="bottom"/>
          </w:tcPr>
          <w:p>
            <w:pPr>
              <w:spacing w:after="0"/>
              <w:rPr>
                <w:sz w:val="15"/>
                <w:szCs w:val="15"/>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5"/>
                <w:szCs w:val="15"/>
                <w:color w:val="auto"/>
              </w:rPr>
            </w:pPr>
          </w:p>
        </w:tc>
        <w:tc>
          <w:tcPr>
            <w:tcW w:w="90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8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4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0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Operating revenues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5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Advertising</w:t>
            </w:r>
          </w:p>
        </w:tc>
        <w:tc>
          <w:tcPr>
            <w:tcW w:w="14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$293,277</w:t>
            </w: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$286,074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928,209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892,551</w:t>
            </w:r>
          </w:p>
        </w:tc>
      </w:tr>
      <w:tr>
        <w:trPr>
          <w:trHeight w:val="175"/>
        </w:trPr>
        <w:tc>
          <w:tcPr>
            <w:tcW w:w="5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Circulation and subscriber</w:t>
            </w:r>
          </w:p>
        </w:tc>
        <w:tc>
          <w:tcPr>
            <w:tcW w:w="4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138,783</w:t>
            </w:r>
          </w:p>
        </w:tc>
        <w:tc>
          <w:tcPr>
            <w:tcW w:w="64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134,238</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402,489</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386,814</w:t>
            </w:r>
          </w:p>
        </w:tc>
      </w:tr>
      <w:tr>
        <w:trPr>
          <w:trHeight w:val="175"/>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4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77,221</w:t>
            </w:r>
          </w:p>
        </w:tc>
        <w:tc>
          <w:tcPr>
            <w:tcW w:w="64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58,063</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188,296</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154,486</w:t>
            </w:r>
          </w:p>
        </w:tc>
      </w:tr>
      <w:tr>
        <w:trPr>
          <w:trHeight w:val="175"/>
        </w:trPr>
        <w:tc>
          <w:tcPr>
            <w:tcW w:w="8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4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8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509,281</w:t>
            </w:r>
          </w:p>
        </w:tc>
        <w:tc>
          <w:tcPr>
            <w:tcW w:w="640" w:type="dxa"/>
            <w:vAlign w:val="bottom"/>
          </w:tcPr>
          <w:p>
            <w:pPr>
              <w:spacing w:after="0"/>
              <w:rPr>
                <w:sz w:val="24"/>
                <w:szCs w:val="24"/>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478,375</w:t>
            </w:r>
          </w:p>
        </w:tc>
        <w:tc>
          <w:tcPr>
            <w:tcW w:w="500" w:type="dxa"/>
            <w:vAlign w:val="bottom"/>
          </w:tcPr>
          <w:p>
            <w:pPr>
              <w:spacing w:after="0"/>
              <w:rPr>
                <w:sz w:val="24"/>
                <w:szCs w:val="24"/>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1,518,994</w:t>
            </w:r>
          </w:p>
        </w:tc>
        <w:tc>
          <w:tcPr>
            <w:tcW w:w="36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1,433,851</w:t>
            </w:r>
          </w:p>
        </w:tc>
      </w:tr>
      <w:tr>
        <w:trPr>
          <w:trHeight w:val="175"/>
        </w:trPr>
        <w:tc>
          <w:tcPr>
            <w:tcW w:w="8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4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Operating</w:t>
            </w:r>
          </w:p>
        </w:tc>
        <w:tc>
          <w:tcPr>
            <w:tcW w:w="4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278,241</w:t>
            </w:r>
          </w:p>
        </w:tc>
        <w:tc>
          <w:tcPr>
            <w:tcW w:w="64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253,565</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822,226</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743,547</w:t>
            </w:r>
          </w:p>
        </w:tc>
      </w:tr>
      <w:tr>
        <w:trPr>
          <w:trHeight w:val="175"/>
        </w:trPr>
        <w:tc>
          <w:tcPr>
            <w:tcW w:w="5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4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107,533</w:t>
            </w:r>
          </w:p>
        </w:tc>
        <w:tc>
          <w:tcPr>
            <w:tcW w:w="64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107,186</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328,468</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332,947</w:t>
            </w:r>
          </w:p>
        </w:tc>
      </w:tr>
      <w:tr>
        <w:trPr>
          <w:trHeight w:val="175"/>
        </w:trPr>
        <w:tc>
          <w:tcPr>
            <w:tcW w:w="5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Depreciation and amortization of</w:t>
            </w: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property, plant and equipment</w:t>
            </w:r>
          </w:p>
        </w:tc>
        <w:tc>
          <w:tcPr>
            <w:tcW w:w="4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22,058</w:t>
            </w:r>
          </w:p>
        </w:tc>
        <w:tc>
          <w:tcPr>
            <w:tcW w:w="64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18,007</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63,169</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53,668</w:t>
            </w:r>
          </w:p>
        </w:tc>
      </w:tr>
      <w:tr>
        <w:trPr>
          <w:trHeight w:val="175"/>
        </w:trPr>
        <w:tc>
          <w:tcPr>
            <w:tcW w:w="5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Amortization of goodwill and other</w:t>
            </w: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intangibles</w:t>
            </w:r>
          </w:p>
        </w:tc>
        <w:tc>
          <w:tcPr>
            <w:tcW w:w="4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13,853</w:t>
            </w:r>
          </w:p>
        </w:tc>
        <w:tc>
          <w:tcPr>
            <w:tcW w:w="64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8,382</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35,724</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24,549</w:t>
            </w:r>
          </w:p>
        </w:tc>
      </w:tr>
      <w:tr>
        <w:trPr>
          <w:trHeight w:val="175"/>
        </w:trPr>
        <w:tc>
          <w:tcPr>
            <w:tcW w:w="8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4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8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421,685</w:t>
            </w:r>
          </w:p>
        </w:tc>
        <w:tc>
          <w:tcPr>
            <w:tcW w:w="64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387,140</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1,249,587</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1,154,711</w:t>
            </w:r>
          </w:p>
        </w:tc>
      </w:tr>
      <w:tr>
        <w:trPr>
          <w:trHeight w:val="175"/>
        </w:trPr>
        <w:tc>
          <w:tcPr>
            <w:tcW w:w="8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4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Income from operations</w:t>
            </w:r>
          </w:p>
        </w:tc>
        <w:tc>
          <w:tcPr>
            <w:tcW w:w="440" w:type="dxa"/>
            <w:vAlign w:val="bottom"/>
          </w:tcPr>
          <w:p>
            <w:pPr>
              <w:spacing w:after="0"/>
              <w:rPr>
                <w:sz w:val="24"/>
                <w:szCs w:val="24"/>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87,596</w:t>
            </w:r>
          </w:p>
        </w:tc>
        <w:tc>
          <w:tcPr>
            <w:tcW w:w="640" w:type="dxa"/>
            <w:vAlign w:val="bottom"/>
          </w:tcPr>
          <w:p>
            <w:pPr>
              <w:spacing w:after="0"/>
              <w:rPr>
                <w:sz w:val="24"/>
                <w:szCs w:val="24"/>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91,235</w:t>
            </w:r>
          </w:p>
        </w:tc>
        <w:tc>
          <w:tcPr>
            <w:tcW w:w="500" w:type="dxa"/>
            <w:vAlign w:val="bottom"/>
          </w:tcPr>
          <w:p>
            <w:pPr>
              <w:spacing w:after="0"/>
              <w:rPr>
                <w:sz w:val="24"/>
                <w:szCs w:val="24"/>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269,407</w:t>
            </w:r>
          </w:p>
        </w:tc>
        <w:tc>
          <w:tcPr>
            <w:tcW w:w="36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279,140</w:t>
            </w:r>
          </w:p>
        </w:tc>
      </w:tr>
      <w:tr>
        <w:trPr>
          <w:trHeight w:val="35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5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Equity in (losses) earnings of affiliates</w:t>
            </w:r>
          </w:p>
        </w:tc>
        <w:tc>
          <w:tcPr>
            <w:tcW w:w="4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(4,060)</w:t>
            </w:r>
          </w:p>
        </w:tc>
        <w:tc>
          <w:tcPr>
            <w:tcW w:w="64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4,712</w:t>
            </w:r>
          </w:p>
        </w:tc>
        <w:tc>
          <w:tcPr>
            <w:tcW w:w="50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(3,143)</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8,168</w:t>
            </w:r>
          </w:p>
        </w:tc>
      </w:tr>
      <w:tr>
        <w:trPr>
          <w:trHeight w:val="175"/>
        </w:trPr>
        <w:tc>
          <w:tcPr>
            <w:tcW w:w="5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Interest income</w:t>
            </w:r>
          </w:p>
        </w:tc>
        <w:tc>
          <w:tcPr>
            <w:tcW w:w="4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217</w:t>
            </w:r>
          </w:p>
        </w:tc>
        <w:tc>
          <w:tcPr>
            <w:tcW w:w="64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725</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809</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2,917</w:t>
            </w:r>
          </w:p>
        </w:tc>
      </w:tr>
      <w:tr>
        <w:trPr>
          <w:trHeight w:val="175"/>
        </w:trPr>
        <w:tc>
          <w:tcPr>
            <w:tcW w:w="5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4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(2,246)</w:t>
            </w:r>
          </w:p>
        </w:tc>
        <w:tc>
          <w:tcPr>
            <w:tcW w:w="640" w:type="dxa"/>
            <w:vAlign w:val="bottom"/>
          </w:tcPr>
          <w:p>
            <w:pPr>
              <w:spacing w:after="0"/>
              <w:rPr>
                <w:sz w:val="15"/>
                <w:szCs w:val="15"/>
                <w:color w:val="auto"/>
              </w:rPr>
            </w:pP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(182)</w:t>
            </w:r>
          </w:p>
        </w:tc>
        <w:tc>
          <w:tcPr>
            <w:tcW w:w="50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(4,821)</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(505)</w:t>
            </w:r>
          </w:p>
        </w:tc>
      </w:tr>
      <w:tr>
        <w:trPr>
          <w:trHeight w:val="175"/>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4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50,241</w:t>
            </w:r>
          </w:p>
        </w:tc>
        <w:tc>
          <w:tcPr>
            <w:tcW w:w="64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23,471</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306,752</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24,292</w:t>
            </w:r>
          </w:p>
        </w:tc>
      </w:tr>
      <w:tr>
        <w:trPr>
          <w:trHeight w:val="175"/>
        </w:trPr>
        <w:tc>
          <w:tcPr>
            <w:tcW w:w="8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4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income taxes</w:t>
            </w:r>
          </w:p>
        </w:tc>
        <w:tc>
          <w:tcPr>
            <w:tcW w:w="440" w:type="dxa"/>
            <w:vAlign w:val="bottom"/>
          </w:tcPr>
          <w:p>
            <w:pPr>
              <w:spacing w:after="0"/>
              <w:rPr>
                <w:sz w:val="24"/>
                <w:szCs w:val="24"/>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131,748</w:t>
            </w:r>
          </w:p>
        </w:tc>
        <w:tc>
          <w:tcPr>
            <w:tcW w:w="640" w:type="dxa"/>
            <w:vAlign w:val="bottom"/>
          </w:tcPr>
          <w:p>
            <w:pPr>
              <w:spacing w:after="0"/>
              <w:rPr>
                <w:sz w:val="24"/>
                <w:szCs w:val="24"/>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8"/>
              </w:rPr>
              <w:t>119,961</w:t>
            </w:r>
          </w:p>
        </w:tc>
        <w:tc>
          <w:tcPr>
            <w:tcW w:w="500" w:type="dxa"/>
            <w:vAlign w:val="bottom"/>
          </w:tcPr>
          <w:p>
            <w:pPr>
              <w:spacing w:after="0"/>
              <w:rPr>
                <w:sz w:val="24"/>
                <w:szCs w:val="24"/>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569,004</w:t>
            </w:r>
          </w:p>
        </w:tc>
        <w:tc>
          <w:tcPr>
            <w:tcW w:w="36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314,012</w:t>
            </w:r>
          </w:p>
        </w:tc>
      </w:tr>
      <w:tr>
        <w:trPr>
          <w:trHeight w:val="175"/>
        </w:trPr>
        <w:tc>
          <w:tcPr>
            <w:tcW w:w="8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4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income taxes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w w:val="98"/>
              </w:rPr>
              <w:t>Current</w:t>
            </w:r>
          </w:p>
        </w:tc>
        <w:tc>
          <w:tcPr>
            <w:tcW w:w="4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41,598</w:t>
            </w:r>
          </w:p>
        </w:tc>
        <w:tc>
          <w:tcPr>
            <w:tcW w:w="64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44,866</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207,069</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117,109</w:t>
            </w:r>
          </w:p>
        </w:tc>
      </w:tr>
      <w:tr>
        <w:trPr>
          <w:trHeight w:val="175"/>
        </w:trPr>
        <w:tc>
          <w:tcPr>
            <w:tcW w:w="5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Deferred</w:t>
            </w:r>
          </w:p>
        </w:tc>
        <w:tc>
          <w:tcPr>
            <w:tcW w:w="4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8,302</w:t>
            </w:r>
          </w:p>
        </w:tc>
        <w:tc>
          <w:tcPr>
            <w:tcW w:w="64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3,544</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8,431</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6,301</w:t>
            </w:r>
          </w:p>
        </w:tc>
      </w:tr>
      <w:tr>
        <w:trPr>
          <w:trHeight w:val="175"/>
        </w:trPr>
        <w:tc>
          <w:tcPr>
            <w:tcW w:w="8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4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8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49,900</w:t>
            </w:r>
          </w:p>
        </w:tc>
        <w:tc>
          <w:tcPr>
            <w:tcW w:w="64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48,410</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215,500</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123,410</w:t>
            </w:r>
          </w:p>
        </w:tc>
      </w:tr>
      <w:tr>
        <w:trPr>
          <w:trHeight w:val="175"/>
        </w:trPr>
        <w:tc>
          <w:tcPr>
            <w:tcW w:w="8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4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spacing w:after="0"/>
              <w:rPr>
                <w:sz w:val="24"/>
                <w:szCs w:val="24"/>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81,848</w:t>
            </w:r>
          </w:p>
        </w:tc>
        <w:tc>
          <w:tcPr>
            <w:tcW w:w="640" w:type="dxa"/>
            <w:vAlign w:val="bottom"/>
          </w:tcPr>
          <w:p>
            <w:pPr>
              <w:spacing w:after="0"/>
              <w:rPr>
                <w:sz w:val="24"/>
                <w:szCs w:val="24"/>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71,551</w:t>
            </w:r>
          </w:p>
        </w:tc>
        <w:tc>
          <w:tcPr>
            <w:tcW w:w="500" w:type="dxa"/>
            <w:vAlign w:val="bottom"/>
          </w:tcPr>
          <w:p>
            <w:pPr>
              <w:spacing w:after="0"/>
              <w:rPr>
                <w:sz w:val="24"/>
                <w:szCs w:val="24"/>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353,504</w:t>
            </w:r>
          </w:p>
        </w:tc>
        <w:tc>
          <w:tcPr>
            <w:tcW w:w="36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190,602</w:t>
            </w:r>
          </w:p>
        </w:tc>
      </w:tr>
      <w:tr>
        <w:trPr>
          <w:trHeight w:val="35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Redeemable preferred stock dividends</w:t>
            </w:r>
          </w:p>
        </w:tc>
        <w:tc>
          <w:tcPr>
            <w:tcW w:w="440" w:type="dxa"/>
            <w:vAlign w:val="bottom"/>
          </w:tcPr>
          <w:p>
            <w:pPr>
              <w:spacing w:after="0"/>
              <w:rPr>
                <w:sz w:val="24"/>
                <w:szCs w:val="24"/>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(239)</w:t>
            </w:r>
          </w:p>
        </w:tc>
        <w:tc>
          <w:tcPr>
            <w:tcW w:w="640" w:type="dxa"/>
            <w:vAlign w:val="bottom"/>
          </w:tcPr>
          <w:p>
            <w:pPr>
              <w:spacing w:after="0"/>
              <w:rPr>
                <w:sz w:val="24"/>
                <w:szCs w:val="24"/>
                <w:color w:val="auto"/>
              </w:rPr>
            </w:pP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(239)</w:t>
            </w:r>
          </w:p>
        </w:tc>
        <w:tc>
          <w:tcPr>
            <w:tcW w:w="500" w:type="dxa"/>
            <w:vAlign w:val="bottom"/>
          </w:tcPr>
          <w:p>
            <w:pPr>
              <w:spacing w:after="0"/>
              <w:rPr>
                <w:sz w:val="24"/>
                <w:szCs w:val="24"/>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(956)</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(956)</w:t>
            </w:r>
          </w:p>
        </w:tc>
      </w:tr>
      <w:tr>
        <w:trPr>
          <w:trHeight w:val="175"/>
        </w:trPr>
        <w:tc>
          <w:tcPr>
            <w:tcW w:w="8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4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Net income available for common shares</w:t>
            </w:r>
          </w:p>
        </w:tc>
        <w:tc>
          <w:tcPr>
            <w:tcW w:w="14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$ 81,609</w:t>
            </w: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$ 71,312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352,548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189,646</w:t>
            </w:r>
          </w:p>
        </w:tc>
      </w:tr>
      <w:tr>
        <w:trPr>
          <w:trHeight w:val="175"/>
        </w:trPr>
        <w:tc>
          <w:tcPr>
            <w:tcW w:w="8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4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8.09</w:t>
            </w:r>
          </w:p>
        </w:tc>
        <w:tc>
          <w:tcPr>
            <w:tcW w:w="640" w:type="dxa"/>
            <w:vAlign w:val="bottom"/>
          </w:tcPr>
          <w:p>
            <w:pPr>
              <w:ind w:left="56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6.66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34.95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17.62</w:t>
            </w:r>
          </w:p>
        </w:tc>
      </w:tr>
      <w:tr>
        <w:trPr>
          <w:trHeight w:val="175"/>
        </w:trPr>
        <w:tc>
          <w:tcPr>
            <w:tcW w:w="8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4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8.05</w:t>
            </w:r>
          </w:p>
        </w:tc>
        <w:tc>
          <w:tcPr>
            <w:tcW w:w="640" w:type="dxa"/>
            <w:vAlign w:val="bottom"/>
          </w:tcPr>
          <w:p>
            <w:pPr>
              <w:ind w:left="56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6.64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34.79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17.57</w:t>
            </w:r>
          </w:p>
        </w:tc>
      </w:tr>
      <w:tr>
        <w:trPr>
          <w:trHeight w:val="175"/>
        </w:trPr>
        <w:tc>
          <w:tcPr>
            <w:tcW w:w="8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4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Dividends declared per common share</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1.25</w:t>
            </w:r>
          </w:p>
        </w:tc>
        <w:tc>
          <w:tcPr>
            <w:tcW w:w="640" w:type="dxa"/>
            <w:vAlign w:val="bottom"/>
          </w:tcPr>
          <w:p>
            <w:pPr>
              <w:ind w:left="56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4.80</w:t>
            </w:r>
          </w:p>
        </w:tc>
      </w:tr>
      <w:tr>
        <w:trPr>
          <w:trHeight w:val="175"/>
        </w:trPr>
        <w:tc>
          <w:tcPr>
            <w:tcW w:w="8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4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Basic average number of common shares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5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outstanding</w:t>
            </w:r>
          </w:p>
        </w:tc>
        <w:tc>
          <w:tcPr>
            <w:tcW w:w="4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10,093</w:t>
            </w:r>
          </w:p>
        </w:tc>
        <w:tc>
          <w:tcPr>
            <w:tcW w:w="64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10,708</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10,088</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10,766</w:t>
            </w:r>
          </w:p>
        </w:tc>
      </w:tr>
      <w:tr>
        <w:trPr>
          <w:trHeight w:val="35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Diluted average number of common shares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5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outstanding</w:t>
            </w:r>
          </w:p>
        </w:tc>
        <w:tc>
          <w:tcPr>
            <w:tcW w:w="4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10,139</w:t>
            </w:r>
          </w:p>
        </w:tc>
        <w:tc>
          <w:tcPr>
            <w:tcW w:w="64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10,743</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10,132</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10,794</w:t>
            </w:r>
          </w:p>
        </w:tc>
      </w:tr>
    </w:tbl>
    <w:p>
      <w:pPr>
        <w:sectPr>
          <w:pgSz w:w="11900" w:h="16838" w:orient="portrait"/>
          <w:cols w:equalWidth="0" w:num="1">
            <w:col w:w="11520"/>
          </w:cols>
          <w:pgMar w:left="240" w:top="293" w:right="139"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80" w:type="dxa"/>
            <w:vAlign w:val="bottom"/>
          </w:tcPr>
          <w:p>
            <w:pPr>
              <w:jc w:val="right"/>
              <w:ind w:right="1244"/>
              <w:spacing w:after="0"/>
              <w:rPr>
                <w:sz w:val="20"/>
                <w:szCs w:val="20"/>
                <w:color w:val="auto"/>
              </w:rPr>
            </w:pPr>
            <w:r>
              <w:rPr>
                <w:rFonts w:ascii="Courier New" w:cs="Courier New" w:eastAsia="Courier New" w:hAnsi="Courier New"/>
                <w:sz w:val="15"/>
                <w:szCs w:val="15"/>
                <w:color w:val="auto"/>
              </w:rPr>
              <w:t>4.</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50"/>
        </w:trPr>
        <w:tc>
          <w:tcPr>
            <w:tcW w:w="5720" w:type="dxa"/>
            <w:vAlign w:val="bottom"/>
          </w:tcPr>
          <w:p>
            <w:pPr>
              <w:spacing w:after="0"/>
              <w:rPr>
                <w:sz w:val="20"/>
                <w:szCs w:val="20"/>
                <w:color w:val="auto"/>
              </w:rPr>
            </w:pPr>
            <w:r>
              <w:rPr>
                <w:rFonts w:ascii="Courier New" w:cs="Courier New" w:eastAsia="Courier New" w:hAnsi="Courier New"/>
                <w:sz w:val="15"/>
                <w:szCs w:val="15"/>
                <w:color w:val="auto"/>
              </w:rPr>
              <w:t>The Washington Post Company</w:t>
            </w:r>
          </w:p>
        </w:tc>
        <w:tc>
          <w:tcPr>
            <w:tcW w:w="10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5720" w:type="dxa"/>
            <w:vAlign w:val="bottom"/>
          </w:tcPr>
          <w:p>
            <w:pPr>
              <w:spacing w:after="0"/>
              <w:rPr>
                <w:sz w:val="20"/>
                <w:szCs w:val="20"/>
                <w:color w:val="auto"/>
              </w:rPr>
            </w:pPr>
            <w:r>
              <w:rPr>
                <w:rFonts w:ascii="Courier New" w:cs="Courier New" w:eastAsia="Courier New" w:hAnsi="Courier New"/>
                <w:sz w:val="15"/>
                <w:szCs w:val="15"/>
                <w:color w:val="auto"/>
              </w:rPr>
              <w:t>Condensed Consolidated Balance Sheets</w:t>
            </w:r>
          </w:p>
        </w:tc>
        <w:tc>
          <w:tcPr>
            <w:tcW w:w="10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524"/>
        </w:trPr>
        <w:tc>
          <w:tcPr>
            <w:tcW w:w="5720" w:type="dxa"/>
            <w:vAlign w:val="bottom"/>
          </w:tcPr>
          <w:p>
            <w:pPr>
              <w:spacing w:after="0"/>
              <w:rPr>
                <w:sz w:val="24"/>
                <w:szCs w:val="24"/>
                <w:color w:val="auto"/>
              </w:rPr>
            </w:pPr>
          </w:p>
        </w:tc>
        <w:tc>
          <w:tcPr>
            <w:tcW w:w="28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September 27,</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5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jc w:val="right"/>
              <w:ind w:right="1324"/>
              <w:spacing w:after="0"/>
              <w:rPr>
                <w:sz w:val="20"/>
                <w:szCs w:val="20"/>
                <w:color w:val="auto"/>
              </w:rPr>
            </w:pPr>
            <w:r>
              <w:rPr>
                <w:rFonts w:ascii="Courier New" w:cs="Courier New" w:eastAsia="Courier New" w:hAnsi="Courier New"/>
                <w:sz w:val="15"/>
                <w:szCs w:val="15"/>
                <w:color w:val="auto"/>
                <w:w w:val="99"/>
              </w:rPr>
              <w:t>1998</w:t>
            </w: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28,</w:t>
            </w:r>
          </w:p>
        </w:tc>
      </w:tr>
      <w:tr>
        <w:trPr>
          <w:trHeight w:val="175"/>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8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(Unaudited)</w:t>
            </w:r>
          </w:p>
        </w:tc>
        <w:tc>
          <w:tcPr>
            <w:tcW w:w="9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5720" w:type="dxa"/>
            <w:vAlign w:val="bottom"/>
          </w:tcPr>
          <w:p>
            <w:pPr>
              <w:spacing w:after="0"/>
              <w:rPr>
                <w:sz w:val="15"/>
                <w:szCs w:val="15"/>
                <w:color w:val="auto"/>
              </w:rPr>
            </w:pPr>
          </w:p>
        </w:tc>
        <w:tc>
          <w:tcPr>
            <w:tcW w:w="28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860"/>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57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0"/>
        </w:trPr>
        <w:tc>
          <w:tcPr>
            <w:tcW w:w="57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4,517</w:t>
            </w:r>
          </w:p>
        </w:tc>
        <w:tc>
          <w:tcPr>
            <w:tcW w:w="960" w:type="dxa"/>
            <w:vAlign w:val="bottom"/>
          </w:tcPr>
          <w:p>
            <w:pPr>
              <w:ind w:left="86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21,117</w:t>
            </w:r>
          </w:p>
        </w:tc>
      </w:tr>
      <w:tr>
        <w:trPr>
          <w:trHeight w:val="175"/>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less estimated returns,</w:t>
            </w:r>
          </w:p>
        </w:tc>
        <w:tc>
          <w:tcPr>
            <w:tcW w:w="10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doubtful accounts and allowances</w:t>
            </w: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266,443</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244,203</w:t>
            </w:r>
          </w:p>
        </w:tc>
      </w:tr>
      <w:tr>
        <w:trPr>
          <w:trHeight w:val="175"/>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Inventories</w:t>
            </w: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26,525</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19,213</w:t>
            </w:r>
          </w:p>
        </w:tc>
      </w:tr>
      <w:tr>
        <w:trPr>
          <w:trHeight w:val="175"/>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Other current assets</w:t>
            </w: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22,918</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23,959</w:t>
            </w:r>
          </w:p>
        </w:tc>
      </w:tr>
      <w:tr>
        <w:trPr>
          <w:trHeight w:val="175"/>
        </w:trPr>
        <w:tc>
          <w:tcPr>
            <w:tcW w:w="5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5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320,403</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308,492</w:t>
            </w:r>
          </w:p>
        </w:tc>
      </w:tr>
      <w:tr>
        <w:trPr>
          <w:trHeight w:val="350"/>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Investment in marketable equity securities</w:t>
            </w:r>
          </w:p>
        </w:tc>
        <w:tc>
          <w:tcPr>
            <w:tcW w:w="1080" w:type="dxa"/>
            <w:vAlign w:val="bottom"/>
          </w:tcPr>
          <w:p>
            <w:pPr>
              <w:spacing w:after="0"/>
              <w:rPr>
                <w:sz w:val="24"/>
                <w:szCs w:val="24"/>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121,423</w:t>
            </w:r>
          </w:p>
        </w:tc>
        <w:tc>
          <w:tcPr>
            <w:tcW w:w="96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3,366</w:t>
            </w:r>
          </w:p>
        </w:tc>
      </w:tr>
      <w:tr>
        <w:trPr>
          <w:trHeight w:val="350"/>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Investments in affiliates</w:t>
            </w:r>
          </w:p>
        </w:tc>
        <w:tc>
          <w:tcPr>
            <w:tcW w:w="1080" w:type="dxa"/>
            <w:vAlign w:val="bottom"/>
          </w:tcPr>
          <w:p>
            <w:pPr>
              <w:spacing w:after="0"/>
              <w:rPr>
                <w:sz w:val="24"/>
                <w:szCs w:val="24"/>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62,859</w:t>
            </w:r>
          </w:p>
        </w:tc>
        <w:tc>
          <w:tcPr>
            <w:tcW w:w="96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154,791</w:t>
            </w:r>
          </w:p>
        </w:tc>
      </w:tr>
      <w:tr>
        <w:trPr>
          <w:trHeight w:val="350"/>
        </w:trPr>
        <w:tc>
          <w:tcPr>
            <w:tcW w:w="57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0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Buildings</w:t>
            </w: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190,327</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188,836</w:t>
            </w:r>
          </w:p>
        </w:tc>
      </w:tr>
      <w:tr>
        <w:trPr>
          <w:trHeight w:val="175"/>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Machinery, equipment and fixtures</w:t>
            </w: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859,321</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800,435</w:t>
            </w:r>
          </w:p>
        </w:tc>
      </w:tr>
      <w:tr>
        <w:trPr>
          <w:trHeight w:val="175"/>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Leasehold improvements</w:t>
            </w: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46,539</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39,017</w:t>
            </w:r>
          </w:p>
        </w:tc>
      </w:tr>
      <w:tr>
        <w:trPr>
          <w:trHeight w:val="175"/>
        </w:trPr>
        <w:tc>
          <w:tcPr>
            <w:tcW w:w="5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5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8"/>
              </w:rPr>
              <w:t>1,096,187</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1,028,288</w:t>
            </w:r>
          </w:p>
        </w:tc>
      </w:tr>
      <w:tr>
        <w:trPr>
          <w:trHeight w:val="175"/>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080" w:type="dxa"/>
            <w:vAlign w:val="bottom"/>
          </w:tcPr>
          <w:p>
            <w:pPr>
              <w:spacing w:after="0"/>
              <w:rPr>
                <w:sz w:val="15"/>
                <w:szCs w:val="15"/>
                <w:color w:val="auto"/>
              </w:rPr>
            </w:pPr>
          </w:p>
        </w:tc>
        <w:tc>
          <w:tcPr>
            <w:tcW w:w="17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(625,587)</w:t>
            </w:r>
          </w:p>
        </w:tc>
        <w:tc>
          <w:tcPr>
            <w:tcW w:w="96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(577,445)</w:t>
            </w:r>
          </w:p>
        </w:tc>
      </w:tr>
      <w:tr>
        <w:trPr>
          <w:trHeight w:val="175"/>
        </w:trPr>
        <w:tc>
          <w:tcPr>
            <w:tcW w:w="5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5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470,600</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450,843</w:t>
            </w:r>
          </w:p>
        </w:tc>
      </w:tr>
      <w:tr>
        <w:trPr>
          <w:trHeight w:val="175"/>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Land</w:t>
            </w: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33,953</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33,953</w:t>
            </w:r>
          </w:p>
        </w:tc>
      </w:tr>
      <w:tr>
        <w:trPr>
          <w:trHeight w:val="175"/>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Construction in progress</w:t>
            </w: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288,573</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168,954</w:t>
            </w:r>
          </w:p>
        </w:tc>
      </w:tr>
      <w:tr>
        <w:trPr>
          <w:trHeight w:val="175"/>
        </w:trPr>
        <w:tc>
          <w:tcPr>
            <w:tcW w:w="5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5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793,126</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653,750</w:t>
            </w:r>
          </w:p>
        </w:tc>
      </w:tr>
      <w:tr>
        <w:trPr>
          <w:trHeight w:val="175"/>
        </w:trPr>
        <w:tc>
          <w:tcPr>
            <w:tcW w:w="572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intangibles,</w:t>
            </w:r>
          </w:p>
        </w:tc>
        <w:tc>
          <w:tcPr>
            <w:tcW w:w="10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less accumulated amortization</w:t>
            </w: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876,775</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679,714</w:t>
            </w:r>
          </w:p>
        </w:tc>
      </w:tr>
      <w:tr>
        <w:trPr>
          <w:trHeight w:val="350"/>
        </w:trPr>
        <w:tc>
          <w:tcPr>
            <w:tcW w:w="5720" w:type="dxa"/>
            <w:vAlign w:val="bottom"/>
          </w:tcPr>
          <w:p>
            <w:pPr>
              <w:spacing w:after="0"/>
              <w:rPr>
                <w:sz w:val="20"/>
                <w:szCs w:val="20"/>
                <w:color w:val="auto"/>
              </w:rPr>
            </w:pPr>
            <w:r>
              <w:rPr>
                <w:rFonts w:ascii="Courier New" w:cs="Courier New" w:eastAsia="Courier New" w:hAnsi="Courier New"/>
                <w:sz w:val="15"/>
                <w:szCs w:val="15"/>
                <w:color w:val="auto"/>
              </w:rPr>
              <w:t>Deferred charges and other assets</w:t>
            </w:r>
          </w:p>
        </w:tc>
        <w:tc>
          <w:tcPr>
            <w:tcW w:w="1080" w:type="dxa"/>
            <w:vAlign w:val="bottom"/>
          </w:tcPr>
          <w:p>
            <w:pPr>
              <w:spacing w:after="0"/>
              <w:rPr>
                <w:sz w:val="24"/>
                <w:szCs w:val="24"/>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330,840</w:t>
            </w:r>
          </w:p>
        </w:tc>
        <w:tc>
          <w:tcPr>
            <w:tcW w:w="96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277,204</w:t>
            </w:r>
          </w:p>
        </w:tc>
      </w:tr>
      <w:tr>
        <w:trPr>
          <w:trHeight w:val="175"/>
        </w:trPr>
        <w:tc>
          <w:tcPr>
            <w:tcW w:w="5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5720" w:type="dxa"/>
            <w:vAlign w:val="bottom"/>
          </w:tcPr>
          <w:p>
            <w:pPr>
              <w:spacing w:after="0"/>
              <w:rPr>
                <w:sz w:val="15"/>
                <w:szCs w:val="15"/>
                <w:color w:val="auto"/>
              </w:rPr>
            </w:pPr>
          </w:p>
        </w:tc>
        <w:tc>
          <w:tcPr>
            <w:tcW w:w="2860" w:type="dxa"/>
            <w:vAlign w:val="bottom"/>
            <w:gridSpan w:val="2"/>
          </w:tcPr>
          <w:p>
            <w:pPr>
              <w:jc w:val="right"/>
              <w:ind w:right="884"/>
              <w:spacing w:after="0"/>
              <w:rPr>
                <w:sz w:val="20"/>
                <w:szCs w:val="20"/>
                <w:color w:val="auto"/>
              </w:rPr>
            </w:pPr>
            <w:r>
              <w:rPr>
                <w:rFonts w:ascii="Courier New" w:cs="Courier New" w:eastAsia="Courier New" w:hAnsi="Courier New"/>
                <w:sz w:val="15"/>
                <w:szCs w:val="15"/>
                <w:color w:val="auto"/>
              </w:rPr>
              <w:t>$2,505,426</w:t>
            </w:r>
          </w:p>
        </w:tc>
        <w:tc>
          <w:tcPr>
            <w:tcW w:w="1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$2,077,317</w:t>
            </w:r>
          </w:p>
        </w:tc>
      </w:tr>
      <w:tr>
        <w:trPr>
          <w:trHeight w:val="175"/>
        </w:trPr>
        <w:tc>
          <w:tcPr>
            <w:tcW w:w="5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57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0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0"/>
        </w:trPr>
        <w:tc>
          <w:tcPr>
            <w:tcW w:w="57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and accrued liabilities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248,529</w:t>
            </w:r>
          </w:p>
        </w:tc>
        <w:tc>
          <w:tcPr>
            <w:tcW w:w="960" w:type="dxa"/>
            <w:vAlign w:val="bottom"/>
          </w:tcPr>
          <w:p>
            <w:pPr>
              <w:ind w:left="86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213,824</w:t>
            </w:r>
          </w:p>
        </w:tc>
      </w:tr>
      <w:tr>
        <w:trPr>
          <w:trHeight w:val="175"/>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Federal and state income taxes</w:t>
            </w: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6,852</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18,352</w:t>
            </w:r>
          </w:p>
        </w:tc>
      </w:tr>
      <w:tr>
        <w:trPr>
          <w:trHeight w:val="175"/>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Deferred subscription revenue</w:t>
            </w: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80,196</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80,186</w:t>
            </w:r>
          </w:p>
        </w:tc>
      </w:tr>
      <w:tr>
        <w:trPr>
          <w:trHeight w:val="175"/>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Dividends declared</w:t>
            </w: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12,845</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Short-term borrowings</w:t>
            </w: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380,505</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296,394</w:t>
            </w:r>
          </w:p>
        </w:tc>
      </w:tr>
      <w:tr>
        <w:trPr>
          <w:trHeight w:val="175"/>
        </w:trPr>
        <w:tc>
          <w:tcPr>
            <w:tcW w:w="5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5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728,927</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608,756</w:t>
            </w:r>
          </w:p>
        </w:tc>
      </w:tr>
      <w:tr>
        <w:trPr>
          <w:trHeight w:val="350"/>
        </w:trPr>
        <w:tc>
          <w:tcPr>
            <w:tcW w:w="57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080" w:type="dxa"/>
            <w:vAlign w:val="bottom"/>
          </w:tcPr>
          <w:p>
            <w:pPr>
              <w:spacing w:after="0"/>
              <w:rPr>
                <w:sz w:val="24"/>
                <w:szCs w:val="24"/>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259,178</w:t>
            </w:r>
          </w:p>
        </w:tc>
        <w:tc>
          <w:tcPr>
            <w:tcW w:w="96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241,234</w:t>
            </w:r>
          </w:p>
        </w:tc>
      </w:tr>
      <w:tr>
        <w:trPr>
          <w:trHeight w:val="350"/>
        </w:trPr>
        <w:tc>
          <w:tcPr>
            <w:tcW w:w="57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080" w:type="dxa"/>
            <w:vAlign w:val="bottom"/>
          </w:tcPr>
          <w:p>
            <w:pPr>
              <w:spacing w:after="0"/>
              <w:rPr>
                <w:sz w:val="24"/>
                <w:szCs w:val="24"/>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34,337</w:t>
            </w:r>
          </w:p>
        </w:tc>
        <w:tc>
          <w:tcPr>
            <w:tcW w:w="96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31,306</w:t>
            </w:r>
          </w:p>
        </w:tc>
      </w:tr>
      <w:tr>
        <w:trPr>
          <w:trHeight w:val="175"/>
        </w:trPr>
        <w:tc>
          <w:tcPr>
            <w:tcW w:w="5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5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8"/>
              </w:rPr>
              <w:t>1,022,442</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881,296</w:t>
            </w:r>
          </w:p>
        </w:tc>
      </w:tr>
      <w:tr>
        <w:trPr>
          <w:trHeight w:val="175"/>
        </w:trPr>
        <w:tc>
          <w:tcPr>
            <w:tcW w:w="5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5720" w:type="dxa"/>
            <w:vAlign w:val="bottom"/>
          </w:tcPr>
          <w:p>
            <w:pPr>
              <w:spacing w:after="0"/>
              <w:rPr>
                <w:sz w:val="20"/>
                <w:szCs w:val="20"/>
                <w:color w:val="auto"/>
              </w:rPr>
            </w:pPr>
            <w:r>
              <w:rPr>
                <w:rFonts w:ascii="Courier New" w:cs="Courier New" w:eastAsia="Courier New" w:hAnsi="Courier New"/>
                <w:sz w:val="15"/>
                <w:szCs w:val="15"/>
                <w:color w:val="auto"/>
              </w:rPr>
              <w:t>Redeemable preferred stock</w:t>
            </w:r>
          </w:p>
        </w:tc>
        <w:tc>
          <w:tcPr>
            <w:tcW w:w="1080" w:type="dxa"/>
            <w:vAlign w:val="bottom"/>
          </w:tcPr>
          <w:p>
            <w:pPr>
              <w:spacing w:after="0"/>
              <w:rPr>
                <w:sz w:val="24"/>
                <w:szCs w:val="24"/>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11,873</w:t>
            </w:r>
          </w:p>
        </w:tc>
        <w:tc>
          <w:tcPr>
            <w:tcW w:w="96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11,947</w:t>
            </w:r>
          </w:p>
        </w:tc>
      </w:tr>
      <w:tr>
        <w:trPr>
          <w:trHeight w:val="175"/>
        </w:trPr>
        <w:tc>
          <w:tcPr>
            <w:tcW w:w="5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572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1080" w:type="dxa"/>
            <w:vAlign w:val="bottom"/>
          </w:tcPr>
          <w:p>
            <w:pPr>
              <w:spacing w:after="0"/>
              <w:rPr>
                <w:sz w:val="24"/>
                <w:szCs w:val="24"/>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5720" w:type="dxa"/>
            <w:vAlign w:val="bottom"/>
          </w:tcPr>
          <w:p>
            <w:pPr>
              <w:spacing w:after="0"/>
              <w:rPr>
                <w:sz w:val="20"/>
                <w:szCs w:val="20"/>
                <w:color w:val="auto"/>
              </w:rPr>
            </w:pPr>
            <w:r>
              <w:rPr>
                <w:rFonts w:ascii="Courier New" w:cs="Courier New" w:eastAsia="Courier New" w:hAnsi="Courier New"/>
                <w:sz w:val="15"/>
                <w:szCs w:val="15"/>
                <w:color w:val="auto"/>
              </w:rPr>
              <w:t>Common shareholders' equity</w:t>
            </w:r>
          </w:p>
        </w:tc>
        <w:tc>
          <w:tcPr>
            <w:tcW w:w="10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20,000</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20,000</w:t>
            </w:r>
          </w:p>
        </w:tc>
      </w:tr>
      <w:tr>
        <w:trPr>
          <w:trHeight w:val="175"/>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Capital in excess of par value</w:t>
            </w: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37,293</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33,415</w:t>
            </w:r>
          </w:p>
        </w:tc>
      </w:tr>
      <w:tr>
        <w:trPr>
          <w:trHeight w:val="175"/>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Retained earnings</w:t>
            </w: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8"/>
              </w:rPr>
              <w:t>2,533,449</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2,231,341</w:t>
            </w:r>
          </w:p>
        </w:tc>
      </w:tr>
      <w:tr>
        <w:trPr>
          <w:trHeight w:val="175"/>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Accumulated other comprehensive income (losses)</w:t>
            </w:r>
          </w:p>
        </w:tc>
        <w:tc>
          <w:tcPr>
            <w:tcW w:w="10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Cumulative foreign currency translation adjustment</w:t>
            </w:r>
          </w:p>
        </w:tc>
        <w:tc>
          <w:tcPr>
            <w:tcW w:w="1080" w:type="dxa"/>
            <w:vAlign w:val="bottom"/>
          </w:tcPr>
          <w:p>
            <w:pPr>
              <w:spacing w:after="0"/>
              <w:rPr>
                <w:sz w:val="15"/>
                <w:szCs w:val="15"/>
                <w:color w:val="auto"/>
              </w:rPr>
            </w:pPr>
          </w:p>
        </w:tc>
        <w:tc>
          <w:tcPr>
            <w:tcW w:w="17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(1,213)</w:t>
            </w:r>
          </w:p>
        </w:tc>
        <w:tc>
          <w:tcPr>
            <w:tcW w:w="96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(464)</w:t>
            </w:r>
          </w:p>
        </w:tc>
      </w:tr>
      <w:tr>
        <w:trPr>
          <w:trHeight w:val="175"/>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Unrealized (loss) gain on available-for-sale</w:t>
            </w:r>
          </w:p>
        </w:tc>
        <w:tc>
          <w:tcPr>
            <w:tcW w:w="10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securities</w:t>
            </w:r>
          </w:p>
        </w:tc>
        <w:tc>
          <w:tcPr>
            <w:tcW w:w="1080" w:type="dxa"/>
            <w:vAlign w:val="bottom"/>
          </w:tcPr>
          <w:p>
            <w:pPr>
              <w:spacing w:after="0"/>
              <w:rPr>
                <w:sz w:val="15"/>
                <w:szCs w:val="15"/>
                <w:color w:val="auto"/>
              </w:rPr>
            </w:pPr>
          </w:p>
        </w:tc>
        <w:tc>
          <w:tcPr>
            <w:tcW w:w="17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(6,153)</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w:t>
            </w:r>
          </w:p>
        </w:tc>
      </w:tr>
      <w:tr>
        <w:trPr>
          <w:trHeight w:val="175"/>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Cost of Class B common stock held in treasury</w:t>
            </w:r>
          </w:p>
        </w:tc>
        <w:tc>
          <w:tcPr>
            <w:tcW w:w="2860" w:type="dxa"/>
            <w:vAlign w:val="bottom"/>
            <w:gridSpan w:val="2"/>
          </w:tcPr>
          <w:p>
            <w:pPr>
              <w:jc w:val="right"/>
              <w:ind w:right="784"/>
              <w:spacing w:after="0"/>
              <w:rPr>
                <w:sz w:val="20"/>
                <w:szCs w:val="20"/>
                <w:color w:val="auto"/>
              </w:rPr>
            </w:pPr>
            <w:r>
              <w:rPr>
                <w:rFonts w:ascii="Courier New" w:cs="Courier New" w:eastAsia="Courier New" w:hAnsi="Courier New"/>
                <w:sz w:val="15"/>
                <w:szCs w:val="15"/>
                <w:color w:val="auto"/>
              </w:rPr>
              <w:t>(1,112,265)</w:t>
            </w:r>
          </w:p>
        </w:tc>
        <w:tc>
          <w:tcPr>
            <w:tcW w:w="1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(1,100,249)</w:t>
            </w:r>
          </w:p>
        </w:tc>
      </w:tr>
      <w:tr>
        <w:trPr>
          <w:trHeight w:val="175"/>
        </w:trPr>
        <w:tc>
          <w:tcPr>
            <w:tcW w:w="5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5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8"/>
              </w:rPr>
              <w:t>1,471,111</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1,184,074</w:t>
            </w:r>
          </w:p>
        </w:tc>
      </w:tr>
      <w:tr>
        <w:trPr>
          <w:trHeight w:val="175"/>
        </w:trPr>
        <w:tc>
          <w:tcPr>
            <w:tcW w:w="5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5720" w:type="dxa"/>
            <w:vAlign w:val="bottom"/>
          </w:tcPr>
          <w:p>
            <w:pPr>
              <w:spacing w:after="0"/>
              <w:rPr>
                <w:sz w:val="15"/>
                <w:szCs w:val="15"/>
                <w:color w:val="auto"/>
              </w:rPr>
            </w:pPr>
          </w:p>
        </w:tc>
        <w:tc>
          <w:tcPr>
            <w:tcW w:w="2860" w:type="dxa"/>
            <w:vAlign w:val="bottom"/>
            <w:gridSpan w:val="2"/>
          </w:tcPr>
          <w:p>
            <w:pPr>
              <w:jc w:val="right"/>
              <w:ind w:right="884"/>
              <w:spacing w:after="0"/>
              <w:rPr>
                <w:sz w:val="20"/>
                <w:szCs w:val="20"/>
                <w:color w:val="auto"/>
              </w:rPr>
            </w:pPr>
            <w:r>
              <w:rPr>
                <w:rFonts w:ascii="Courier New" w:cs="Courier New" w:eastAsia="Courier New" w:hAnsi="Courier New"/>
                <w:sz w:val="15"/>
                <w:szCs w:val="15"/>
                <w:color w:val="auto"/>
              </w:rPr>
              <w:t>$2,505,426</w:t>
            </w:r>
          </w:p>
        </w:tc>
        <w:tc>
          <w:tcPr>
            <w:tcW w:w="1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$2,077,317</w:t>
            </w:r>
          </w:p>
        </w:tc>
      </w:tr>
      <w:tr>
        <w:trPr>
          <w:trHeight w:val="175"/>
        </w:trPr>
        <w:tc>
          <w:tcPr>
            <w:tcW w:w="5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r>
    </w:tbl>
    <w:p>
      <w:pPr>
        <w:sectPr>
          <w:pgSz w:w="11900" w:h="16838" w:orient="portrait"/>
          <w:cols w:equalWidth="0" w:num="1">
            <w:col w:w="10540"/>
          </w:cols>
          <w:pgMar w:left="240" w:top="293" w:right="111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spacing w:after="0"/>
              <w:rPr>
                <w:sz w:val="14"/>
                <w:szCs w:val="14"/>
                <w:color w:val="auto"/>
              </w:rPr>
            </w:pPr>
          </w:p>
        </w:tc>
        <w:tc>
          <w:tcPr>
            <w:tcW w:w="3460" w:type="dxa"/>
            <w:vAlign w:val="bottom"/>
          </w:tcPr>
          <w:p>
            <w:pPr>
              <w:jc w:val="right"/>
              <w:ind w:right="2024"/>
              <w:spacing w:after="0"/>
              <w:rPr>
                <w:sz w:val="20"/>
                <w:szCs w:val="20"/>
                <w:color w:val="auto"/>
              </w:rPr>
            </w:pPr>
            <w:r>
              <w:rPr>
                <w:rFonts w:ascii="Courier New" w:cs="Courier New" w:eastAsia="Courier New" w:hAnsi="Courier New"/>
                <w:sz w:val="15"/>
                <w:szCs w:val="15"/>
                <w:color w:val="auto"/>
              </w:rPr>
              <w:t>5.</w:t>
            </w:r>
          </w:p>
        </w:tc>
        <w:tc>
          <w:tcPr>
            <w:tcW w:w="820" w:type="dxa"/>
            <w:vAlign w:val="bottom"/>
          </w:tcPr>
          <w:p>
            <w:pPr>
              <w:spacing w:after="0"/>
              <w:rPr>
                <w:sz w:val="14"/>
                <w:szCs w:val="14"/>
                <w:color w:val="auto"/>
              </w:rPr>
            </w:pPr>
          </w:p>
        </w:tc>
      </w:tr>
      <w:tr>
        <w:trPr>
          <w:trHeight w:val="524"/>
        </w:trPr>
        <w:tc>
          <w:tcPr>
            <w:tcW w:w="5900" w:type="dxa"/>
            <w:vAlign w:val="bottom"/>
          </w:tcPr>
          <w:p>
            <w:pPr>
              <w:spacing w:after="0"/>
              <w:rPr>
                <w:sz w:val="20"/>
                <w:szCs w:val="20"/>
                <w:color w:val="auto"/>
              </w:rPr>
            </w:pPr>
            <w:r>
              <w:rPr>
                <w:rFonts w:ascii="Courier New" w:cs="Courier New" w:eastAsia="Courier New" w:hAnsi="Courier New"/>
                <w:sz w:val="15"/>
                <w:szCs w:val="15"/>
                <w:color w:val="auto"/>
              </w:rPr>
              <w:t>The Washington Post Company</w:t>
            </w:r>
          </w:p>
        </w:tc>
        <w:tc>
          <w:tcPr>
            <w:tcW w:w="3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5900" w:type="dxa"/>
            <w:vAlign w:val="bottom"/>
          </w:tcPr>
          <w:p>
            <w:pPr>
              <w:spacing w:after="0"/>
              <w:rPr>
                <w:sz w:val="20"/>
                <w:szCs w:val="20"/>
                <w:color w:val="auto"/>
              </w:rPr>
            </w:pPr>
            <w:r>
              <w:rPr>
                <w:rFonts w:ascii="Courier New" w:cs="Courier New" w:eastAsia="Courier New" w:hAnsi="Courier New"/>
                <w:sz w:val="15"/>
                <w:szCs w:val="15"/>
                <w:color w:val="auto"/>
              </w:rPr>
              <w:t>Condensed Consolidated Statements of Cash Flows (Unaudited)</w:t>
            </w:r>
          </w:p>
        </w:tc>
        <w:tc>
          <w:tcPr>
            <w:tcW w:w="3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524"/>
        </w:trPr>
        <w:tc>
          <w:tcPr>
            <w:tcW w:w="5900" w:type="dxa"/>
            <w:vAlign w:val="bottom"/>
          </w:tcPr>
          <w:p>
            <w:pPr>
              <w:spacing w:after="0"/>
              <w:rPr>
                <w:sz w:val="24"/>
                <w:szCs w:val="2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rPr>
              <w:t>Thirty-nine Weeks Ended</w:t>
            </w:r>
          </w:p>
        </w:tc>
        <w:tc>
          <w:tcPr>
            <w:tcW w:w="820" w:type="dxa"/>
            <w:vAlign w:val="bottom"/>
          </w:tcPr>
          <w:p>
            <w:pPr>
              <w:spacing w:after="0"/>
              <w:rPr>
                <w:sz w:val="24"/>
                <w:szCs w:val="24"/>
                <w:color w:val="auto"/>
              </w:rPr>
            </w:pPr>
          </w:p>
        </w:tc>
      </w:tr>
      <w:tr>
        <w:trPr>
          <w:trHeight w:val="175"/>
        </w:trPr>
        <w:tc>
          <w:tcPr>
            <w:tcW w:w="5900" w:type="dxa"/>
            <w:vAlign w:val="bottom"/>
          </w:tcPr>
          <w:p>
            <w:pPr>
              <w:spacing w:after="0"/>
              <w:rPr>
                <w:sz w:val="15"/>
                <w:szCs w:val="15"/>
                <w:color w:val="auto"/>
              </w:rPr>
            </w:pPr>
          </w:p>
        </w:tc>
        <w:tc>
          <w:tcPr>
            <w:tcW w:w="4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900" w:type="dxa"/>
            <w:vAlign w:val="bottom"/>
          </w:tcPr>
          <w:p>
            <w:pPr>
              <w:spacing w:after="0"/>
              <w:rPr>
                <w:sz w:val="15"/>
                <w:szCs w:val="15"/>
                <w:color w:val="auto"/>
              </w:rPr>
            </w:pPr>
          </w:p>
        </w:tc>
        <w:tc>
          <w:tcPr>
            <w:tcW w:w="346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Sept 27,</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Sept 28,</w:t>
            </w:r>
          </w:p>
        </w:tc>
      </w:tr>
      <w:tr>
        <w:trPr>
          <w:trHeight w:val="175"/>
        </w:trPr>
        <w:tc>
          <w:tcPr>
            <w:tcW w:w="59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3460" w:type="dxa"/>
            <w:vAlign w:val="bottom"/>
          </w:tcPr>
          <w:p>
            <w:pPr>
              <w:jc w:val="right"/>
              <w:ind w:right="2024"/>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5900" w:type="dxa"/>
            <w:vAlign w:val="bottom"/>
          </w:tcPr>
          <w:p>
            <w:pPr>
              <w:spacing w:after="0"/>
              <w:rPr>
                <w:sz w:val="15"/>
                <w:szCs w:val="15"/>
                <w:color w:val="auto"/>
              </w:rPr>
            </w:pPr>
          </w:p>
        </w:tc>
        <w:tc>
          <w:tcPr>
            <w:tcW w:w="346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59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$353,504</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$190,602</w:t>
            </w:r>
          </w:p>
        </w:tc>
      </w:tr>
      <w:tr>
        <w:trPr>
          <w:trHeight w:val="175"/>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3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5900" w:type="dxa"/>
            <w:vAlign w:val="bottom"/>
          </w:tcPr>
          <w:p>
            <w:pPr>
              <w:ind w:left="360"/>
              <w:spacing w:after="0"/>
              <w:rPr>
                <w:sz w:val="20"/>
                <w:szCs w:val="20"/>
                <w:color w:val="auto"/>
              </w:rPr>
            </w:pPr>
            <w:r>
              <w:rPr>
                <w:rFonts w:ascii="Courier New" w:cs="Courier New" w:eastAsia="Courier New" w:hAnsi="Courier New"/>
                <w:sz w:val="15"/>
                <w:szCs w:val="15"/>
                <w:color w:val="auto"/>
              </w:rPr>
              <w:t>provided by operating activities:</w:t>
            </w:r>
          </w:p>
        </w:tc>
        <w:tc>
          <w:tcPr>
            <w:tcW w:w="3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5900" w:type="dxa"/>
            <w:vAlign w:val="bottom"/>
          </w:tcPr>
          <w:p>
            <w:pPr>
              <w:ind w:left="540"/>
              <w:spacing w:after="0"/>
              <w:rPr>
                <w:sz w:val="20"/>
                <w:szCs w:val="20"/>
                <w:color w:val="auto"/>
              </w:rPr>
            </w:pPr>
            <w:r>
              <w:rPr>
                <w:rFonts w:ascii="Courier New" w:cs="Courier New" w:eastAsia="Courier New" w:hAnsi="Courier New"/>
                <w:sz w:val="15"/>
                <w:szCs w:val="15"/>
                <w:color w:val="auto"/>
              </w:rPr>
              <w:t>Depreciation and amortization of property, plant</w:t>
            </w:r>
          </w:p>
        </w:tc>
        <w:tc>
          <w:tcPr>
            <w:tcW w:w="3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and equipment</w:t>
            </w: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63,169</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53,668</w:t>
            </w:r>
          </w:p>
        </w:tc>
      </w:tr>
      <w:tr>
        <w:trPr>
          <w:trHeight w:val="175"/>
        </w:trPr>
        <w:tc>
          <w:tcPr>
            <w:tcW w:w="5900" w:type="dxa"/>
            <w:vAlign w:val="bottom"/>
          </w:tcPr>
          <w:p>
            <w:pPr>
              <w:ind w:left="540"/>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35,724</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24,549</w:t>
            </w:r>
          </w:p>
        </w:tc>
      </w:tr>
      <w:tr>
        <w:trPr>
          <w:trHeight w:val="175"/>
        </w:trPr>
        <w:tc>
          <w:tcPr>
            <w:tcW w:w="5900" w:type="dxa"/>
            <w:vAlign w:val="bottom"/>
          </w:tcPr>
          <w:p>
            <w:pPr>
              <w:ind w:left="540"/>
              <w:spacing w:after="0"/>
              <w:rPr>
                <w:sz w:val="20"/>
                <w:szCs w:val="20"/>
                <w:color w:val="auto"/>
              </w:rPr>
            </w:pPr>
            <w:r>
              <w:rPr>
                <w:rFonts w:ascii="Courier New" w:cs="Courier New" w:eastAsia="Courier New" w:hAnsi="Courier New"/>
                <w:sz w:val="15"/>
                <w:szCs w:val="15"/>
                <w:color w:val="auto"/>
              </w:rPr>
              <w:t>Gain on disposition of businesses</w:t>
            </w:r>
          </w:p>
        </w:tc>
        <w:tc>
          <w:tcPr>
            <w:tcW w:w="346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(310,010)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(24,805)</w:t>
            </w:r>
          </w:p>
        </w:tc>
      </w:tr>
      <w:tr>
        <w:trPr>
          <w:trHeight w:val="175"/>
        </w:trPr>
        <w:tc>
          <w:tcPr>
            <w:tcW w:w="5900" w:type="dxa"/>
            <w:vAlign w:val="bottom"/>
          </w:tcPr>
          <w:p>
            <w:pPr>
              <w:ind w:left="540"/>
              <w:spacing w:after="0"/>
              <w:rPr>
                <w:sz w:val="20"/>
                <w:szCs w:val="20"/>
                <w:color w:val="auto"/>
              </w:rPr>
            </w:pPr>
            <w:r>
              <w:rPr>
                <w:rFonts w:ascii="Courier New" w:cs="Courier New" w:eastAsia="Courier New" w:hAnsi="Courier New"/>
                <w:sz w:val="15"/>
                <w:szCs w:val="15"/>
                <w:color w:val="auto"/>
              </w:rPr>
              <w:t>(Decrease) increase in income taxes payable</w:t>
            </w:r>
          </w:p>
        </w:tc>
        <w:tc>
          <w:tcPr>
            <w:tcW w:w="346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(11,500)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7,155</w:t>
            </w:r>
          </w:p>
        </w:tc>
      </w:tr>
      <w:tr>
        <w:trPr>
          <w:trHeight w:val="175"/>
        </w:trPr>
        <w:tc>
          <w:tcPr>
            <w:tcW w:w="5900" w:type="dxa"/>
            <w:vAlign w:val="bottom"/>
          </w:tcPr>
          <w:p>
            <w:pPr>
              <w:ind w:left="540"/>
              <w:spacing w:after="0"/>
              <w:rPr>
                <w:sz w:val="20"/>
                <w:szCs w:val="20"/>
                <w:color w:val="auto"/>
              </w:rPr>
            </w:pPr>
            <w:r>
              <w:rPr>
                <w:rFonts w:ascii="Courier New" w:cs="Courier New" w:eastAsia="Courier New" w:hAnsi="Courier New"/>
                <w:sz w:val="15"/>
                <w:szCs w:val="15"/>
                <w:color w:val="auto"/>
              </w:rPr>
              <w:t>Provision for deferred income taxes</w:t>
            </w: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8,431</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6,301</w:t>
            </w:r>
          </w:p>
        </w:tc>
      </w:tr>
      <w:tr>
        <w:trPr>
          <w:trHeight w:val="175"/>
        </w:trPr>
        <w:tc>
          <w:tcPr>
            <w:tcW w:w="5900" w:type="dxa"/>
            <w:vAlign w:val="bottom"/>
          </w:tcPr>
          <w:p>
            <w:pPr>
              <w:ind w:left="540"/>
              <w:spacing w:after="0"/>
              <w:rPr>
                <w:sz w:val="20"/>
                <w:szCs w:val="20"/>
                <w:color w:val="auto"/>
              </w:rPr>
            </w:pPr>
            <w:r>
              <w:rPr>
                <w:rFonts w:ascii="Courier New" w:cs="Courier New" w:eastAsia="Courier New" w:hAnsi="Courier New"/>
                <w:sz w:val="15"/>
                <w:szCs w:val="15"/>
                <w:color w:val="auto"/>
              </w:rPr>
              <w:t>Equity in losses (earnings) of affiliates, net</w:t>
            </w:r>
          </w:p>
        </w:tc>
        <w:tc>
          <w:tcPr>
            <w:tcW w:w="3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of distributions</w:t>
            </w: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3,805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(6,550)</w:t>
            </w:r>
          </w:p>
        </w:tc>
      </w:tr>
      <w:tr>
        <w:trPr>
          <w:trHeight w:val="175"/>
        </w:trPr>
        <w:tc>
          <w:tcPr>
            <w:tcW w:w="5900" w:type="dxa"/>
            <w:vAlign w:val="bottom"/>
          </w:tcPr>
          <w:p>
            <w:pPr>
              <w:ind w:left="540"/>
              <w:spacing w:after="0"/>
              <w:rPr>
                <w:sz w:val="20"/>
                <w:szCs w:val="20"/>
                <w:color w:val="auto"/>
              </w:rPr>
            </w:pPr>
            <w:r>
              <w:rPr>
                <w:rFonts w:ascii="Courier New" w:cs="Courier New" w:eastAsia="Courier New" w:hAnsi="Courier New"/>
                <w:sz w:val="15"/>
                <w:szCs w:val="15"/>
                <w:color w:val="auto"/>
              </w:rPr>
              <w:t>Change in assets and liabilities:</w:t>
            </w:r>
          </w:p>
        </w:tc>
        <w:tc>
          <w:tcPr>
            <w:tcW w:w="3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Increase in accounts receivable, net</w:t>
            </w:r>
          </w:p>
        </w:tc>
        <w:tc>
          <w:tcPr>
            <w:tcW w:w="346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(23,943)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(8,024)</w:t>
            </w:r>
          </w:p>
        </w:tc>
      </w:tr>
      <w:tr>
        <w:trPr>
          <w:trHeight w:val="175"/>
        </w:trPr>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Increase in inventories</w:t>
            </w:r>
          </w:p>
        </w:tc>
        <w:tc>
          <w:tcPr>
            <w:tcW w:w="346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(8,727)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(2,504)</w:t>
            </w:r>
          </w:p>
        </w:tc>
      </w:tr>
      <w:tr>
        <w:trPr>
          <w:trHeight w:val="175"/>
        </w:trPr>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Increase in accounts payable and</w:t>
            </w:r>
          </w:p>
        </w:tc>
        <w:tc>
          <w:tcPr>
            <w:tcW w:w="3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5900" w:type="dxa"/>
            <w:vAlign w:val="bottom"/>
          </w:tcPr>
          <w:p>
            <w:pPr>
              <w:ind w:left="900"/>
              <w:spacing w:after="0"/>
              <w:rPr>
                <w:sz w:val="20"/>
                <w:szCs w:val="20"/>
                <w:color w:val="auto"/>
              </w:rPr>
            </w:pPr>
            <w:r>
              <w:rPr>
                <w:rFonts w:ascii="Courier New" w:cs="Courier New" w:eastAsia="Courier New" w:hAnsi="Courier New"/>
                <w:sz w:val="15"/>
                <w:szCs w:val="15"/>
                <w:color w:val="auto"/>
              </w:rPr>
              <w:t>accrued liabilities</w:t>
            </w: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35,421</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35,216</w:t>
            </w:r>
          </w:p>
        </w:tc>
      </w:tr>
      <w:tr>
        <w:trPr>
          <w:trHeight w:val="175"/>
        </w:trPr>
        <w:tc>
          <w:tcPr>
            <w:tcW w:w="5900" w:type="dxa"/>
            <w:vAlign w:val="bottom"/>
          </w:tcPr>
          <w:p>
            <w:pPr>
              <w:ind w:left="720"/>
              <w:spacing w:after="0"/>
              <w:rPr>
                <w:sz w:val="20"/>
                <w:szCs w:val="20"/>
                <w:color w:val="auto"/>
              </w:rPr>
            </w:pPr>
            <w:r>
              <w:rPr>
                <w:rFonts w:ascii="Courier New" w:cs="Courier New" w:eastAsia="Courier New" w:hAnsi="Courier New"/>
                <w:sz w:val="15"/>
                <w:szCs w:val="15"/>
                <w:color w:val="auto"/>
              </w:rPr>
              <w:t>Increase in other assets and other</w:t>
            </w:r>
          </w:p>
        </w:tc>
        <w:tc>
          <w:tcPr>
            <w:tcW w:w="3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5900" w:type="dxa"/>
            <w:vAlign w:val="bottom"/>
          </w:tcPr>
          <w:p>
            <w:pPr>
              <w:ind w:left="900"/>
              <w:spacing w:after="0"/>
              <w:rPr>
                <w:sz w:val="20"/>
                <w:szCs w:val="20"/>
                <w:color w:val="auto"/>
              </w:rPr>
            </w:pPr>
            <w:r>
              <w:rPr>
                <w:rFonts w:ascii="Courier New" w:cs="Courier New" w:eastAsia="Courier New" w:hAnsi="Courier New"/>
                <w:sz w:val="15"/>
                <w:szCs w:val="15"/>
                <w:color w:val="auto"/>
              </w:rPr>
              <w:t>liabilities, net</w:t>
            </w:r>
          </w:p>
        </w:tc>
        <w:tc>
          <w:tcPr>
            <w:tcW w:w="346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(42,244)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(20,723)</w:t>
            </w:r>
          </w:p>
        </w:tc>
      </w:tr>
      <w:tr>
        <w:trPr>
          <w:trHeight w:val="175"/>
        </w:trPr>
        <w:tc>
          <w:tcPr>
            <w:tcW w:w="5900" w:type="dxa"/>
            <w:vAlign w:val="bottom"/>
          </w:tcPr>
          <w:p>
            <w:pPr>
              <w:ind w:left="540"/>
              <w:spacing w:after="0"/>
              <w:rPr>
                <w:sz w:val="20"/>
                <w:szCs w:val="20"/>
                <w:color w:val="auto"/>
              </w:rPr>
            </w:pPr>
            <w:r>
              <w:rPr>
                <w:rFonts w:ascii="Courier New" w:cs="Courier New" w:eastAsia="Courier New" w:hAnsi="Courier New"/>
                <w:sz w:val="15"/>
                <w:szCs w:val="15"/>
                <w:color w:val="auto"/>
              </w:rPr>
              <w:t>Other</w:t>
            </w: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8,510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(1,151)</w:t>
            </w:r>
          </w:p>
        </w:tc>
      </w:tr>
      <w:tr>
        <w:trPr>
          <w:trHeight w:val="175"/>
        </w:trPr>
        <w:tc>
          <w:tcPr>
            <w:tcW w:w="5900" w:type="dxa"/>
            <w:vAlign w:val="bottom"/>
          </w:tcPr>
          <w:p>
            <w:pPr>
              <w:spacing w:after="0"/>
              <w:rPr>
                <w:sz w:val="15"/>
                <w:szCs w:val="15"/>
                <w:color w:val="auto"/>
              </w:rPr>
            </w:pP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900" w:type="dxa"/>
            <w:vAlign w:val="bottom"/>
          </w:tcPr>
          <w:p>
            <w:pPr>
              <w:ind w:left="54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112,140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253,734</w:t>
            </w:r>
          </w:p>
        </w:tc>
      </w:tr>
      <w:tr>
        <w:trPr>
          <w:trHeight w:val="175"/>
        </w:trPr>
        <w:tc>
          <w:tcPr>
            <w:tcW w:w="5900" w:type="dxa"/>
            <w:vAlign w:val="bottom"/>
          </w:tcPr>
          <w:p>
            <w:pPr>
              <w:spacing w:after="0"/>
              <w:rPr>
                <w:sz w:val="15"/>
                <w:szCs w:val="15"/>
                <w:color w:val="auto"/>
              </w:rPr>
            </w:pP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9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Net proceeds from sale of businesses</w:t>
            </w: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376,677</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27,417</w:t>
            </w:r>
          </w:p>
        </w:tc>
      </w:tr>
      <w:tr>
        <w:trPr>
          <w:trHeight w:val="175"/>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Purchases of property, plant and equipment</w:t>
            </w:r>
          </w:p>
        </w:tc>
        <w:tc>
          <w:tcPr>
            <w:tcW w:w="346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(154,300)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(135,985)</w:t>
            </w:r>
          </w:p>
        </w:tc>
      </w:tr>
      <w:tr>
        <w:trPr>
          <w:trHeight w:val="175"/>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Investments in certain businesses</w:t>
            </w:r>
          </w:p>
        </w:tc>
        <w:tc>
          <w:tcPr>
            <w:tcW w:w="346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(307,940)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(83,616)</w:t>
            </w:r>
          </w:p>
        </w:tc>
      </w:tr>
      <w:tr>
        <w:trPr>
          <w:trHeight w:val="175"/>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Investments in marketable equity securities</w:t>
            </w:r>
          </w:p>
        </w:tc>
        <w:tc>
          <w:tcPr>
            <w:tcW w:w="346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(93,588)</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sale of marketable equity securities</w:t>
            </w: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13,414</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269</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9,591</w:t>
            </w:r>
          </w:p>
        </w:tc>
      </w:tr>
      <w:tr>
        <w:trPr>
          <w:trHeight w:val="175"/>
        </w:trPr>
        <w:tc>
          <w:tcPr>
            <w:tcW w:w="5900" w:type="dxa"/>
            <w:vAlign w:val="bottom"/>
          </w:tcPr>
          <w:p>
            <w:pPr>
              <w:spacing w:after="0"/>
              <w:rPr>
                <w:sz w:val="15"/>
                <w:szCs w:val="15"/>
                <w:color w:val="auto"/>
              </w:rPr>
            </w:pP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900" w:type="dxa"/>
            <w:vAlign w:val="bottom"/>
          </w:tcPr>
          <w:p>
            <w:pPr>
              <w:ind w:left="540"/>
              <w:spacing w:after="0"/>
              <w:rPr>
                <w:sz w:val="20"/>
                <w:szCs w:val="20"/>
                <w:color w:val="auto"/>
              </w:rPr>
            </w:pPr>
            <w:r>
              <w:rPr>
                <w:rFonts w:ascii="Courier New" w:cs="Courier New" w:eastAsia="Courier New" w:hAnsi="Courier New"/>
                <w:sz w:val="15"/>
                <w:szCs w:val="15"/>
                <w:color w:val="auto"/>
              </w:rPr>
              <w:t>Net cash used in investing activities</w:t>
            </w:r>
          </w:p>
        </w:tc>
        <w:tc>
          <w:tcPr>
            <w:tcW w:w="346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(165,468)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(182,593)</w:t>
            </w:r>
          </w:p>
        </w:tc>
      </w:tr>
      <w:tr>
        <w:trPr>
          <w:trHeight w:val="175"/>
        </w:trPr>
        <w:tc>
          <w:tcPr>
            <w:tcW w:w="5900" w:type="dxa"/>
            <w:vAlign w:val="bottom"/>
          </w:tcPr>
          <w:p>
            <w:pPr>
              <w:spacing w:after="0"/>
              <w:rPr>
                <w:sz w:val="15"/>
                <w:szCs w:val="15"/>
                <w:color w:val="auto"/>
              </w:rPr>
            </w:pP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9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Principal payments on debt</w:t>
            </w:r>
          </w:p>
        </w:tc>
        <w:tc>
          <w:tcPr>
            <w:tcW w:w="346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(296,394)</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Short term borrowings</w:t>
            </w: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380,505</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Issuance of note receivable</w:t>
            </w: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(12,417)</w:t>
            </w:r>
          </w:p>
        </w:tc>
      </w:tr>
      <w:tr>
        <w:trPr>
          <w:trHeight w:val="175"/>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Dividends paid</w:t>
            </w:r>
          </w:p>
        </w:tc>
        <w:tc>
          <w:tcPr>
            <w:tcW w:w="346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(38,550)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(39,529)</w:t>
            </w:r>
          </w:p>
        </w:tc>
      </w:tr>
      <w:tr>
        <w:trPr>
          <w:trHeight w:val="175"/>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Common shares repurchased</w:t>
            </w:r>
          </w:p>
        </w:tc>
        <w:tc>
          <w:tcPr>
            <w:tcW w:w="346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(14,890)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(87,271)</w:t>
            </w:r>
          </w:p>
        </w:tc>
      </w:tr>
      <w:tr>
        <w:trPr>
          <w:trHeight w:val="175"/>
        </w:trPr>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6,057</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900" w:type="dxa"/>
            <w:vAlign w:val="bottom"/>
          </w:tcPr>
          <w:p>
            <w:pPr>
              <w:spacing w:after="0"/>
              <w:rPr>
                <w:sz w:val="15"/>
                <w:szCs w:val="15"/>
                <w:color w:val="auto"/>
              </w:rPr>
            </w:pP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900" w:type="dxa"/>
            <w:vAlign w:val="bottom"/>
          </w:tcPr>
          <w:p>
            <w:pPr>
              <w:ind w:left="620"/>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36,728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(139,217)</w:t>
            </w:r>
          </w:p>
        </w:tc>
      </w:tr>
      <w:tr>
        <w:trPr>
          <w:trHeight w:val="175"/>
        </w:trPr>
        <w:tc>
          <w:tcPr>
            <w:tcW w:w="5900" w:type="dxa"/>
            <w:vAlign w:val="bottom"/>
          </w:tcPr>
          <w:p>
            <w:pPr>
              <w:spacing w:after="0"/>
              <w:rPr>
                <w:sz w:val="15"/>
                <w:szCs w:val="15"/>
                <w:color w:val="auto"/>
              </w:rPr>
            </w:pP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900" w:type="dxa"/>
            <w:vAlign w:val="bottom"/>
          </w:tcPr>
          <w:p>
            <w:pPr>
              <w:spacing w:after="0"/>
              <w:rPr>
                <w:sz w:val="20"/>
                <w:szCs w:val="20"/>
                <w:color w:val="auto"/>
              </w:rPr>
            </w:pPr>
            <w:r>
              <w:rPr>
                <w:rFonts w:ascii="Courier New" w:cs="Courier New" w:eastAsia="Courier New" w:hAnsi="Courier New"/>
                <w:sz w:val="15"/>
                <w:szCs w:val="15"/>
                <w:color w:val="auto"/>
              </w:rPr>
              <w:t>Net decrease in cash and cash equivalents</w:t>
            </w:r>
          </w:p>
        </w:tc>
        <w:tc>
          <w:tcPr>
            <w:tcW w:w="346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(16,600)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(68,076)</w:t>
            </w:r>
          </w:p>
        </w:tc>
      </w:tr>
      <w:tr>
        <w:trPr>
          <w:trHeight w:val="350"/>
        </w:trPr>
        <w:tc>
          <w:tcPr>
            <w:tcW w:w="5900" w:type="dxa"/>
            <w:vAlign w:val="bottom"/>
          </w:tcPr>
          <w:p>
            <w:pPr>
              <w:spacing w:after="0"/>
              <w:rPr>
                <w:sz w:val="20"/>
                <w:szCs w:val="20"/>
                <w:color w:val="auto"/>
              </w:rPr>
            </w:pPr>
            <w:r>
              <w:rPr>
                <w:rFonts w:ascii="Courier New" w:cs="Courier New" w:eastAsia="Courier New" w:hAnsi="Courier New"/>
                <w:sz w:val="15"/>
                <w:szCs w:val="15"/>
                <w:color w:val="auto"/>
              </w:rPr>
              <w:t>Beginning cash and cash equivalents</w:t>
            </w: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21,117</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102,278</w:t>
            </w:r>
          </w:p>
        </w:tc>
      </w:tr>
      <w:tr>
        <w:trPr>
          <w:trHeight w:val="175"/>
        </w:trPr>
        <w:tc>
          <w:tcPr>
            <w:tcW w:w="5900" w:type="dxa"/>
            <w:vAlign w:val="bottom"/>
          </w:tcPr>
          <w:p>
            <w:pPr>
              <w:spacing w:after="0"/>
              <w:rPr>
                <w:sz w:val="15"/>
                <w:szCs w:val="15"/>
                <w:color w:val="auto"/>
              </w:rPr>
            </w:pP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900" w:type="dxa"/>
            <w:vAlign w:val="bottom"/>
          </w:tcPr>
          <w:p>
            <w:pPr>
              <w:spacing w:after="0"/>
              <w:rPr>
                <w:sz w:val="20"/>
                <w:szCs w:val="20"/>
                <w:color w:val="auto"/>
              </w:rPr>
            </w:pPr>
            <w:r>
              <w:rPr>
                <w:rFonts w:ascii="Courier New" w:cs="Courier New" w:eastAsia="Courier New" w:hAnsi="Courier New"/>
                <w:sz w:val="15"/>
                <w:szCs w:val="15"/>
                <w:color w:val="auto"/>
              </w:rPr>
              <w:t>Ending cash and cash equivalents</w:t>
            </w: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  4,517</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$ 34,202</w:t>
            </w:r>
          </w:p>
        </w:tc>
      </w:tr>
      <w:tr>
        <w:trPr>
          <w:trHeight w:val="175"/>
        </w:trPr>
        <w:tc>
          <w:tcPr>
            <w:tcW w:w="5900" w:type="dxa"/>
            <w:vAlign w:val="bottom"/>
          </w:tcPr>
          <w:p>
            <w:pPr>
              <w:spacing w:after="0"/>
              <w:rPr>
                <w:sz w:val="15"/>
                <w:szCs w:val="15"/>
                <w:color w:val="auto"/>
              </w:rPr>
            </w:pPr>
          </w:p>
        </w:tc>
        <w:tc>
          <w:tcPr>
            <w:tcW w:w="346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29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6.</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35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7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1:</w:t>
        <w:tab/>
        <w:t>Acquisitions, Exchanges and Dispositions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80" w:lineRule="exact"/>
        <w:rPr>
          <w:sz w:val="20"/>
          <w:szCs w:val="20"/>
          <w:color w:val="auto"/>
        </w:rPr>
      </w:pPr>
    </w:p>
    <w:p>
      <w:pPr>
        <w:ind w:right="3139" w:firstLine="545"/>
        <w:spacing w:after="0" w:line="246" w:lineRule="auto"/>
        <w:rPr>
          <w:sz w:val="20"/>
          <w:szCs w:val="20"/>
          <w:color w:val="auto"/>
        </w:rPr>
      </w:pPr>
      <w:r>
        <w:rPr>
          <w:rFonts w:ascii="Courier New" w:cs="Courier New" w:eastAsia="Courier New" w:hAnsi="Courier New"/>
          <w:sz w:val="15"/>
          <w:szCs w:val="15"/>
          <w:color w:val="auto"/>
        </w:rPr>
        <w:t>In January and June of 1998, the company acquired cable systems in Grenada, Mississippi and Anniston, Alabama serving approximately 7,400 and 36,000 subscribers, respectively. The aggregate purchase price for these cable system acquisitions totaled $78.0 million. In July 1998, the company acquired cable systems in Mississippi, Texas and Oklahoma serving approximately 72,000 subscribers for $129.5 million.</w:t>
      </w:r>
    </w:p>
    <w:p>
      <w:pPr>
        <w:spacing w:after="0" w:line="178"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In January 1998, the company acquired an educational services company that provides English language study programs. In June 1998, the company acquired a provider of customized information technology training, consulting and support services to law firms, financial institutions and other large corporations. The aggregate purchase price for these two educational services companies was $34.8 million. In July 1998, the company acquired Dearborn Publishing Group, Inc., a publisher and provider of licensing training for securities, insurance and real estate professionals, for $35.0 million.</w:t>
      </w:r>
    </w:p>
    <w:p>
      <w:pPr>
        <w:spacing w:after="0" w:line="180" w:lineRule="exact"/>
        <w:rPr>
          <w:sz w:val="20"/>
          <w:szCs w:val="20"/>
          <w:color w:val="auto"/>
        </w:rPr>
      </w:pPr>
    </w:p>
    <w:p>
      <w:pPr>
        <w:ind w:right="3139" w:firstLine="545"/>
        <w:spacing w:after="0" w:line="247" w:lineRule="auto"/>
        <w:rPr>
          <w:sz w:val="20"/>
          <w:szCs w:val="20"/>
          <w:color w:val="auto"/>
        </w:rPr>
      </w:pPr>
      <w:r>
        <w:rPr>
          <w:rFonts w:ascii="Courier New" w:cs="Courier New" w:eastAsia="Courier New" w:hAnsi="Courier New"/>
          <w:sz w:val="15"/>
          <w:szCs w:val="15"/>
          <w:color w:val="auto"/>
        </w:rPr>
        <w:t>The company also spent approximately $25.7 million during the first nine months of 1998 for other small businesses.</w:t>
      </w:r>
    </w:p>
    <w:p>
      <w:pPr>
        <w:spacing w:after="0" w:line="175" w:lineRule="exact"/>
        <w:rPr>
          <w:sz w:val="20"/>
          <w:szCs w:val="20"/>
          <w:color w:val="auto"/>
        </w:rPr>
      </w:pPr>
    </w:p>
    <w:p>
      <w:pPr>
        <w:ind w:right="3219" w:firstLine="545"/>
        <w:spacing w:after="0" w:line="247" w:lineRule="auto"/>
        <w:rPr>
          <w:sz w:val="20"/>
          <w:szCs w:val="20"/>
          <w:color w:val="auto"/>
        </w:rPr>
      </w:pPr>
      <w:r>
        <w:rPr>
          <w:rFonts w:ascii="Courier New" w:cs="Courier New" w:eastAsia="Courier New" w:hAnsi="Courier New"/>
          <w:sz w:val="15"/>
          <w:szCs w:val="15"/>
          <w:color w:val="auto"/>
        </w:rPr>
        <w:t>In February 1997, the company purchased a cable system in Cleveland, Mississippi serving about 16,000 subscribers for approximately $23.0 million.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Exchanges</w:t>
      </w:r>
    </w:p>
    <w:p>
      <w:pPr>
        <w:spacing w:after="0" w:line="180" w:lineRule="exact"/>
        <w:rPr>
          <w:sz w:val="20"/>
          <w:szCs w:val="20"/>
          <w:color w:val="auto"/>
        </w:rPr>
      </w:pPr>
    </w:p>
    <w:p>
      <w:pPr>
        <w:ind w:right="3219" w:firstLine="545"/>
        <w:spacing w:after="0" w:line="247" w:lineRule="auto"/>
        <w:rPr>
          <w:sz w:val="20"/>
          <w:szCs w:val="20"/>
          <w:color w:val="auto"/>
        </w:rPr>
      </w:pPr>
      <w:r>
        <w:rPr>
          <w:rFonts w:ascii="Courier New" w:cs="Courier New" w:eastAsia="Courier New" w:hAnsi="Courier New"/>
          <w:sz w:val="15"/>
          <w:szCs w:val="15"/>
          <w:color w:val="auto"/>
        </w:rPr>
        <w:t>In June 1997, the company exchanged the assets of certain cable systems with Tele-Communications, Inc. This trade resulted in an increase of about 21,000 subscribers for the company.</w:t>
      </w:r>
    </w:p>
    <w:p>
      <w:pPr>
        <w:spacing w:after="0" w:line="174" w:lineRule="exact"/>
        <w:rPr>
          <w:sz w:val="20"/>
          <w:szCs w:val="20"/>
          <w:color w:val="auto"/>
        </w:rPr>
      </w:pPr>
    </w:p>
    <w:p>
      <w:pPr>
        <w:ind w:right="3499" w:firstLine="545"/>
        <w:spacing w:after="0" w:line="246" w:lineRule="auto"/>
        <w:rPr>
          <w:sz w:val="20"/>
          <w:szCs w:val="20"/>
          <w:color w:val="auto"/>
        </w:rPr>
      </w:pPr>
      <w:r>
        <w:rPr>
          <w:rFonts w:ascii="Courier New" w:cs="Courier New" w:eastAsia="Courier New" w:hAnsi="Courier New"/>
          <w:sz w:val="15"/>
          <w:szCs w:val="15"/>
          <w:color w:val="auto"/>
        </w:rPr>
        <w:t>In September 1997, the company completed a transaction with Meredith Corporation whereby the company exchanged the assets of WFSB-TV, the CBS affiliate in Hartford, Connecticut and approximately $60.0 million for the assets of WCPX-TV, the CBS affiliate in Orlando, Florida.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Dispositions</w:t>
      </w:r>
    </w:p>
    <w:p>
      <w:pPr>
        <w:spacing w:after="0" w:line="180"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On March 20, 1998, Cowles Media Company ("Cowles") and McClatchy Newspapers, Inc. ("McClatchy") completed a series of transactions resulting in the merger of Cowles and McClatchy. In the merger, each share of Cowles common stock was converted (based upon elections of Cowles stockholders) into shares of McClatchy stock or a combination of cash and McClatchy stock. As of the date of the Cowles and McClatchy merger transaction, a wholly-owned subsidiary of the company owned 3,893,796 (equal to about 28%) of the outstanding common stock of Cowles, most of which was acquired in 1985. As a result of this transaction, the company's subsidiary received $330.5 million in cash from McClatchy and 730,525 shares of McClatchy Class A common stock. The market value of the McClatchy stock received approximated $21.6 million. The gain resulting from this transaction, which is included in 1998 "Other, net" in the</w:t>
      </w:r>
    </w:p>
    <w:p>
      <w:pPr>
        <w:sectPr>
          <w:pgSz w:w="11900" w:h="16838" w:orient="portrait"/>
          <w:cols w:equalWidth="0" w:num="1">
            <w:col w:w="10219"/>
          </w:cols>
          <w:pgMar w:left="240" w:top="29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jc w:val="right"/>
        <w:ind w:right="200"/>
        <w:spacing w:after="0"/>
        <w:rPr>
          <w:sz w:val="20"/>
          <w:szCs w:val="20"/>
          <w:color w:val="auto"/>
        </w:rPr>
      </w:pPr>
      <w:r>
        <w:rPr>
          <w:rFonts w:ascii="Courier New" w:cs="Courier New" w:eastAsia="Courier New" w:hAnsi="Courier New"/>
          <w:sz w:val="15"/>
          <w:szCs w:val="15"/>
          <w:color w:val="auto"/>
        </w:rPr>
        <w:t>7.</w:t>
      </w:r>
    </w:p>
    <w:p>
      <w:pPr>
        <w:spacing w:after="0" w:line="354" w:lineRule="exact"/>
        <w:rPr>
          <w:sz w:val="20"/>
          <w:szCs w:val="20"/>
          <w:color w:val="auto"/>
        </w:rPr>
      </w:pPr>
    </w:p>
    <w:p>
      <w:pPr>
        <w:ind w:right="280"/>
        <w:spacing w:after="0" w:line="247" w:lineRule="auto"/>
        <w:rPr>
          <w:sz w:val="20"/>
          <w:szCs w:val="20"/>
          <w:color w:val="auto"/>
        </w:rPr>
      </w:pPr>
      <w:r>
        <w:rPr>
          <w:rFonts w:ascii="Courier New" w:cs="Courier New" w:eastAsia="Courier New" w:hAnsi="Courier New"/>
          <w:sz w:val="15"/>
          <w:szCs w:val="15"/>
          <w:color w:val="auto"/>
        </w:rPr>
        <w:t>Condensed Consolidated Statements of Income, increased net income by approximately $162.8 million and basic and diluted earnings per share by $16.14 and $16.07, respectively.</w:t>
      </w:r>
    </w:p>
    <w:p>
      <w:pPr>
        <w:spacing w:after="0" w:line="174" w:lineRule="exact"/>
        <w:rPr>
          <w:sz w:val="20"/>
          <w:szCs w:val="20"/>
          <w:color w:val="auto"/>
        </w:rPr>
      </w:pPr>
    </w:p>
    <w:p>
      <w:pPr>
        <w:ind w:right="200" w:firstLine="545"/>
        <w:spacing w:after="0" w:line="246" w:lineRule="auto"/>
        <w:rPr>
          <w:sz w:val="20"/>
          <w:szCs w:val="20"/>
          <w:color w:val="auto"/>
        </w:rPr>
      </w:pPr>
      <w:r>
        <w:rPr>
          <w:rFonts w:ascii="Courier New" w:cs="Courier New" w:eastAsia="Courier New" w:hAnsi="Courier New"/>
          <w:sz w:val="15"/>
          <w:szCs w:val="15"/>
          <w:color w:val="auto"/>
        </w:rPr>
        <w:t>On July 29, 1998, the company completed the sale of 14 small cable systems in Texas, Missouri and Kansas serving approximately 29,000 subscribers for approximately $41.9 million. The gain resulting from this transaction, which is included in 1998 "Other, net" in the Condensed Consolidated Statements of Income, increased net income by approximately $17.3 million and basic and diluted earnings per share by $1.71.</w:t>
      </w:r>
    </w:p>
    <w:p>
      <w:pPr>
        <w:spacing w:after="0" w:line="178" w:lineRule="exact"/>
        <w:rPr>
          <w:sz w:val="20"/>
          <w:szCs w:val="20"/>
          <w:color w:val="auto"/>
        </w:rPr>
      </w:pPr>
    </w:p>
    <w:p>
      <w:pPr>
        <w:ind w:right="280" w:firstLine="545"/>
        <w:spacing w:after="0" w:line="246" w:lineRule="auto"/>
        <w:rPr>
          <w:sz w:val="20"/>
          <w:szCs w:val="20"/>
          <w:color w:val="auto"/>
        </w:rPr>
      </w:pPr>
      <w:r>
        <w:rPr>
          <w:rFonts w:ascii="Courier New" w:cs="Courier New" w:eastAsia="Courier New" w:hAnsi="Courier New"/>
          <w:sz w:val="15"/>
          <w:szCs w:val="15"/>
          <w:color w:val="auto"/>
        </w:rPr>
        <w:t>On August 12, 1998, Junglee Corporation ("Junglee") merged with a wholly owned subsidiary of Amazon.com Inc. ("Amazon.com"). As a result, each share of Junglee common and preferred stock was converted into shares of Amazon.com. On the date of the merger, a wholly-owned subsidiary of the company owned 750,000 common shares and 750,000 preferred shares of Junglee. As a result of the merger, the company's subsidiary received 202,961 shares of Amazon.com common stock. The market value of the Amazon.com stock received approximated $25.2 million on the date of the merger. The gain resulting from this transaction, which is included in 1998 "Other, net" in the Condensed Consolidated Statements of Income, increased net income by approximately $14.3 million and basic and diluted earnings per share by $1.42 and $1.41, respectively.</w:t>
      </w:r>
    </w:p>
    <w:p>
      <w:pPr>
        <w:spacing w:after="0" w:line="181" w:lineRule="exact"/>
        <w:rPr>
          <w:sz w:val="20"/>
          <w:szCs w:val="20"/>
          <w:color w:val="auto"/>
        </w:rPr>
      </w:pPr>
    </w:p>
    <w:p>
      <w:pPr>
        <w:ind w:right="280" w:firstLine="545"/>
        <w:spacing w:after="0" w:line="247" w:lineRule="auto"/>
        <w:rPr>
          <w:sz w:val="20"/>
          <w:szCs w:val="20"/>
          <w:color w:val="auto"/>
        </w:rPr>
      </w:pPr>
      <w:r>
        <w:rPr>
          <w:rFonts w:ascii="Courier New" w:cs="Courier New" w:eastAsia="Courier New" w:hAnsi="Courier New"/>
          <w:sz w:val="15"/>
          <w:szCs w:val="15"/>
          <w:color w:val="auto"/>
        </w:rPr>
        <w:t>On July 17, 1998, the company completed the sale of its 80 percent interest in Moffet, Larson and Johnson ("MLJ"), a telecommunications consulting firm; no significant gain or loss was realized as a result of this transaction.</w:t>
      </w:r>
    </w:p>
    <w:p>
      <w:pPr>
        <w:spacing w:after="0" w:line="174" w:lineRule="exact"/>
        <w:rPr>
          <w:sz w:val="20"/>
          <w:szCs w:val="20"/>
          <w:color w:val="auto"/>
        </w:rPr>
      </w:pPr>
    </w:p>
    <w:p>
      <w:pPr>
        <w:ind w:right="200" w:firstLine="545"/>
        <w:spacing w:after="0" w:line="246" w:lineRule="auto"/>
        <w:rPr>
          <w:sz w:val="20"/>
          <w:szCs w:val="20"/>
          <w:color w:val="auto"/>
        </w:rPr>
      </w:pPr>
      <w:r>
        <w:rPr>
          <w:rFonts w:ascii="Courier New" w:cs="Courier New" w:eastAsia="Courier New" w:hAnsi="Courier New"/>
          <w:sz w:val="15"/>
          <w:szCs w:val="15"/>
          <w:color w:val="auto"/>
        </w:rPr>
        <w:t>In the third quarter of 1997, the company sold the assets of its PASS Sports subsidiary and terminated its regional sports network. The gain from this transaction, which is included in 1997 "Other, net" in the Condensed Consolidated Statements of Income, increased net income by approximately $16.0 million and basic and diluted earnings per share by $1.49.</w:t>
      </w:r>
    </w:p>
    <w:p>
      <w:pPr>
        <w:spacing w:after="0" w:line="17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2:</w:t>
        <w:tab/>
        <w:t>Investments in Marketable Equity Securities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Investments in marketable equity securities are as follows ($ in thousands):</w:t>
      </w:r>
    </w:p>
    <w:p>
      <w:pPr>
        <w:spacing w:after="0" w:line="200" w:lineRule="exact"/>
        <w:rPr>
          <w:sz w:val="20"/>
          <w:szCs w:val="20"/>
          <w:color w:val="auto"/>
        </w:rPr>
      </w:pPr>
    </w:p>
    <w:p>
      <w:pPr>
        <w:spacing w:after="0" w:line="329"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27,</w:t>
            </w:r>
          </w:p>
        </w:tc>
      </w:tr>
      <w:tr>
        <w:trPr>
          <w:trHeight w:val="175"/>
        </w:trPr>
        <w:tc>
          <w:tcPr>
            <w:tcW w:w="36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3680" w:type="dxa"/>
            <w:vAlign w:val="bottom"/>
          </w:tcPr>
          <w:p>
            <w:pPr>
              <w:spacing w:after="0"/>
              <w:rPr>
                <w:sz w:val="15"/>
                <w:szCs w:val="15"/>
                <w:color w:val="auto"/>
              </w:rPr>
            </w:pP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3680" w:type="dxa"/>
            <w:vAlign w:val="bottom"/>
          </w:tcPr>
          <w:p>
            <w:pPr>
              <w:spacing w:after="0"/>
              <w:rPr>
                <w:sz w:val="20"/>
                <w:szCs w:val="20"/>
                <w:color w:val="auto"/>
              </w:rPr>
            </w:pPr>
            <w:r>
              <w:rPr>
                <w:rFonts w:ascii="Courier New" w:cs="Courier New" w:eastAsia="Courier New" w:hAnsi="Courier New"/>
                <w:sz w:val="15"/>
                <w:szCs w:val="15"/>
                <w:color w:val="auto"/>
              </w:rPr>
              <w:t>Total cost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131,510</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Gross unrealized gains</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1,661</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Gross unrealized losses</w:t>
            </w:r>
          </w:p>
        </w:tc>
        <w:tc>
          <w:tcPr>
            <w:tcW w:w="18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(11,748)</w:t>
            </w:r>
          </w:p>
        </w:tc>
      </w:tr>
      <w:tr>
        <w:trPr>
          <w:trHeight w:val="175"/>
        </w:trPr>
        <w:tc>
          <w:tcPr>
            <w:tcW w:w="36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Total fair value</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121,423</w:t>
            </w:r>
          </w:p>
        </w:tc>
      </w:tr>
      <w:tr>
        <w:trPr>
          <w:trHeight w:val="175"/>
        </w:trPr>
        <w:tc>
          <w:tcPr>
            <w:tcW w:w="36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r>
    </w:tbl>
    <w:p>
      <w:pPr>
        <w:spacing w:after="0" w:line="354" w:lineRule="exact"/>
        <w:rPr>
          <w:sz w:val="20"/>
          <w:szCs w:val="20"/>
          <w:color w:val="auto"/>
        </w:rPr>
      </w:pPr>
    </w:p>
    <w:p>
      <w:pPr>
        <w:ind w:right="280" w:firstLine="545"/>
        <w:spacing w:after="0" w:line="246" w:lineRule="auto"/>
        <w:rPr>
          <w:sz w:val="20"/>
          <w:szCs w:val="20"/>
          <w:color w:val="auto"/>
        </w:rPr>
      </w:pPr>
      <w:r>
        <w:rPr>
          <w:rFonts w:ascii="Courier New" w:cs="Courier New" w:eastAsia="Courier New" w:hAnsi="Courier New"/>
          <w:sz w:val="15"/>
          <w:szCs w:val="15"/>
          <w:color w:val="auto"/>
        </w:rPr>
        <w:t>The company's investments in marketable equity securities are held for an indefinite period of time and therefore are classified as available-for-sale. Available-for-sale securities are recorded at fair value in the consolidated balance sheet, with the change in fair value during the period excluded from earnings and recorded net of tax as a separate component of equity.</w:t>
      </w:r>
    </w:p>
    <w:p>
      <w:pPr>
        <w:spacing w:after="0" w:line="178" w:lineRule="exact"/>
        <w:rPr>
          <w:sz w:val="20"/>
          <w:szCs w:val="20"/>
          <w:color w:val="auto"/>
        </w:rPr>
      </w:pPr>
    </w:p>
    <w:p>
      <w:pPr>
        <w:ind w:right="200" w:firstLine="545"/>
        <w:spacing w:after="0" w:line="246" w:lineRule="auto"/>
        <w:rPr>
          <w:sz w:val="20"/>
          <w:szCs w:val="20"/>
          <w:color w:val="auto"/>
        </w:rPr>
      </w:pPr>
      <w:r>
        <w:rPr>
          <w:rFonts w:ascii="Courier New" w:cs="Courier New" w:eastAsia="Courier New" w:hAnsi="Courier New"/>
          <w:sz w:val="15"/>
          <w:szCs w:val="15"/>
          <w:color w:val="auto"/>
        </w:rPr>
        <w:t>The company's investments in marketable equity securities at September 27, 1998 includes 411,200 shares of General Re Corporation ("General Re") common stock which was acquired by the company throughout the third quarter of 1998 from the open market for a total cost of $93.6 million. The unrealized loss on the General Re common stock, net of tax, totaled $5.2 million at September 27, 1998.</w:t>
      </w:r>
    </w:p>
    <w:p>
      <w:pPr>
        <w:spacing w:after="0" w:line="178" w:lineRule="exact"/>
        <w:rPr>
          <w:sz w:val="20"/>
          <w:szCs w:val="20"/>
          <w:color w:val="auto"/>
        </w:rPr>
      </w:pPr>
    </w:p>
    <w:p>
      <w:pPr>
        <w:ind w:right="200" w:firstLine="545"/>
        <w:spacing w:after="0" w:line="246" w:lineRule="auto"/>
        <w:rPr>
          <w:sz w:val="20"/>
          <w:szCs w:val="20"/>
          <w:color w:val="auto"/>
        </w:rPr>
      </w:pPr>
      <w:r>
        <w:rPr>
          <w:rFonts w:ascii="Courier New" w:cs="Courier New" w:eastAsia="Courier New" w:hAnsi="Courier New"/>
          <w:sz w:val="15"/>
          <w:szCs w:val="15"/>
          <w:color w:val="auto"/>
        </w:rPr>
        <w:t>Subsequent to September 27, 1998 and through November 2, 1998, the company purchased 147,900 additional shares of General Re common stock, bringing the total General Re shares purchased in 1998 to 559,100 shares for a total cost of $123.7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66" w:lineRule="exact"/>
        <w:rPr>
          <w:sz w:val="20"/>
          <w:szCs w:val="20"/>
          <w:color w:val="auto"/>
        </w:rPr>
      </w:pPr>
    </w:p>
    <w:p>
      <w:pPr>
        <w:jc w:val="right"/>
        <w:ind w:right="1319"/>
        <w:spacing w:after="0"/>
        <w:rPr>
          <w:sz w:val="20"/>
          <w:szCs w:val="20"/>
          <w:color w:val="auto"/>
        </w:rPr>
      </w:pPr>
      <w:r>
        <w:rPr>
          <w:rFonts w:ascii="Courier New" w:cs="Courier New" w:eastAsia="Courier New" w:hAnsi="Courier New"/>
          <w:sz w:val="15"/>
          <w:szCs w:val="15"/>
          <w:color w:val="auto"/>
        </w:rPr>
        <w:t>$3,315</w:t>
      </w:r>
    </w:p>
    <w:p>
      <w:pPr>
        <w:spacing w:after="0" w:line="5" w:lineRule="exact"/>
        <w:rPr>
          <w:sz w:val="20"/>
          <w:szCs w:val="20"/>
          <w:color w:val="auto"/>
        </w:rPr>
      </w:pPr>
    </w:p>
    <w:p>
      <w:pPr>
        <w:jc w:val="right"/>
        <w:ind w:right="1319"/>
        <w:spacing w:after="0"/>
        <w:rPr>
          <w:sz w:val="20"/>
          <w:szCs w:val="20"/>
          <w:color w:val="auto"/>
        </w:rPr>
      </w:pPr>
      <w:r>
        <w:rPr>
          <w:rFonts w:ascii="Courier New" w:cs="Courier New" w:eastAsia="Courier New" w:hAnsi="Courier New"/>
          <w:sz w:val="15"/>
          <w:szCs w:val="15"/>
          <w:color w:val="auto"/>
        </w:rPr>
        <w:t>51</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1319"/>
        <w:spacing w:after="0"/>
        <w:rPr>
          <w:sz w:val="20"/>
          <w:szCs w:val="20"/>
          <w:color w:val="auto"/>
        </w:rPr>
      </w:pPr>
      <w:r>
        <w:rPr>
          <w:rFonts w:ascii="Courier New" w:cs="Courier New" w:eastAsia="Courier New" w:hAnsi="Courier New"/>
          <w:sz w:val="15"/>
          <w:szCs w:val="15"/>
          <w:color w:val="auto"/>
        </w:rPr>
        <w:t>$3,366</w:t>
      </w:r>
    </w:p>
    <w:p>
      <w:pPr>
        <w:spacing w:after="0" w:line="5" w:lineRule="exact"/>
        <w:rPr>
          <w:sz w:val="20"/>
          <w:szCs w:val="20"/>
          <w:color w:val="auto"/>
        </w:rPr>
      </w:pPr>
    </w:p>
    <w:p>
      <w:pPr>
        <w:jc w:val="right"/>
        <w:ind w:right="131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460" w:space="720"/>
            <w:col w:w="2039"/>
          </w:cols>
          <w:pgMar w:left="240" w:top="29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8.</w:t>
      </w:r>
    </w:p>
    <w:p>
      <w:pPr>
        <w:spacing w:after="0" w:line="354"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million; more purchases may be made in the future. As of November 2, 1998, the unrealized loss on the General Re common stock, net of tax, totaled $0.4 million.</w:t>
      </w:r>
    </w:p>
    <w:p>
      <w:pPr>
        <w:spacing w:after="0" w:line="174"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General Re is a holding company for global reinsurance and related risk management operations. On June 19, 1998, Berkshire Hathaway Inc. ("Berkshire") announced that it had signed a merger agreement with General Re. Under the terms of the agreement, which has been approved by the shareholders of both Berkshire and General Re but is still subject to certain regulatory approvals, General Re shareholders will receive at their election either 0.0035 shares of Berkshire Class A Common Stock or 0.105 shares of Berkshire Class B Common Stock for each share of General Re common stock owned at the time the transaction is consummated.</w:t>
      </w:r>
    </w:p>
    <w:p>
      <w:pPr>
        <w:spacing w:after="0" w:line="180"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Berkshire owns approximately 17% of the common stock of the company. The chairman, chief executive officer and largest shareholder of Berkshire, Mr. Warren Buffet, is a member of the company's Board of Directors. Neither Berkshire nor Mr. Buffet participated in the company's evaluation, approval or execution of its decision to invest in General Re common stock. The company's holdings in General Re common stock are less than 2% of the consolidated equity of General Re and on a converted basis, less than 1% of the consolidated equity of Berkshire.</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3:</w:t>
        <w:tab/>
        <w:t>Borrowings</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During the third quarter and first nine months of 1998, the company had average short-term borrowings outstanding of approximately $260.0 million and $182.0 million, respectively, at an average interest rate of approximately 5.6 percent. During the first nine months of 1998, the company incurred interest costs on short-term borrowings of $7.6 million of which $4.3 million was capitalized. Interest costs for construction and upgrade of qualifying assets are capitalized. At September 27, 1998, $380.5 million in borrowings were outstanding under the company's commercial paper program which is supported by a five-year $500.0 million revolving credit facility.</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4:</w:t>
        <w:tab/>
        <w:t>Stock Repurchases</w:t>
      </w:r>
    </w:p>
    <w:p>
      <w:pPr>
        <w:spacing w:after="0" w:line="180" w:lineRule="exact"/>
        <w:rPr>
          <w:sz w:val="20"/>
          <w:szCs w:val="20"/>
          <w:color w:val="auto"/>
        </w:rPr>
      </w:pPr>
    </w:p>
    <w:p>
      <w:pPr>
        <w:ind w:right="2959" w:firstLine="545"/>
        <w:spacing w:after="0" w:line="247" w:lineRule="auto"/>
        <w:rPr>
          <w:sz w:val="20"/>
          <w:szCs w:val="20"/>
          <w:color w:val="auto"/>
        </w:rPr>
      </w:pPr>
      <w:r>
        <w:rPr>
          <w:rFonts w:ascii="Courier New" w:cs="Courier New" w:eastAsia="Courier New" w:hAnsi="Courier New"/>
          <w:sz w:val="15"/>
          <w:szCs w:val="15"/>
          <w:color w:val="auto"/>
        </w:rPr>
        <w:t>During the first nine months of 1998 and 1997 the company repurchased 30,260 and 245,390 shares of its Class B common stock at a cost of approximately $14.9 and $87.0 million, respectively.</w:t>
      </w:r>
    </w:p>
    <w:p>
      <w:pPr>
        <w:spacing w:after="0" w:line="17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Comprehensive Income</w:t>
      </w:r>
    </w:p>
    <w:p>
      <w:pPr>
        <w:spacing w:after="0" w:line="180" w:lineRule="exact"/>
        <w:rPr>
          <w:sz w:val="20"/>
          <w:szCs w:val="20"/>
          <w:color w:val="auto"/>
        </w:rPr>
      </w:pPr>
    </w:p>
    <w:p>
      <w:pPr>
        <w:ind w:right="3219" w:firstLine="545"/>
        <w:spacing w:after="0" w:line="246" w:lineRule="auto"/>
        <w:rPr>
          <w:sz w:val="20"/>
          <w:szCs w:val="20"/>
          <w:color w:val="auto"/>
        </w:rPr>
      </w:pPr>
      <w:r>
        <w:rPr>
          <w:rFonts w:ascii="Courier New" w:cs="Courier New" w:eastAsia="Courier New" w:hAnsi="Courier New"/>
          <w:sz w:val="15"/>
          <w:szCs w:val="15"/>
          <w:color w:val="auto"/>
        </w:rPr>
        <w:t>In June 1997, the Financial Accounting Standards Board issued SFAS No. 130, "Reporting Comprehensive Income." Comprehensive income is the change in equity of a business enterprise during a period from transactions and other events and circumstances from non-owner sources. It includes all changes in equity during a period except those resulting from investments by owners and distributions to owners. For the thirteen weeks ended September 27, 1998 and September 28, 1997, comprehensive income totaled $74.5 million and $71.1 million, respectively. For the thirty-nine weeks ended September 27, 1998 and September 28, 1997, comprehensive income totaled $346.6 million and $184.3 million, respectively. Comprehensive income includes net income, foreign currency translation adjustments and the change in unrealized gain (loss) on available-for-sale securities.</w:t>
      </w:r>
    </w:p>
    <w:p>
      <w:pPr>
        <w:sectPr>
          <w:pgSz w:w="11900" w:h="16838" w:orient="portrait"/>
          <w:cols w:equalWidth="0" w:num="1">
            <w:col w:w="10219"/>
          </w:cols>
          <w:pgMar w:left="240" w:top="29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9.</w:t>
      </w:r>
    </w:p>
    <w:p>
      <w:pPr>
        <w:spacing w:after="0" w:line="354" w:lineRule="exact"/>
        <w:rPr>
          <w:sz w:val="20"/>
          <w:szCs w:val="20"/>
          <w:color w:val="auto"/>
        </w:rPr>
      </w:pPr>
    </w:p>
    <w:p>
      <w:pPr>
        <w:ind w:right="4859"/>
        <w:spacing w:after="0" w:line="247" w:lineRule="auto"/>
        <w:rPr>
          <w:sz w:val="20"/>
          <w:szCs w:val="20"/>
          <w:color w:val="auto"/>
        </w:rPr>
      </w:pPr>
      <w:r>
        <w:rPr>
          <w:rFonts w:ascii="Courier New" w:cs="Courier New" w:eastAsia="Courier New" w:hAnsi="Courier New"/>
          <w:sz w:val="15"/>
          <w:szCs w:val="15"/>
          <w:color w:val="auto"/>
        </w:rPr>
        <w:t>ITEM 2. MANAGEMENT'S DISCUSSION AND ANALYSIS OF RESULTS OF OPERATIONS AND FINANCIAL CONDITION</w:t>
      </w:r>
    </w:p>
    <w:p>
      <w:pPr>
        <w:spacing w:after="0" w:line="175" w:lineRule="exact"/>
        <w:rPr>
          <w:sz w:val="20"/>
          <w:szCs w:val="20"/>
          <w:color w:val="auto"/>
        </w:rPr>
      </w:pPr>
    </w:p>
    <w:p>
      <w:pPr>
        <w:ind w:right="3779" w:firstLine="545"/>
        <w:spacing w:after="0" w:line="247" w:lineRule="auto"/>
        <w:rPr>
          <w:sz w:val="20"/>
          <w:szCs w:val="20"/>
          <w:color w:val="auto"/>
        </w:rPr>
      </w:pPr>
      <w:r>
        <w:rPr>
          <w:rFonts w:ascii="Courier New" w:cs="Courier New" w:eastAsia="Courier New" w:hAnsi="Courier New"/>
          <w:sz w:val="15"/>
          <w:szCs w:val="15"/>
          <w:color w:val="auto"/>
        </w:rPr>
        <w:t>This analysis should be read in conjunction with the consolidated financial statements and the notes thereto.</w:t>
      </w:r>
    </w:p>
    <w:p>
      <w:pPr>
        <w:spacing w:after="0" w:line="175"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Revenues and expenses in the first and third quarters are customarily lower than those in the second and fourth quarters because of significant seasonal fluctuations in advertising volume. For that reason, the results of operations for each quarter are compared with those of the corresponding quarter in the preceding year.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QUARTER COMPARISONS</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Net income for the third quarter of 1998 was $81.8 million, an increase of 14 percent from net income of $71.6 million in the third quarter last year. Diluted earnings per share increased 21 percent to $8.05, from $6.64 in the third quarter of 1997, with fewer average shares outstanding.</w:t>
      </w:r>
    </w:p>
    <w:p>
      <w:pPr>
        <w:spacing w:after="0" w:line="177"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The company's 1998 third quarter net income included $30.9 million ($3.05 per share - diluted basis) arising primarily from the sale of 14 small cable systems in Texas, Missouri and Kansas and the disposition of the company's interest in Junglee, a facilitator of internet commerce. Net income for the third quarter of 1997 included $16.0 million ($1.49 per share - diluted basis) from the sale of the assets of the company's PASS Sports subsidiary and the termination of its regional sports network. Excluding these non-recurring items, net income decreased $4.7 million, or 8 percent; diluted earnings per share decreased 3 percent to $5.00, from $5.15 in the third quarter of 1997.</w:t>
      </w:r>
    </w:p>
    <w:p>
      <w:pPr>
        <w:spacing w:after="0" w:line="180"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Revenues for the third quarter of 1998 rose 6 percent to $509.3 million, from $478.4 million in the same period last year. Advertising revenues and circulation and subscriber revenues each increased 3 percent. Other revenues increased 33 percent over the third quarter of 1997. Excluding the effect of acquisitions and dispositions completed in 1997 and 1998, total third quarter revenue increased 1 percent. Third quarter revenues for 1998 were adversely affected by one less special Newsweek issue and a decline in advertising in Newsweek and at the company's television stations by General Motors Corporation during the recent autoworkers' strike.</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Costs and expenses for the third quarter of 1998 increased 9 percent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$421.7 million, from $387.1 million in the third quarter of 1997. Third quarter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operating expenses increased 10 percent, selling general and administrative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remained flat, depreciation expense rose 22 percent and amortization</w:t>
      </w:r>
    </w:p>
    <w:p>
      <w:pPr>
        <w:sectPr>
          <w:pgSz w:w="11900" w:h="16838" w:orient="portrait"/>
          <w:cols w:equalWidth="0" w:num="1">
            <w:col w:w="10219"/>
          </w:cols>
          <w:pgMar w:left="240" w:top="29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10.</w:t>
      </w:r>
    </w:p>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expense increased 65 percent. Excluding the effect of acquisitions and dispositions completed in 1997 and 1998, total costs and expenses for the third quarter increased 1 percent. The 1 percent increase in total costs and expenses is due to normal expense growth, new media spending and expenses arising from the expansion of the printing facilities of The Washington Post, offset partially by an increase in the company's pension credit.</w:t>
      </w:r>
    </w:p>
    <w:p>
      <w:pPr>
        <w:spacing w:after="0" w:line="178"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In the third quarter of 1998, operating income declined to $87.6 million, a 4 percent decrease from $91.2 million in 1997. Excluding the effect of acquisitions and dispositions completed in 1997 and 1998, operating income for the third quarter of 1998 remained substantially unchanged as compared to the third quarter of 1997.</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NEWSPAPER DIVISION. At the newspaper division, revenues increased 3 percent in the third quarter of 1998. Advertising revenues for the division rose 3 percent in 1998 due principally to higher ad rates. Advertising volume at The Washington Post totaled 734,600 inches in the third quarter of 1998 as compared to 746,300 inches in 1997. Preprint advertising volume at The Post increased 3 percent to 382 million pieces, compared to 370 million pieces in 1997. Circulation revenues for the division decreased 2 percent in comparison to the same period last year as a result of a 1 percent decrease in both Sunday and daily circulation at The Washington Post.</w:t>
      </w:r>
    </w:p>
    <w:p>
      <w:pPr>
        <w:spacing w:after="0" w:line="180" w:lineRule="exact"/>
        <w:rPr>
          <w:sz w:val="20"/>
          <w:szCs w:val="20"/>
          <w:color w:val="auto"/>
        </w:rPr>
      </w:pPr>
    </w:p>
    <w:p>
      <w:pPr>
        <w:ind w:right="3039" w:firstLine="545"/>
        <w:spacing w:after="0" w:line="247" w:lineRule="auto"/>
        <w:rPr>
          <w:sz w:val="20"/>
          <w:szCs w:val="20"/>
          <w:color w:val="auto"/>
        </w:rPr>
      </w:pPr>
      <w:r>
        <w:rPr>
          <w:rFonts w:ascii="Courier New" w:cs="Courier New" w:eastAsia="Courier New" w:hAnsi="Courier New"/>
          <w:sz w:val="15"/>
          <w:szCs w:val="15"/>
          <w:color w:val="auto"/>
        </w:rPr>
        <w:t>Newsprint expense at the Post increased 8 percent in the third quarter of 1998 compared to the third quarter of last year.</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BROADCAST DIVISION. Revenues at the broadcast division increased 2 percent in the third quarter of 1998. The increase in revenue is attributable to a 13 percent increase in local advertising revenue, partially offset by a 12 percent decrease in both national advertising revenue and network compensation. The decline in national advertising revenue reflects the previously mentioned third quarter decline in automotive advertising.</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MAGAZINE DIVISION. Revenues at the magazine division decreased 3 percent in the third quarter of 1998. The decrease is primarily attributable to one less special issue at Newsweek, as well as a decline in automotive advertising and softness in advertising at the international edition of Newsweek. These revenue declines were partially offset by increased revenue from the trade periodicals acquired in the fourth quarter of 1997.</w:t>
      </w:r>
    </w:p>
    <w:p>
      <w:pPr>
        <w:spacing w:after="0" w:line="178"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CABLE DIVISION. At the cable division, third quarter 1998 revenues were 18 percent higher than 1997. Higher subscriber levels, resulting mainly from recent acquisitions, as well as</w:t>
      </w:r>
    </w:p>
    <w:p>
      <w:pPr>
        <w:sectPr>
          <w:pgSz w:w="11900" w:h="16838" w:orient="portrait"/>
          <w:cols w:equalWidth="0" w:num="1">
            <w:col w:w="10219"/>
          </w:cols>
          <w:pgMar w:left="240" w:top="293" w:right="1440" w:bottom="1440" w:gutter="0" w:footer="0" w:header="0"/>
        </w:sectPr>
      </w:pPr>
    </w:p>
    <w:bookmarkStart w:id="10" w:name="page11"/>
    <w:bookmarkEnd w:id="10"/>
    <w:p>
      <w:pPr>
        <w:ind w:left="267"/>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11.</w:t>
      </w:r>
    </w:p>
    <w:p>
      <w:pPr>
        <w:spacing w:after="0" w:line="354" w:lineRule="exact"/>
        <w:rPr>
          <w:sz w:val="20"/>
          <w:szCs w:val="20"/>
          <w:color w:val="auto"/>
        </w:rPr>
      </w:pPr>
    </w:p>
    <w:p>
      <w:pPr>
        <w:ind w:left="7" w:right="3499"/>
        <w:spacing w:after="0" w:line="247" w:lineRule="auto"/>
        <w:rPr>
          <w:sz w:val="20"/>
          <w:szCs w:val="20"/>
          <w:color w:val="auto"/>
        </w:rPr>
      </w:pPr>
      <w:r>
        <w:rPr>
          <w:rFonts w:ascii="Courier New" w:cs="Courier New" w:eastAsia="Courier New" w:hAnsi="Courier New"/>
          <w:sz w:val="15"/>
          <w:szCs w:val="15"/>
          <w:color w:val="auto"/>
        </w:rPr>
        <w:t>slightly higher rates accounted for the increase. At the end of the third quarter, the number of basic subscribers totaled approximately 730,000, 15 percent higher than the subscriber levels at the same time last year.</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OTHER BUSINESSES. In the third quarter of 1998, revenues from other businesses</w:t>
      </w:r>
    </w:p>
    <w:p>
      <w:pPr>
        <w:spacing w:after="0" w:line="5" w:lineRule="exact"/>
        <w:rPr>
          <w:sz w:val="20"/>
          <w:szCs w:val="20"/>
          <w:color w:val="auto"/>
        </w:rPr>
      </w:pPr>
    </w:p>
    <w:p>
      <w:pPr>
        <w:ind w:left="7" w:right="2959" w:hanging="7"/>
        <w:spacing w:after="0" w:line="246" w:lineRule="auto"/>
        <w:tabs>
          <w:tab w:leader="none" w:pos="18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principally Kaplan Educational Centers, Legi-Slate, Washingtonpost.Newsweek Interactive, MLJ (Moffet, Larson &amp; Johnson - sold in July, 1998), and PASS Sports (1997 only) -- increased 31 percent over the prior year. Excluding PASS Sports and MLJ, which were sold in the third quarter of 1997 and 1998, respectively, revenue from other businesses increased 54 percent over the third quarter of 1997. Growth at Kaplan Educational Centers produced most of the increase, with acquisitions accounting for most of the gain.</w:t>
      </w:r>
    </w:p>
    <w:p>
      <w:pPr>
        <w:spacing w:after="0" w:line="179"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EQUITY IN (LOSSES) EARNINGS OF AFFILIATES. The company's equity in losses of affiliates in the third quarter of 1998 was $4.1 million, compared with income of $4.7 million in the third quarter of 1997. The decrease resulted principally from increased spending at the company's new media joint ventures and the company's sale of its 35 percent interest in Bear Island Paper Company and Bear Island Timberlands Company in November 1997 and the disposition of the company's 28 percent interest in Cowles Media Company, which occurred in March 1998.</w:t>
      </w:r>
    </w:p>
    <w:p>
      <w:pPr>
        <w:spacing w:after="0" w:line="179"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NON-OPERATING ITEMS. Interest expense, net of interest income, was $2.0 million in the third quarter of 1998, compared with net interest income of $0.5 million in the third quarter of 1997. There were no borrowings outstanding during the third quarter of 1997.</w:t>
      </w:r>
    </w:p>
    <w:p>
      <w:pPr>
        <w:spacing w:after="0" w:line="177"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Included in other, net for the third quarter of 1998 are pre-tax gains of $51.2 million related to the sale of cable systems in Texas, Missouri and Kansas and the disposition of the company's interest in Junlgee, a facilitator of internet commerce. For the third quarter of 1997, other, net includes pre-tax gains of $24.8 million resulting from the sale of the assets of the company's PASS Sports subsidiary and the termination of its regional sports network.</w:t>
      </w:r>
    </w:p>
    <w:p>
      <w:pPr>
        <w:spacing w:after="0" w:line="178"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INCOME TAXES. The effective tax rate in the third quarter of 1998 decreased to 37.9 percent, from 40.4 percent in 1997. The decrease in the effective tax rate is the result of certain one-time transactions in the third quarter of 1998 being subject to state tax in jurisdictions with lower tax rates.</w:t>
      </w:r>
    </w:p>
    <w:p>
      <w:pPr>
        <w:sectPr>
          <w:pgSz w:w="11900" w:h="16838" w:orient="portrait"/>
          <w:cols w:equalWidth="0" w:num="1">
            <w:col w:w="10226"/>
          </w:cols>
          <w:pgMar w:left="233" w:top="29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12.</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 COMPARISONS</w:t>
      </w:r>
    </w:p>
    <w:p>
      <w:pPr>
        <w:spacing w:after="0" w:line="180" w:lineRule="exact"/>
        <w:rPr>
          <w:sz w:val="20"/>
          <w:szCs w:val="20"/>
          <w:color w:val="auto"/>
        </w:rPr>
      </w:pPr>
    </w:p>
    <w:p>
      <w:pPr>
        <w:ind w:right="3139" w:firstLine="545"/>
        <w:spacing w:after="0" w:line="246" w:lineRule="auto"/>
        <w:rPr>
          <w:sz w:val="20"/>
          <w:szCs w:val="20"/>
          <w:color w:val="auto"/>
        </w:rPr>
      </w:pPr>
      <w:r>
        <w:rPr>
          <w:rFonts w:ascii="Courier New" w:cs="Courier New" w:eastAsia="Courier New" w:hAnsi="Courier New"/>
          <w:sz w:val="15"/>
          <w:szCs w:val="15"/>
          <w:color w:val="auto"/>
        </w:rPr>
        <w:t>Net income for the first nine months of 1998 was $353.5 million, an increase of $162.9 million from net income of $190.6 million in the first nine months of 1997. Diluted earnings per share for the first three quarters of the year were $34.79, compared to $17.57 in 1997.</w:t>
      </w:r>
    </w:p>
    <w:p>
      <w:pPr>
        <w:spacing w:after="0" w:line="177"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The company's 1998 net income included $193.7 million ($19.12 per share - diluted basis) from non-recurring gain transactions which include the first quarter disposition of the company's 28 percent interest in Cowles Media Company and the previously mentioned cable system and Junglee transactions. The company's 1997 net income includes $16.0 million ($1.49 per share - diluted basis) from the sale of the assets of PASS Sports and termination of its regional sports network. Excluding the effect of these dispositions, net income decreased 8 percent; diluted earnings per share decreased 3 percent to $15.67, from $16.08 in the first nine months of 1997, with fewer average shares outstanding.</w:t>
      </w:r>
    </w:p>
    <w:p>
      <w:pPr>
        <w:spacing w:after="0" w:line="181"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Revenues for the first nine months of 1998 increased 6 percent to $1,519.0 million, from $1,433.9 million in the comparable period last year. Advertising revenues increased 4 percent, circulation and subscriber revenues increased 4 percent and other revenues increased 22 percent. Excluding the effect of acquisitions and dispositions completed in 1997 and 1998, total revenue for the first nine months of 1998 increased 3 percent as compared to the same period in 1997.</w:t>
      </w:r>
    </w:p>
    <w:p>
      <w:pPr>
        <w:spacing w:after="0" w:line="179"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Costs and expenses increased 8 percent during the first three quarters of 1998 to $1,249.6 million, from $1,154.7 million in the corresponding period of 1997. During the first nine months of 1998, operating expenses increased 11 percent, selling general and administrative expenses were flat, depreciation expense increased 18 percent and amortization expense increased 46 percent. Excluding the effect of acquisitions and dispositions completed in 1997 and 1998, total costs and expenses increased 4 percent. This 4 percent increase in total costs and expenses was primarily attributable to normal expense growth and increases in newsprint expense, new media spending and expenses arising from the expansion of the printing facilities of The Washington Post, offset in part by an increase in the company's pension credit.</w:t>
      </w:r>
    </w:p>
    <w:p>
      <w:pPr>
        <w:spacing w:after="0" w:line="181" w:lineRule="exact"/>
        <w:rPr>
          <w:sz w:val="20"/>
          <w:szCs w:val="20"/>
          <w:color w:val="auto"/>
        </w:rPr>
      </w:pPr>
    </w:p>
    <w:p>
      <w:pPr>
        <w:ind w:right="3139" w:firstLine="545"/>
        <w:spacing w:after="0" w:line="246" w:lineRule="auto"/>
        <w:rPr>
          <w:sz w:val="20"/>
          <w:szCs w:val="20"/>
          <w:color w:val="auto"/>
        </w:rPr>
      </w:pPr>
      <w:r>
        <w:rPr>
          <w:rFonts w:ascii="Courier New" w:cs="Courier New" w:eastAsia="Courier New" w:hAnsi="Courier New"/>
          <w:sz w:val="15"/>
          <w:szCs w:val="15"/>
          <w:color w:val="auto"/>
        </w:rPr>
        <w:t>In the first nine months of 1998 operating income declined 3 percent to $269.4 million from $279.1 million in the same period last year. Excluding the effect of acquisitions and dispositions completed in 1997 and 1998, operating income for the first nine months of 1998 decreased 2 percent from the same period in 1997.</w:t>
      </w:r>
    </w:p>
    <w:p>
      <w:pPr>
        <w:sectPr>
          <w:pgSz w:w="11900" w:h="16838" w:orient="portrait"/>
          <w:cols w:equalWidth="0" w:num="1">
            <w:col w:w="10219"/>
          </w:cols>
          <w:pgMar w:left="240" w:top="293" w:right="1440" w:bottom="1440" w:gutter="0" w:footer="0" w:header="0"/>
        </w:sectPr>
      </w:pPr>
    </w:p>
    <w:bookmarkStart w:id="12" w:name="page13"/>
    <w:bookmarkEnd w:id="12"/>
    <w:p>
      <w:pPr>
        <w:ind w:left="267"/>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13.</w:t>
      </w:r>
    </w:p>
    <w:p>
      <w:pPr>
        <w:spacing w:after="0" w:line="354"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NEWSPAPER DIVISION. Newspaper division revenues were up 4 percent in the first nine months of 1998 over the comparable period of 1997. Advertising revenues for the division rose 4 percent in the period due mainly to increased rates. Advertising volume at The Washington Post totaled 2,312,800 inches, declining 1 percent from 2,328,000 inches in the first nine months of 1997. Circulation revenues at the Newspaper division for the first nine months of 1998 declined 2 percent as compared to the same period in the prior year, principally as a result of a 1 percent decline in both daily and Sunday circulation at The Post.</w:t>
      </w:r>
    </w:p>
    <w:p>
      <w:pPr>
        <w:spacing w:after="0" w:line="180" w:lineRule="exact"/>
        <w:rPr>
          <w:sz w:val="20"/>
          <w:szCs w:val="20"/>
          <w:color w:val="auto"/>
        </w:rPr>
      </w:pPr>
    </w:p>
    <w:p>
      <w:pPr>
        <w:ind w:left="7" w:right="3039" w:firstLine="545"/>
        <w:spacing w:after="0" w:line="247" w:lineRule="auto"/>
        <w:rPr>
          <w:sz w:val="20"/>
          <w:szCs w:val="20"/>
          <w:color w:val="auto"/>
        </w:rPr>
      </w:pPr>
      <w:r>
        <w:rPr>
          <w:rFonts w:ascii="Courier New" w:cs="Courier New" w:eastAsia="Courier New" w:hAnsi="Courier New"/>
          <w:sz w:val="15"/>
          <w:szCs w:val="15"/>
          <w:color w:val="auto"/>
        </w:rPr>
        <w:t>Newsprint expense at The Post increased 11 percent in 1998 as compared to the first nine months of 1997.</w:t>
      </w:r>
    </w:p>
    <w:p>
      <w:pPr>
        <w:spacing w:after="0" w:line="17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BROADCAST DIVISION. Revenues at the broadcast division increased 5 percent over the first nine months of 1997. The overall increase in broadcast division revenue is the result of a 6 percent increase in both national and local advertising revenue partially offset by a 13 percent decrease in network compensation.</w:t>
      </w:r>
    </w:p>
    <w:p>
      <w:pPr>
        <w:spacing w:after="0" w:line="178"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MAGAZINE DIVISION. Magazine division revenue increased 3 percent in the first nine months of the year. The increase is attributable to the trade periodicals acquired in the fourth quarter of 1997, partially offset by a 6 percent decline in revenue at Newsweek. One less Newsweek special issue, lower domestic edition ad pages and the continuing economic crisis in Asia resulted in the Newsweek revenue decline.</w:t>
      </w:r>
    </w:p>
    <w:p>
      <w:pPr>
        <w:spacing w:after="0" w:line="178"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CABLE DIVISION. Cable division revenues increased 14 percent in the first nine months of 1998. Higher subscriber levels, resulting mainly from system acquisitions and exchanges, as well as slightly higher rates, accounted for the increase.</w:t>
      </w:r>
    </w:p>
    <w:p>
      <w:pPr>
        <w:spacing w:after="0" w:line="177"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OTHER BUSINESSES. At the company's other businesses - principally Kaplan Educational Centers, Legi-Slate, Washingtonpost.Newsweek Interactive, MLJ (Moffet, Larson &amp; Johnson - sold in July, 1998), and PASS Sports (for 1997 only)</w:t>
      </w:r>
    </w:p>
    <w:p>
      <w:pPr>
        <w:spacing w:after="0" w:line="2" w:lineRule="exact"/>
        <w:rPr>
          <w:sz w:val="20"/>
          <w:szCs w:val="20"/>
          <w:color w:val="auto"/>
        </w:rPr>
      </w:pPr>
    </w:p>
    <w:p>
      <w:pPr>
        <w:ind w:left="7" w:right="3139" w:hanging="7"/>
        <w:spacing w:after="0" w:line="246" w:lineRule="auto"/>
        <w:tabs>
          <w:tab w:leader="none" w:pos="18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revenues rose 14 percent in the first nine months of 1998. Excluding PASS Sports and MLJ, which were sold in the third quarter of 1997 and 1998, respectively, revenue from other businesses increased 41 percent. Growth at Kaplan Educational Centers produced most of the increase, with acquisitions accounting for about two-thirds of the gain.</w:t>
      </w:r>
    </w:p>
    <w:p>
      <w:pPr>
        <w:spacing w:after="0" w:line="178" w:lineRule="exact"/>
        <w:rPr>
          <w:sz w:val="20"/>
          <w:szCs w:val="20"/>
          <w:color w:val="auto"/>
        </w:rPr>
      </w:pPr>
    </w:p>
    <w:p>
      <w:pPr>
        <w:jc w:val="both"/>
        <w:ind w:left="7" w:right="3219"/>
        <w:spacing w:after="0" w:line="246" w:lineRule="auto"/>
        <w:rPr>
          <w:sz w:val="20"/>
          <w:szCs w:val="20"/>
          <w:color w:val="auto"/>
        </w:rPr>
      </w:pPr>
      <w:r>
        <w:rPr>
          <w:rFonts w:ascii="Courier New" w:cs="Courier New" w:eastAsia="Courier New" w:hAnsi="Courier New"/>
          <w:sz w:val="15"/>
          <w:szCs w:val="15"/>
          <w:color w:val="auto"/>
        </w:rPr>
        <w:t>EQUITY IN (LOSSES) EARNINGS OF AFFILIATES. The company's equity in losses of affiliates during the first three quarters of 1998 was $3.1 million, compared with income of $8.2 million in the first nine months of 1997. The decline in earnings of affiliates</w:t>
      </w:r>
    </w:p>
    <w:p>
      <w:pPr>
        <w:sectPr>
          <w:pgSz w:w="11900" w:h="16838" w:orient="portrait"/>
          <w:cols w:equalWidth="0" w:num="1">
            <w:col w:w="10226"/>
          </w:cols>
          <w:pgMar w:left="233" w:top="29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14.</w:t>
      </w:r>
    </w:p>
    <w:p>
      <w:pPr>
        <w:spacing w:after="0" w:line="35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resulted principally from increased spending at the company's new media joint ventures and the company's sale of its 35 percent interest in Bear Island Paper Company and Bear Island Timberlands Company in November 1997 and the disposition of the company's 28 percent interest in Cowles Media Company, which occurred in March of 1998.</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NON-OPERATING ITEMS. Interest expense, net of interest income, was $4.0 million in the first nine months of 1998, compared to net interest income of $2.4 million in 1997. The increase in net interest expense is due to borrowings outstanding for the majority of the first nine months of 1998. There were no borrowings outstanding during the first nine months of 1997.</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Included in 1998 other, net are gains of $258.4 million resulting from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disposition of the company's 28 percent interest in Cowles Media Company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$51.2 million related to the sale of cable systems in Texas, Missouri and Kansas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disposition of the company's interest in Junglee, a facilitator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internet commerce. Other, net in 1997 includes gains of $24.8 million resulting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the sale of the assets of the company's PASS Sports subsidiary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its regional sports network.</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INCOME TAXES. The effective tax rate in 1998 was approximately 37.9 percent as compared to 39.3 percent in 1997. The lower state tax rate applicable to the Cowles and Junglee transactions resulted in the overall decline in the effective tax rate.</w:t>
      </w:r>
    </w:p>
    <w:p>
      <w:pPr>
        <w:spacing w:after="0" w:line="352"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5"/>
          <w:szCs w:val="15"/>
          <w:color w:val="auto"/>
        </w:rPr>
        <w:t>FINANCIAL CONDITION:</w:t>
        <w:tab/>
        <w:t>CAPITAL RESOURCES AND LIQUIDITY</w:t>
      </w:r>
    </w:p>
    <w:p>
      <w:pPr>
        <w:spacing w:after="0" w:line="180" w:lineRule="exact"/>
        <w:rPr>
          <w:sz w:val="20"/>
          <w:szCs w:val="20"/>
          <w:color w:val="auto"/>
        </w:rPr>
      </w:pPr>
    </w:p>
    <w:p>
      <w:pPr>
        <w:ind w:right="3039" w:firstLine="545"/>
        <w:spacing w:after="0" w:line="247" w:lineRule="auto"/>
        <w:rPr>
          <w:sz w:val="20"/>
          <w:szCs w:val="20"/>
          <w:color w:val="auto"/>
        </w:rPr>
      </w:pPr>
      <w:r>
        <w:rPr>
          <w:rFonts w:ascii="Courier New" w:cs="Courier New" w:eastAsia="Courier New" w:hAnsi="Courier New"/>
          <w:sz w:val="15"/>
          <w:szCs w:val="15"/>
          <w:color w:val="auto"/>
        </w:rPr>
        <w:t>In the first nine months of 1998, the company acquired various businesses for approximately $303.0 million as detailed in Note 1 to the third quarter condensed financial statements.</w:t>
      </w:r>
    </w:p>
    <w:p>
      <w:pPr>
        <w:spacing w:after="0" w:line="174"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For the first nine months of 1998, the company's capital expenditures totaled $154.3 million, the majority of which related to the replacement of the printing facilities at The Washington Post and plant upgrades at the company's cable subsidiary.</w:t>
      </w:r>
    </w:p>
    <w:p>
      <w:pPr>
        <w:spacing w:after="0" w:line="177"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As discussed in Note 2 to the third quarter condensed financial statements, the company acquired 411,200 shares of General Re Corporation common stock throughout the third quarter of 1998 for a total cost of approximately $93.6 million.</w:t>
      </w:r>
    </w:p>
    <w:p>
      <w:pPr>
        <w:spacing w:after="0" w:line="177" w:lineRule="exact"/>
        <w:rPr>
          <w:sz w:val="20"/>
          <w:szCs w:val="20"/>
          <w:color w:val="auto"/>
        </w:rPr>
      </w:pPr>
    </w:p>
    <w:p>
      <w:pPr>
        <w:ind w:right="3319" w:firstLine="545"/>
        <w:spacing w:after="0" w:line="247" w:lineRule="auto"/>
        <w:rPr>
          <w:sz w:val="20"/>
          <w:szCs w:val="20"/>
          <w:color w:val="auto"/>
        </w:rPr>
      </w:pPr>
      <w:r>
        <w:rPr>
          <w:rFonts w:ascii="Courier New" w:cs="Courier New" w:eastAsia="Courier New" w:hAnsi="Courier New"/>
          <w:sz w:val="15"/>
          <w:szCs w:val="15"/>
          <w:color w:val="auto"/>
        </w:rPr>
        <w:t>During the first nine months of 1998, the company repurchased 30,260 shares of its Class B common stock at a cost of approximately $14.9 million. Approximately 785,000 Class B</w:t>
      </w:r>
    </w:p>
    <w:p>
      <w:pPr>
        <w:sectPr>
          <w:pgSz w:w="11900" w:h="16838" w:orient="portrait"/>
          <w:cols w:equalWidth="0" w:num="1">
            <w:col w:w="10219"/>
          </w:cols>
          <w:pgMar w:left="240" w:top="29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15.</w:t>
      </w:r>
    </w:p>
    <w:p>
      <w:pPr>
        <w:spacing w:after="0" w:line="354"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common shares remain available for repurchases under a November 13, 1997 authorization by the Board of Directors.</w:t>
      </w:r>
    </w:p>
    <w:p>
      <w:pPr>
        <w:spacing w:after="0" w:line="175"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In March 1998, the company received approximately $330.5 million in cash and 730,525 shares of McClatchy Class A common stock as a result of the Cowles and McClatchy merger transaction, as previously described. The market value of the McClatchy stock received approximated $21.6 million, based upon publicly quoted market prices. During the second and third quarters of 1998, the company sold 410,500 shares of the McClatchy stock for approximately $13.6 million; no significant gain or loss was realized upon the liquidation of these shares.</w:t>
      </w:r>
    </w:p>
    <w:p>
      <w:pPr>
        <w:spacing w:after="0" w:line="179" w:lineRule="exact"/>
        <w:rPr>
          <w:sz w:val="20"/>
          <w:szCs w:val="20"/>
          <w:color w:val="auto"/>
        </w:rPr>
      </w:pPr>
    </w:p>
    <w:p>
      <w:pPr>
        <w:ind w:right="3039" w:firstLine="545"/>
        <w:spacing w:after="0" w:line="247" w:lineRule="auto"/>
        <w:rPr>
          <w:sz w:val="20"/>
          <w:szCs w:val="20"/>
          <w:color w:val="auto"/>
        </w:rPr>
      </w:pPr>
      <w:r>
        <w:rPr>
          <w:rFonts w:ascii="Courier New" w:cs="Courier New" w:eastAsia="Courier New" w:hAnsi="Courier New"/>
          <w:sz w:val="15"/>
          <w:szCs w:val="15"/>
          <w:color w:val="auto"/>
        </w:rPr>
        <w:t>In July 1998, the company completed the sale of 14 small cable systems in Texas, Missouri and Kansas serving approximately 29,000 subscribers for $41.9 million.</w:t>
      </w:r>
    </w:p>
    <w:p>
      <w:pPr>
        <w:spacing w:after="0" w:line="174" w:lineRule="exact"/>
        <w:rPr>
          <w:sz w:val="20"/>
          <w:szCs w:val="20"/>
          <w:color w:val="auto"/>
        </w:rPr>
      </w:pPr>
    </w:p>
    <w:p>
      <w:pPr>
        <w:ind w:right="3139" w:firstLine="545"/>
        <w:spacing w:after="0" w:line="246" w:lineRule="auto"/>
        <w:rPr>
          <w:sz w:val="20"/>
          <w:szCs w:val="20"/>
          <w:color w:val="auto"/>
        </w:rPr>
      </w:pPr>
      <w:r>
        <w:rPr>
          <w:rFonts w:ascii="Courier New" w:cs="Courier New" w:eastAsia="Courier New" w:hAnsi="Courier New"/>
          <w:sz w:val="15"/>
          <w:szCs w:val="15"/>
          <w:color w:val="auto"/>
        </w:rPr>
        <w:t>In August 1998, the company received 202,961 shares of Amazon.com common stock as a result of the merger of Amazon.com and Junglee. The market value of the Amazon.com common stock received approximated $25.2 million, based upon publicly quoted market prices.</w:t>
      </w:r>
    </w:p>
    <w:p>
      <w:pPr>
        <w:spacing w:after="0" w:line="177" w:lineRule="exact"/>
        <w:rPr>
          <w:sz w:val="20"/>
          <w:szCs w:val="20"/>
          <w:color w:val="auto"/>
        </w:rPr>
      </w:pPr>
    </w:p>
    <w:p>
      <w:pPr>
        <w:ind w:right="3319" w:firstLine="545"/>
        <w:spacing w:after="0" w:line="246" w:lineRule="auto"/>
        <w:rPr>
          <w:sz w:val="20"/>
          <w:szCs w:val="20"/>
          <w:color w:val="auto"/>
        </w:rPr>
      </w:pPr>
      <w:r>
        <w:rPr>
          <w:rFonts w:ascii="Courier New" w:cs="Courier New" w:eastAsia="Courier New" w:hAnsi="Courier New"/>
          <w:sz w:val="15"/>
          <w:szCs w:val="15"/>
          <w:color w:val="auto"/>
        </w:rPr>
        <w:t>At the end of the first quarter of 1998, the company utilized the cash generated from the previously mentioned Cowles transaction to repay its then outstanding borrowings totaling $296.4 million. Since the end of the first quarter the company has made short term borrowings to fund acquisitions and certain capital expenditures.</w:t>
      </w:r>
    </w:p>
    <w:p>
      <w:pPr>
        <w:spacing w:after="0" w:line="178" w:lineRule="exact"/>
        <w:rPr>
          <w:sz w:val="20"/>
          <w:szCs w:val="20"/>
          <w:color w:val="auto"/>
        </w:rPr>
      </w:pPr>
    </w:p>
    <w:p>
      <w:pPr>
        <w:jc w:val="both"/>
        <w:ind w:right="3219" w:firstLine="545"/>
        <w:spacing w:after="0" w:line="246" w:lineRule="auto"/>
        <w:rPr>
          <w:sz w:val="20"/>
          <w:szCs w:val="20"/>
          <w:color w:val="auto"/>
        </w:rPr>
      </w:pPr>
      <w:r>
        <w:rPr>
          <w:rFonts w:ascii="Courier New" w:cs="Courier New" w:eastAsia="Courier New" w:hAnsi="Courier New"/>
          <w:sz w:val="15"/>
          <w:szCs w:val="15"/>
          <w:color w:val="auto"/>
        </w:rPr>
        <w:t>During the third quarter and first nine months of 1998, the company had average short-term borrowings outstanding of approximately $260.0 million and $182.0 million, respectively, at an average interest rate of 5.6 percent. At September 27, 1998, $380.5 million in short-term borrowings were outstanding that are supported by a 5-year, $500.0 million revolving credit facility.</w:t>
      </w:r>
    </w:p>
    <w:p>
      <w:pPr>
        <w:spacing w:after="0" w:line="178" w:lineRule="exact"/>
        <w:rPr>
          <w:sz w:val="20"/>
          <w:szCs w:val="20"/>
          <w:color w:val="auto"/>
        </w:rPr>
      </w:pPr>
    </w:p>
    <w:p>
      <w:pPr>
        <w:ind w:right="3039" w:firstLine="545"/>
        <w:spacing w:after="0" w:line="247" w:lineRule="auto"/>
        <w:rPr>
          <w:sz w:val="20"/>
          <w:szCs w:val="20"/>
          <w:color w:val="auto"/>
        </w:rPr>
      </w:pPr>
      <w:r>
        <w:rPr>
          <w:rFonts w:ascii="Courier New" w:cs="Courier New" w:eastAsia="Courier New" w:hAnsi="Courier New"/>
          <w:sz w:val="15"/>
          <w:szCs w:val="15"/>
          <w:color w:val="auto"/>
        </w:rPr>
        <w:t>The company has experienced no other significant changes in its financial condition since the end of 1997.</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Update</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The company's assessment, remediation, testing and contingency planning efforts surrounding Year 2000 readiness are proceeding on schedule with completion of all project phases projected for the fall of 1999. To date, the assessment of internal systems and equipment has been virtually completed and the company has made substantial progress in completing the remediation, testing and contingency planning phases of its Year 2000 readiness project.</w:t>
      </w:r>
    </w:p>
    <w:p>
      <w:pPr>
        <w:sectPr>
          <w:pgSz w:w="11900" w:h="16838" w:orient="portrait"/>
          <w:cols w:equalWidth="0" w:num="1">
            <w:col w:w="10219"/>
          </w:cols>
          <w:pgMar w:left="240" w:top="29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16.</w:t>
      </w:r>
    </w:p>
    <w:p>
      <w:pPr>
        <w:spacing w:after="0" w:line="354"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Most of the company's significant internal systems and equipment, including equipment with embedded controls, have been determined to be Year 2000 compliant. Certain critical internal systems, however, have been identified as incapable of processing transactions beyond the Year 2000; the most significant of which include some of the revenue related business systems at The Washington Post and Newsweek. For each of the non-compliant systems, the remediation efforts, which principally include systems replacement and software repair, are well under way and are expected to be completed and tested in the summer of 1999. The majority of the non-compliant internal systems were scheduled to be replaced prior to Year 2000 for operating efficiency reasons, and although the approaching Year 2000 increases the importance of replacing such systems, it has not caused a significant acceleration in the established replacement timetable.</w:t>
      </w:r>
    </w:p>
    <w:p>
      <w:pPr>
        <w:spacing w:after="0" w:line="182"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For critical internal systems and equipment determined to be compliant during the assessment phase of the project, and for non-compliant equipment that has been repaired or replaced, the company has devised and commenced a testing plan to provide additional compliance assurance. To date, the results of the company's Year 2000 compliance testing program have not revealed any new problems, or ineffective remediation. The Year 2000 testing phase for internal systems and equipment is estimated to be approximately 40% complete as of the end of October 1998.</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The company's Year 2000 readiness project also includes procedures designed to identify and assess Year 2000 business interruption which may occur as a result of the company's dependency on third parties. Vendors, suppliers, service providers, customers and governmental entities that are believed to be critical to the company's business operations after January 1, 2000 ("key business partners") have been identified and significant progress has been made in ascertaining their stage of Year 2000 readiness. These efforts include, among others, circularization of Year 2000 compliance confirmations and conducting interviews and on-site reviews.</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The company could potentially experience disruptions as a result of non-compliant systems utilized by some of its key business partners or unrelated third party governmental and business entities. Contingency plans are under development to mitigate these potential disruptions to business operations. These contingency plans include, but are not limited to, identification of alternative suppliers, vendors and service providers and planned accumulation of inventory to ensure production capability. The company is also developing contingency plans for its internal critical business systems.</w:t>
      </w:r>
    </w:p>
    <w:p>
      <w:pPr>
        <w:sectPr>
          <w:pgSz w:w="11900" w:h="16838" w:orient="portrait"/>
          <w:cols w:equalWidth="0" w:num="1">
            <w:col w:w="10219"/>
          </w:cols>
          <w:pgMar w:left="240" w:top="29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17.</w:t>
      </w:r>
    </w:p>
    <w:p>
      <w:pPr>
        <w:spacing w:after="0" w:line="354"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These contingency planning activities are intended to reduce risk, but cannot eliminate the potential for business disruption caused by third party failures.</w:t>
      </w:r>
    </w:p>
    <w:p>
      <w:pPr>
        <w:spacing w:after="0" w:line="175"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The company now estimates that its total Year 2000 compliance costs will approximate $25 million. Approximately $15 million of the estimated costs are attributable to assessment, repair and testing activities and will be expensed as incurred (approximately $7 million in 1998 and $8 million in 1999). The remaining $10 million represents the estimated cost to replace non-compliant systems and will be capitalized and amortized over periods ranging between five to ten years. The company anticipates that the funds needed to complete the Year 2000 compliance efforts and referenced system replacements will be provided primarily from the company's operating cash flows.</w:t>
      </w:r>
    </w:p>
    <w:p>
      <w:pPr>
        <w:spacing w:after="0" w:line="180" w:lineRule="exact"/>
        <w:rPr>
          <w:sz w:val="20"/>
          <w:szCs w:val="20"/>
          <w:color w:val="auto"/>
        </w:rPr>
      </w:pPr>
    </w:p>
    <w:p>
      <w:pPr>
        <w:ind w:right="3039" w:firstLine="545"/>
        <w:spacing w:after="0" w:line="247" w:lineRule="auto"/>
        <w:rPr>
          <w:sz w:val="20"/>
          <w:szCs w:val="20"/>
          <w:color w:val="auto"/>
        </w:rPr>
      </w:pPr>
      <w:r>
        <w:rPr>
          <w:rFonts w:ascii="Courier New" w:cs="Courier New" w:eastAsia="Courier New" w:hAnsi="Courier New"/>
          <w:sz w:val="15"/>
          <w:szCs w:val="15"/>
          <w:color w:val="auto"/>
        </w:rPr>
        <w:t>For the first nine months of 1998, the company has recorded approximately $5 million in expense related to Year 2000 compliance. Year 2000 project expenses incurred prior to 1998 were not significant.</w:t>
      </w:r>
    </w:p>
    <w:p>
      <w:pPr>
        <w:spacing w:after="0" w:line="174" w:lineRule="exact"/>
        <w:rPr>
          <w:sz w:val="20"/>
          <w:szCs w:val="20"/>
          <w:color w:val="auto"/>
        </w:rPr>
      </w:pPr>
    </w:p>
    <w:p>
      <w:pPr>
        <w:jc w:val="both"/>
        <w:ind w:right="3219" w:firstLine="545"/>
        <w:spacing w:after="0" w:line="247" w:lineRule="auto"/>
        <w:rPr>
          <w:sz w:val="20"/>
          <w:szCs w:val="20"/>
          <w:color w:val="auto"/>
        </w:rPr>
      </w:pPr>
      <w:r>
        <w:rPr>
          <w:rFonts w:ascii="Courier New" w:cs="Courier New" w:eastAsia="Courier New" w:hAnsi="Courier New"/>
          <w:sz w:val="15"/>
          <w:szCs w:val="15"/>
          <w:color w:val="auto"/>
        </w:rPr>
        <w:t>Based upon the activities described above, the company does not believe that the Year 2000 problem is likely to have a material adverse effect on the company's business or results of operations.</w:t>
      </w:r>
    </w:p>
    <w:p>
      <w:pPr>
        <w:spacing w:after="0" w:line="174"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The above discussion contains forward-looking statements that reflect the company's current expectations or beliefs concerning future results and events. These statements are made pursuant to the "safe harbor" provisions of the Private Securities Litigation Reform Act of 1995. Readers are cautioned that forward-looking statements contained in the Year 2000 discussion should be read in conjunction with the following disclosures of the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CAUTIONARY STATEMENTS CONCERNING FORWARD-LOOKING STATEMENTS</w:t>
      </w:r>
    </w:p>
    <w:p>
      <w:pPr>
        <w:spacing w:after="0" w:line="180" w:lineRule="exact"/>
        <w:rPr>
          <w:sz w:val="20"/>
          <w:szCs w:val="20"/>
          <w:color w:val="auto"/>
        </w:rPr>
      </w:pPr>
    </w:p>
    <w:p>
      <w:pPr>
        <w:ind w:right="3219" w:firstLine="545"/>
        <w:spacing w:after="0" w:line="246" w:lineRule="auto"/>
        <w:rPr>
          <w:sz w:val="20"/>
          <w:szCs w:val="20"/>
          <w:color w:val="auto"/>
        </w:rPr>
      </w:pPr>
      <w:r>
        <w:rPr>
          <w:rFonts w:ascii="Courier New" w:cs="Courier New" w:eastAsia="Courier New" w:hAnsi="Courier New"/>
          <w:sz w:val="15"/>
          <w:szCs w:val="15"/>
          <w:color w:val="auto"/>
        </w:rPr>
        <w:t>These forward-looking statements, which the company believes to be reasonable and are made in good faith, are subject to certain risks and uncertainties that could cause actual results to differ materially from those expressed in any forward-looking statement made by, or on behalf of, the company.</w:t>
      </w:r>
    </w:p>
    <w:p>
      <w:pPr>
        <w:sectPr>
          <w:pgSz w:w="11900" w:h="16838" w:orient="portrait"/>
          <w:cols w:equalWidth="0" w:num="1">
            <w:col w:w="10219"/>
          </w:cols>
          <w:pgMar w:left="240" w:top="29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18.</w:t>
      </w:r>
    </w:p>
    <w:p>
      <w:pPr>
        <w:spacing w:after="0" w:line="354"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Taking into account the foregoing, the following are identified as important risk factors that could cause actual results to differ materially from those expressed in any forward-looking statement made by, or on behalf of, the company:</w:t>
      </w:r>
    </w:p>
    <w:p>
      <w:pPr>
        <w:spacing w:after="0" w:line="177"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The dates on which the company believes its Year 2000 readiness project will be completed are based on management's best estimates, which were derived utilizing numerous assumptions of future events, including the continued availability of certain resources, third-party modification plans and other factors. Unanticipated failures by critical vendors, as well as a failure by the company to execute successfully its own remediation efforts, however, could have a material adverse effect on the costs associated with the Year 2000 readiness project and on its completion. Some important factors that might cause differences between the estimates and actual results include, but are not limited to, the availability and cost of personnel trained in these areas, the ability to locate and correct all relevant computer code, the timely and accurate responses to and correction by third-parties and suppliers, the ability to implement interfaces between the new systems and the systems not being replaced and similar uncertainties. Due to the general uncertainty inherent in the Year 2000 problem, the company cannot ensure its ability to timely and cost-effectively resolve problems associated with the Year 2000 issue that may affect its operations and business or expose it to third-party liability.</w:t>
      </w:r>
    </w:p>
    <w:p>
      <w:pPr>
        <w:sectPr>
          <w:pgSz w:w="11900" w:h="16838" w:orient="portrait"/>
          <w:cols w:equalWidth="0" w:num="1">
            <w:col w:w="10219"/>
          </w:cols>
          <w:pgMar w:left="240" w:top="29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 OTHER INFORMATION</w:t>
      </w:r>
    </w:p>
    <w:p>
      <w:pPr>
        <w:spacing w:after="0" w:line="18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0" w:lineRule="exact"/>
        <w:rPr>
          <w:sz w:val="20"/>
          <w:szCs w:val="20"/>
          <w:color w:val="auto"/>
        </w:rPr>
      </w:pPr>
    </w:p>
    <w:p>
      <w:pPr>
        <w:ind w:left="900" w:hanging="452"/>
        <w:spacing w:after="0"/>
        <w:tabs>
          <w:tab w:leader="none" w:pos="9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exhibits to this report: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5"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line="180" w:lineRule="exact"/>
        <w:rPr>
          <w:sz w:val="20"/>
          <w:szCs w:val="20"/>
          <w:color w:val="auto"/>
        </w:rPr>
      </w:pPr>
    </w:p>
    <w:p>
      <w:pPr>
        <w:ind w:left="900" w:right="6039" w:hanging="634"/>
        <w:spacing w:after="0" w:line="247"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 of Earnings Per Share of Common Stock</w:t>
      </w:r>
    </w:p>
    <w:p>
      <w:pPr>
        <w:spacing w:after="0" w:line="175" w:lineRule="exact"/>
        <w:rPr>
          <w:sz w:val="20"/>
          <w:szCs w:val="20"/>
          <w:color w:val="auto"/>
        </w:rPr>
      </w:pPr>
    </w:p>
    <w:p>
      <w:pPr>
        <w:ind w:left="900" w:hanging="634"/>
        <w:spacing w:after="0"/>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(Electronic Filing Only)</w:t>
      </w:r>
    </w:p>
    <w:p>
      <w:pPr>
        <w:spacing w:after="0" w:line="354" w:lineRule="exact"/>
        <w:rPr>
          <w:rFonts w:ascii="Courier New" w:cs="Courier New" w:eastAsia="Courier New" w:hAnsi="Courier New"/>
          <w:sz w:val="15"/>
          <w:szCs w:val="15"/>
          <w:color w:val="auto"/>
        </w:rPr>
      </w:pPr>
    </w:p>
    <w:p>
      <w:pPr>
        <w:ind w:left="900" w:right="3219" w:hanging="452"/>
        <w:spacing w:after="0" w:line="247" w:lineRule="auto"/>
        <w:tabs>
          <w:tab w:leader="none" w:pos="9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during the period covered by this report.</w:t>
      </w:r>
    </w:p>
    <w:p>
      <w:pPr>
        <w:sectPr>
          <w:pgSz w:w="11900" w:h="16838" w:orient="portrait"/>
          <w:cols w:equalWidth="0" w:num="1">
            <w:col w:w="10219"/>
          </w:cols>
          <w:pgMar w:left="240" w:top="29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35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329" w:lineRule="exact"/>
        <w:rPr>
          <w:sz w:val="20"/>
          <w:szCs w:val="20"/>
          <w:color w:val="auto"/>
        </w:rPr>
      </w:pPr>
    </w:p>
    <w:p>
      <w:pPr>
        <w:ind w:right="3139" w:firstLine="545"/>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WASHINGTON POST COMPANY</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jc w:val="both"/>
        <w:spacing w:after="0" w:line="247" w:lineRule="auto"/>
        <w:rPr>
          <w:sz w:val="20"/>
          <w:szCs w:val="20"/>
          <w:color w:val="auto"/>
        </w:rPr>
      </w:pPr>
      <w:r>
        <w:rPr>
          <w:rFonts w:ascii="Courier New" w:cs="Courier New" w:eastAsia="Courier New" w:hAnsi="Courier New"/>
          <w:sz w:val="15"/>
          <w:szCs w:val="15"/>
          <w:color w:val="auto"/>
        </w:rPr>
        <w:t>November 6, 1998 ----------------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Donald E. Graham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E. Graham, Chairman &amp;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Executive Officer)</w:t>
      </w:r>
    </w:p>
    <w:p>
      <w:pPr>
        <w:spacing w:after="0" w:line="200" w:lineRule="exact"/>
        <w:rPr>
          <w:sz w:val="20"/>
          <w:szCs w:val="20"/>
          <w:color w:val="auto"/>
        </w:rPr>
      </w:pPr>
    </w:p>
    <w:p>
      <w:pPr>
        <w:sectPr>
          <w:pgSz w:w="11900" w:h="16838" w:orient="portrait"/>
          <w:cols w:equalWidth="0" w:num="3">
            <w:col w:w="440" w:space="180"/>
            <w:col w:w="1460" w:space="640"/>
            <w:col w:w="7499"/>
          </w:cols>
          <w:pgMar w:left="240" w:top="293"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line="247" w:lineRule="auto"/>
        <w:rPr>
          <w:sz w:val="20"/>
          <w:szCs w:val="20"/>
          <w:color w:val="auto"/>
        </w:rPr>
      </w:pPr>
      <w:r>
        <w:rPr>
          <w:rFonts w:ascii="Courier New" w:cs="Courier New" w:eastAsia="Courier New" w:hAnsi="Courier New"/>
          <w:sz w:val="15"/>
          <w:szCs w:val="15"/>
          <w:color w:val="auto"/>
        </w:rPr>
        <w:t>November 6, 1998 -----------------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B. Morse,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B. Morse, Jr., Vice President-Finance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 Officer)</w:t>
      </w:r>
    </w:p>
    <w:p>
      <w:pPr>
        <w:sectPr>
          <w:pgSz w:w="11900" w:h="16838" w:orient="portrait"/>
          <w:cols w:equalWidth="0" w:num="3">
            <w:col w:w="440" w:space="180"/>
            <w:col w:w="1560" w:space="540"/>
            <w:col w:w="7499"/>
          </w:cols>
          <w:pgMar w:left="240" w:top="293" w:right="1440"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Exhibit 11</w:t>
            </w: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524"/>
        </w:trPr>
        <w:tc>
          <w:tcPr>
            <w:tcW w:w="5260" w:type="dxa"/>
            <w:vAlign w:val="bottom"/>
            <w:gridSpan w:val="2"/>
          </w:tcPr>
          <w:p>
            <w:pPr>
              <w:ind w:left="2540"/>
              <w:spacing w:after="0"/>
              <w:rPr>
                <w:sz w:val="20"/>
                <w:szCs w:val="20"/>
                <w:color w:val="auto"/>
              </w:rPr>
            </w:pPr>
            <w:r>
              <w:rPr>
                <w:rFonts w:ascii="Courier New" w:cs="Courier New" w:eastAsia="Courier New" w:hAnsi="Courier New"/>
                <w:sz w:val="15"/>
                <w:szCs w:val="15"/>
                <w:color w:val="auto"/>
              </w:rPr>
              <w:t>CALCULATION OF EARNINGS</w:t>
            </w:r>
          </w:p>
        </w:tc>
        <w:tc>
          <w:tcPr>
            <w:tcW w:w="2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5260" w:type="dxa"/>
            <w:vAlign w:val="bottom"/>
            <w:gridSpan w:val="2"/>
          </w:tcPr>
          <w:p>
            <w:pPr>
              <w:ind w:left="2440"/>
              <w:spacing w:after="0"/>
              <w:rPr>
                <w:sz w:val="20"/>
                <w:szCs w:val="20"/>
                <w:color w:val="auto"/>
              </w:rPr>
            </w:pPr>
            <w:r>
              <w:rPr>
                <w:rFonts w:ascii="Courier New" w:cs="Courier New" w:eastAsia="Courier New" w:hAnsi="Courier New"/>
                <w:sz w:val="15"/>
                <w:szCs w:val="15"/>
                <w:color w:val="auto"/>
              </w:rPr>
              <w:t>PER SHARE OF COMMON STOCK</w:t>
            </w:r>
          </w:p>
        </w:tc>
        <w:tc>
          <w:tcPr>
            <w:tcW w:w="20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5260" w:type="dxa"/>
            <w:vAlign w:val="bottom"/>
            <w:gridSpan w:val="2"/>
          </w:tcPr>
          <w:p>
            <w:pPr>
              <w:ind w:left="2440"/>
              <w:spacing w:after="0"/>
              <w:rPr>
                <w:sz w:val="20"/>
                <w:szCs w:val="20"/>
                <w:color w:val="auto"/>
              </w:rPr>
            </w:pPr>
            <w:r>
              <w:rPr>
                <w:rFonts w:ascii="Courier New" w:cs="Courier New" w:eastAsia="Courier New" w:hAnsi="Courier New"/>
                <w:sz w:val="15"/>
                <w:szCs w:val="15"/>
                <w:color w:val="auto"/>
              </w:rPr>
              <w:t>(In thousands of shares)</w:t>
            </w:r>
          </w:p>
        </w:tc>
        <w:tc>
          <w:tcPr>
            <w:tcW w:w="20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699"/>
        </w:trPr>
        <w:tc>
          <w:tcPr>
            <w:tcW w:w="3120" w:type="dxa"/>
            <w:vAlign w:val="bottom"/>
          </w:tcPr>
          <w:p>
            <w:pPr>
              <w:spacing w:after="0"/>
              <w:rPr>
                <w:sz w:val="24"/>
                <w:szCs w:val="24"/>
                <w:color w:val="auto"/>
              </w:rPr>
            </w:pPr>
          </w:p>
        </w:tc>
        <w:tc>
          <w:tcPr>
            <w:tcW w:w="4140" w:type="dxa"/>
            <w:vAlign w:val="bottom"/>
            <w:gridSpan w:val="2"/>
          </w:tcPr>
          <w:p>
            <w:pPr>
              <w:jc w:val="right"/>
              <w:ind w:right="1464"/>
              <w:spacing w:after="0"/>
              <w:rPr>
                <w:sz w:val="20"/>
                <w:szCs w:val="20"/>
                <w:color w:val="auto"/>
              </w:rPr>
            </w:pPr>
            <w:r>
              <w:rPr>
                <w:rFonts w:ascii="Courier New" w:cs="Courier New" w:eastAsia="Courier New" w:hAnsi="Courier New"/>
                <w:sz w:val="15"/>
                <w:szCs w:val="15"/>
                <w:color w:val="auto"/>
              </w:rPr>
              <w:t>Thirteen Weeks Ended</w:t>
            </w:r>
          </w:p>
        </w:tc>
        <w:tc>
          <w:tcPr>
            <w:tcW w:w="2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Thirty-nine Weeks Ended</w:t>
            </w:r>
          </w:p>
        </w:tc>
      </w:tr>
      <w:tr>
        <w:trPr>
          <w:trHeight w:val="175"/>
        </w:trPr>
        <w:tc>
          <w:tcPr>
            <w:tcW w:w="3120" w:type="dxa"/>
            <w:vAlign w:val="bottom"/>
          </w:tcPr>
          <w:p>
            <w:pPr>
              <w:spacing w:after="0"/>
              <w:rPr>
                <w:sz w:val="15"/>
                <w:szCs w:val="15"/>
                <w:color w:val="auto"/>
              </w:rPr>
            </w:pPr>
          </w:p>
        </w:tc>
        <w:tc>
          <w:tcPr>
            <w:tcW w:w="414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3120" w:type="dxa"/>
            <w:vAlign w:val="bottom"/>
          </w:tcPr>
          <w:p>
            <w:pPr>
              <w:spacing w:after="0"/>
              <w:rPr>
                <w:sz w:val="15"/>
                <w:szCs w:val="15"/>
                <w:color w:val="auto"/>
              </w:rPr>
            </w:pPr>
          </w:p>
        </w:tc>
        <w:tc>
          <w:tcPr>
            <w:tcW w:w="2140" w:type="dxa"/>
            <w:vAlign w:val="bottom"/>
          </w:tcPr>
          <w:p>
            <w:pPr>
              <w:ind w:left="420"/>
              <w:spacing w:after="0"/>
              <w:rPr>
                <w:sz w:val="20"/>
                <w:szCs w:val="20"/>
                <w:color w:val="auto"/>
              </w:rPr>
            </w:pPr>
            <w:r>
              <w:rPr>
                <w:rFonts w:ascii="Courier New" w:cs="Courier New" w:eastAsia="Courier New" w:hAnsi="Courier New"/>
                <w:sz w:val="15"/>
                <w:szCs w:val="15"/>
                <w:color w:val="auto"/>
              </w:rPr>
              <w:t>Sept 27,</w:t>
            </w:r>
          </w:p>
        </w:tc>
        <w:tc>
          <w:tcPr>
            <w:tcW w:w="200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Sept 28,</w:t>
            </w: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Sept 27,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Sept 28,</w:t>
            </w:r>
          </w:p>
        </w:tc>
      </w:tr>
      <w:tr>
        <w:trPr>
          <w:trHeight w:val="175"/>
        </w:trPr>
        <w:tc>
          <w:tcPr>
            <w:tcW w:w="3120" w:type="dxa"/>
            <w:vAlign w:val="bottom"/>
          </w:tcPr>
          <w:p>
            <w:pPr>
              <w:spacing w:after="0"/>
              <w:rPr>
                <w:sz w:val="15"/>
                <w:szCs w:val="15"/>
                <w:color w:val="auto"/>
              </w:rPr>
            </w:pPr>
          </w:p>
        </w:tc>
        <w:tc>
          <w:tcPr>
            <w:tcW w:w="21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1998</w:t>
            </w:r>
          </w:p>
        </w:tc>
        <w:tc>
          <w:tcPr>
            <w:tcW w:w="2000" w:type="dxa"/>
            <w:vAlign w:val="bottom"/>
          </w:tcPr>
          <w:p>
            <w:pPr>
              <w:jc w:val="right"/>
              <w:ind w:right="1184"/>
              <w:spacing w:after="0"/>
              <w:rPr>
                <w:sz w:val="20"/>
                <w:szCs w:val="20"/>
                <w:color w:val="auto"/>
              </w:rPr>
            </w:pPr>
            <w:r>
              <w:rPr>
                <w:rFonts w:ascii="Courier New" w:cs="Courier New" w:eastAsia="Courier New" w:hAnsi="Courier New"/>
                <w:sz w:val="15"/>
                <w:szCs w:val="15"/>
                <w:color w:val="auto"/>
              </w:rPr>
              <w:t>1997</w:t>
            </w:r>
          </w:p>
        </w:tc>
        <w:tc>
          <w:tcPr>
            <w:tcW w:w="14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120" w:type="dxa"/>
            <w:vAlign w:val="bottom"/>
          </w:tcPr>
          <w:p>
            <w:pPr>
              <w:spacing w:after="0"/>
              <w:rPr>
                <w:sz w:val="15"/>
                <w:szCs w:val="15"/>
                <w:color w:val="auto"/>
              </w:rPr>
            </w:pPr>
          </w:p>
        </w:tc>
        <w:tc>
          <w:tcPr>
            <w:tcW w:w="21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120" w:type="dxa"/>
            <w:vAlign w:val="bottom"/>
          </w:tcPr>
          <w:p>
            <w:pPr>
              <w:spacing w:after="0"/>
              <w:rPr>
                <w:sz w:val="20"/>
                <w:szCs w:val="20"/>
                <w:color w:val="auto"/>
              </w:rPr>
            </w:pPr>
            <w:r>
              <w:rPr>
                <w:rFonts w:ascii="Courier New" w:cs="Courier New" w:eastAsia="Courier New" w:hAnsi="Courier New"/>
                <w:sz w:val="15"/>
                <w:szCs w:val="15"/>
                <w:color w:val="auto"/>
              </w:rPr>
              <w:t>Number of shares of</w:t>
            </w:r>
          </w:p>
        </w:tc>
        <w:tc>
          <w:tcPr>
            <w:tcW w:w="2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Class A and Class B</w:t>
            </w:r>
          </w:p>
        </w:tc>
        <w:tc>
          <w:tcPr>
            <w:tcW w:w="2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Common stock outstanding</w:t>
            </w:r>
          </w:p>
        </w:tc>
        <w:tc>
          <w:tcPr>
            <w:tcW w:w="2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at beginning of</w:t>
            </w:r>
          </w:p>
        </w:tc>
        <w:tc>
          <w:tcPr>
            <w:tcW w:w="2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2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10,093</w:t>
            </w:r>
          </w:p>
        </w:tc>
        <w:tc>
          <w:tcPr>
            <w:tcW w:w="20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10,715</w:t>
            </w: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10,089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10,910</w:t>
            </w:r>
          </w:p>
        </w:tc>
      </w:tr>
      <w:tr>
        <w:trPr>
          <w:trHeight w:val="350"/>
        </w:trPr>
        <w:tc>
          <w:tcPr>
            <w:tcW w:w="3120" w:type="dxa"/>
            <w:vAlign w:val="bottom"/>
          </w:tcPr>
          <w:p>
            <w:pPr>
              <w:spacing w:after="0"/>
              <w:rPr>
                <w:sz w:val="20"/>
                <w:szCs w:val="20"/>
                <w:color w:val="auto"/>
              </w:rPr>
            </w:pPr>
            <w:r>
              <w:rPr>
                <w:rFonts w:ascii="Courier New" w:cs="Courier New" w:eastAsia="Courier New" w:hAnsi="Courier New"/>
                <w:sz w:val="15"/>
                <w:szCs w:val="15"/>
                <w:color w:val="auto"/>
              </w:rPr>
              <w:t>Issuance of shares of</w:t>
            </w:r>
          </w:p>
        </w:tc>
        <w:tc>
          <w:tcPr>
            <w:tcW w:w="2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Class B common stock</w:t>
            </w:r>
          </w:p>
        </w:tc>
        <w:tc>
          <w:tcPr>
            <w:tcW w:w="2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(weighted), net of</w:t>
            </w:r>
          </w:p>
        </w:tc>
        <w:tc>
          <w:tcPr>
            <w:tcW w:w="2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forfeiture of re-</w:t>
            </w:r>
          </w:p>
        </w:tc>
        <w:tc>
          <w:tcPr>
            <w:tcW w:w="2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stricted stock awards</w:t>
            </w:r>
          </w:p>
        </w:tc>
        <w:tc>
          <w:tcPr>
            <w:tcW w:w="2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w:t>
            </w:r>
          </w:p>
        </w:tc>
        <w:tc>
          <w:tcPr>
            <w:tcW w:w="20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12</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w:t>
            </w:r>
          </w:p>
        </w:tc>
      </w:tr>
      <w:tr>
        <w:trPr>
          <w:trHeight w:val="350"/>
        </w:trPr>
        <w:tc>
          <w:tcPr>
            <w:tcW w:w="3120" w:type="dxa"/>
            <w:vAlign w:val="bottom"/>
          </w:tcPr>
          <w:p>
            <w:pPr>
              <w:spacing w:after="0"/>
              <w:rPr>
                <w:sz w:val="20"/>
                <w:szCs w:val="20"/>
                <w:color w:val="auto"/>
              </w:rPr>
            </w:pPr>
            <w:r>
              <w:rPr>
                <w:rFonts w:ascii="Courier New" w:cs="Courier New" w:eastAsia="Courier New" w:hAnsi="Courier New"/>
                <w:sz w:val="15"/>
                <w:szCs w:val="15"/>
                <w:color w:val="auto"/>
              </w:rPr>
              <w:t>Repurchase of Class B</w:t>
            </w:r>
          </w:p>
        </w:tc>
        <w:tc>
          <w:tcPr>
            <w:tcW w:w="2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common stock (weighted)</w:t>
            </w:r>
          </w:p>
        </w:tc>
        <w:tc>
          <w:tcPr>
            <w:tcW w:w="2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w:t>
            </w:r>
          </w:p>
        </w:tc>
        <w:tc>
          <w:tcPr>
            <w:tcW w:w="200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(7)</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r>
      <w:tr>
        <w:trPr>
          <w:trHeight w:val="175"/>
        </w:trPr>
        <w:tc>
          <w:tcPr>
            <w:tcW w:w="3120" w:type="dxa"/>
            <w:vAlign w:val="bottom"/>
          </w:tcPr>
          <w:p>
            <w:pPr>
              <w:spacing w:after="0"/>
              <w:rPr>
                <w:sz w:val="15"/>
                <w:szCs w:val="15"/>
                <w:color w:val="auto"/>
              </w:rPr>
            </w:pPr>
          </w:p>
        </w:tc>
        <w:tc>
          <w:tcPr>
            <w:tcW w:w="2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120" w:type="dxa"/>
            <w:vAlign w:val="bottom"/>
          </w:tcPr>
          <w:p>
            <w:pPr>
              <w:spacing w:after="0"/>
              <w:rPr>
                <w:sz w:val="20"/>
                <w:szCs w:val="20"/>
                <w:color w:val="auto"/>
              </w:rPr>
            </w:pPr>
            <w:r>
              <w:rPr>
                <w:rFonts w:ascii="Courier New" w:cs="Courier New" w:eastAsia="Courier New" w:hAnsi="Courier New"/>
                <w:sz w:val="15"/>
                <w:szCs w:val="15"/>
                <w:color w:val="auto"/>
              </w:rPr>
              <w:t>Shares used in the computation</w:t>
            </w:r>
          </w:p>
        </w:tc>
        <w:tc>
          <w:tcPr>
            <w:tcW w:w="2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of basic earnings per share</w:t>
            </w:r>
          </w:p>
        </w:tc>
        <w:tc>
          <w:tcPr>
            <w:tcW w:w="2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10,093</w:t>
            </w:r>
          </w:p>
        </w:tc>
        <w:tc>
          <w:tcPr>
            <w:tcW w:w="20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10,708</w:t>
            </w: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10,088</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10,766</w:t>
            </w:r>
          </w:p>
        </w:tc>
      </w:tr>
      <w:tr>
        <w:trPr>
          <w:trHeight w:val="350"/>
        </w:trPr>
        <w:tc>
          <w:tcPr>
            <w:tcW w:w="3120" w:type="dxa"/>
            <w:vAlign w:val="bottom"/>
          </w:tcPr>
          <w:p>
            <w:pPr>
              <w:spacing w:after="0"/>
              <w:rPr>
                <w:sz w:val="20"/>
                <w:szCs w:val="20"/>
                <w:color w:val="auto"/>
              </w:rPr>
            </w:pPr>
            <w:r>
              <w:rPr>
                <w:rFonts w:ascii="Courier New" w:cs="Courier New" w:eastAsia="Courier New" w:hAnsi="Courier New"/>
                <w:sz w:val="15"/>
                <w:szCs w:val="15"/>
                <w:color w:val="auto"/>
              </w:rPr>
              <w:t>Adjustment to reflect</w:t>
            </w:r>
          </w:p>
        </w:tc>
        <w:tc>
          <w:tcPr>
            <w:tcW w:w="2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dilution from common stock</w:t>
            </w:r>
          </w:p>
        </w:tc>
        <w:tc>
          <w:tcPr>
            <w:tcW w:w="2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equivalents</w:t>
            </w:r>
          </w:p>
        </w:tc>
        <w:tc>
          <w:tcPr>
            <w:tcW w:w="2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46</w:t>
            </w:r>
          </w:p>
        </w:tc>
        <w:tc>
          <w:tcPr>
            <w:tcW w:w="20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35</w:t>
            </w: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44</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w:t>
            </w:r>
          </w:p>
        </w:tc>
      </w:tr>
      <w:tr>
        <w:trPr>
          <w:trHeight w:val="175"/>
        </w:trPr>
        <w:tc>
          <w:tcPr>
            <w:tcW w:w="3120" w:type="dxa"/>
            <w:vAlign w:val="bottom"/>
          </w:tcPr>
          <w:p>
            <w:pPr>
              <w:spacing w:after="0"/>
              <w:rPr>
                <w:sz w:val="15"/>
                <w:szCs w:val="15"/>
                <w:color w:val="auto"/>
              </w:rPr>
            </w:pPr>
          </w:p>
        </w:tc>
        <w:tc>
          <w:tcPr>
            <w:tcW w:w="2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120" w:type="dxa"/>
            <w:vAlign w:val="bottom"/>
          </w:tcPr>
          <w:p>
            <w:pPr>
              <w:spacing w:after="0"/>
              <w:rPr>
                <w:sz w:val="20"/>
                <w:szCs w:val="20"/>
                <w:color w:val="auto"/>
              </w:rPr>
            </w:pPr>
            <w:r>
              <w:rPr>
                <w:rFonts w:ascii="Courier New" w:cs="Courier New" w:eastAsia="Courier New" w:hAnsi="Courier New"/>
                <w:sz w:val="15"/>
                <w:szCs w:val="15"/>
                <w:color w:val="auto"/>
              </w:rPr>
              <w:t>Shares used in the computation</w:t>
            </w:r>
          </w:p>
        </w:tc>
        <w:tc>
          <w:tcPr>
            <w:tcW w:w="2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Of diluted earnings per share</w:t>
            </w:r>
          </w:p>
        </w:tc>
        <w:tc>
          <w:tcPr>
            <w:tcW w:w="2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10,139</w:t>
            </w:r>
          </w:p>
        </w:tc>
        <w:tc>
          <w:tcPr>
            <w:tcW w:w="20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10,743</w:t>
            </w: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10,132</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10,794</w:t>
            </w:r>
          </w:p>
        </w:tc>
      </w:tr>
      <w:tr>
        <w:trPr>
          <w:trHeight w:val="175"/>
        </w:trPr>
        <w:tc>
          <w:tcPr>
            <w:tcW w:w="3120" w:type="dxa"/>
            <w:vAlign w:val="bottom"/>
          </w:tcPr>
          <w:p>
            <w:pPr>
              <w:spacing w:after="0"/>
              <w:rPr>
                <w:sz w:val="15"/>
                <w:szCs w:val="15"/>
                <w:color w:val="auto"/>
              </w:rPr>
            </w:pPr>
          </w:p>
        </w:tc>
        <w:tc>
          <w:tcPr>
            <w:tcW w:w="2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120" w:type="dxa"/>
            <w:vAlign w:val="bottom"/>
          </w:tcPr>
          <w:p>
            <w:pPr>
              <w:spacing w:after="0"/>
              <w:rPr>
                <w:sz w:val="20"/>
                <w:szCs w:val="20"/>
                <w:color w:val="auto"/>
              </w:rPr>
            </w:pPr>
            <w:r>
              <w:rPr>
                <w:rFonts w:ascii="Courier New" w:cs="Courier New" w:eastAsia="Courier New" w:hAnsi="Courier New"/>
                <w:sz w:val="15"/>
                <w:szCs w:val="15"/>
                <w:color w:val="auto"/>
              </w:rPr>
              <w:t>Net income available for</w:t>
            </w:r>
          </w:p>
        </w:tc>
        <w:tc>
          <w:tcPr>
            <w:tcW w:w="2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common shares</w:t>
            </w:r>
          </w:p>
        </w:tc>
        <w:tc>
          <w:tcPr>
            <w:tcW w:w="2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$81,609</w:t>
            </w:r>
          </w:p>
        </w:tc>
        <w:tc>
          <w:tcPr>
            <w:tcW w:w="20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$71,312</w:t>
            </w: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9"/>
              </w:rPr>
              <w:t>$352,548</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$189,646</w:t>
            </w:r>
          </w:p>
        </w:tc>
      </w:tr>
      <w:tr>
        <w:trPr>
          <w:trHeight w:val="175"/>
        </w:trPr>
        <w:tc>
          <w:tcPr>
            <w:tcW w:w="3120" w:type="dxa"/>
            <w:vAlign w:val="bottom"/>
          </w:tcPr>
          <w:p>
            <w:pPr>
              <w:spacing w:after="0"/>
              <w:rPr>
                <w:sz w:val="15"/>
                <w:szCs w:val="15"/>
                <w:color w:val="auto"/>
              </w:rPr>
            </w:pPr>
          </w:p>
        </w:tc>
        <w:tc>
          <w:tcPr>
            <w:tcW w:w="2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120" w:type="dxa"/>
            <w:vAlign w:val="bottom"/>
          </w:tcPr>
          <w:p>
            <w:pPr>
              <w:spacing w:after="0"/>
              <w:rPr>
                <w:sz w:val="20"/>
                <w:szCs w:val="20"/>
                <w:color w:val="auto"/>
              </w:rPr>
            </w:pPr>
            <w:r>
              <w:rPr>
                <w:rFonts w:ascii="Courier New" w:cs="Courier New" w:eastAsia="Courier New" w:hAnsi="Courier New"/>
                <w:sz w:val="15"/>
                <w:szCs w:val="15"/>
                <w:color w:val="auto"/>
              </w:rPr>
              <w:t>Basic earnings per common</w:t>
            </w:r>
          </w:p>
        </w:tc>
        <w:tc>
          <w:tcPr>
            <w:tcW w:w="2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share</w:t>
            </w:r>
          </w:p>
        </w:tc>
        <w:tc>
          <w:tcPr>
            <w:tcW w:w="2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$8.09</w:t>
            </w:r>
          </w:p>
        </w:tc>
        <w:tc>
          <w:tcPr>
            <w:tcW w:w="20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$ 6.66</w:t>
            </w: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$34.95</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$17.62</w:t>
            </w:r>
          </w:p>
        </w:tc>
      </w:tr>
      <w:tr>
        <w:trPr>
          <w:trHeight w:val="175"/>
        </w:trPr>
        <w:tc>
          <w:tcPr>
            <w:tcW w:w="3120" w:type="dxa"/>
            <w:vAlign w:val="bottom"/>
          </w:tcPr>
          <w:p>
            <w:pPr>
              <w:spacing w:after="0"/>
              <w:rPr>
                <w:sz w:val="15"/>
                <w:szCs w:val="15"/>
                <w:color w:val="auto"/>
              </w:rPr>
            </w:pPr>
          </w:p>
        </w:tc>
        <w:tc>
          <w:tcPr>
            <w:tcW w:w="2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3120" w:type="dxa"/>
            <w:vAlign w:val="bottom"/>
          </w:tcPr>
          <w:p>
            <w:pPr>
              <w:spacing w:after="0"/>
              <w:rPr>
                <w:sz w:val="20"/>
                <w:szCs w:val="20"/>
                <w:color w:val="auto"/>
              </w:rPr>
            </w:pPr>
            <w:r>
              <w:rPr>
                <w:rFonts w:ascii="Courier New" w:cs="Courier New" w:eastAsia="Courier New" w:hAnsi="Courier New"/>
                <w:sz w:val="15"/>
                <w:szCs w:val="15"/>
                <w:color w:val="auto"/>
              </w:rPr>
              <w:t>Diluted earnings</w:t>
            </w:r>
          </w:p>
        </w:tc>
        <w:tc>
          <w:tcPr>
            <w:tcW w:w="2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per common share</w:t>
            </w:r>
          </w:p>
        </w:tc>
        <w:tc>
          <w:tcPr>
            <w:tcW w:w="2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$8.05</w:t>
            </w:r>
          </w:p>
        </w:tc>
        <w:tc>
          <w:tcPr>
            <w:tcW w:w="20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$ 6.64</w:t>
            </w: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$34.79</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$17.57</w:t>
            </w:r>
          </w:p>
        </w:tc>
      </w:tr>
      <w:tr>
        <w:trPr>
          <w:trHeight w:val="175"/>
        </w:trPr>
        <w:tc>
          <w:tcPr>
            <w:tcW w:w="3120" w:type="dxa"/>
            <w:vAlign w:val="bottom"/>
          </w:tcPr>
          <w:p>
            <w:pPr>
              <w:spacing w:after="0"/>
              <w:rPr>
                <w:sz w:val="15"/>
                <w:szCs w:val="15"/>
                <w:color w:val="auto"/>
              </w:rPr>
            </w:pPr>
          </w:p>
        </w:tc>
        <w:tc>
          <w:tcPr>
            <w:tcW w:w="2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141" w:right="1440" w:bottom="1440" w:gutter="0" w:footer="0" w:header="0"/>
        </w:sectPr>
      </w:pPr>
    </w:p>
    <w:bookmarkStart w:id="21" w:name="page22"/>
    <w:bookmarkEnd w:id="21"/>
    <w:p>
      <w:pPr>
        <w:ind w:left="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right="3019"/>
        <w:spacing w:after="0" w:line="246"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Condensed Consolidated Statement of Income for the thirty-nine weeks ended September 27, 1998 and the Condensed Consolidated Balance Sheet as of September 27, 1998 and is qualified in its entirety by reference to such financial statements.</w:t>
      </w:r>
    </w:p>
    <w:p>
      <w:pPr>
        <w:spacing w:after="0" w:line="178"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5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9-MOS</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JAN-3-1999</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SEP-27-1998</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4,517</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319,620</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53,177</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26,525</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320,403</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1,418,713</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625,587</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2,505,426</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728,927</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11,873</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20,000</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1,451,111</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2,505,426</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1,518,994</w:t>
      </w:r>
    </w:p>
    <w:p>
      <w:pPr>
        <w:spacing w:after="0" w:line="5"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822,226</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50,069</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4,821</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569,004</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215,500</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353,504</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353,504</w:t>
      </w:r>
    </w:p>
    <w:p>
      <w:pPr>
        <w:spacing w:after="0" w:line="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34.95</w:t>
      </w:r>
    </w:p>
    <w:p>
      <w:pPr>
        <w:spacing w:after="0" w:line="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34.79</w:t>
      </w:r>
    </w:p>
    <w:sectPr>
      <w:pgSz w:w="11900" w:h="16838" w:orient="portrait"/>
      <w:cols w:equalWidth="0" w:num="1">
        <w:col w:w="10199"/>
      </w:cols>
      <w:pgMar w:left="260" w:top="4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2)"/>
      <w:numFmt w:val="decimal"/>
      <w:start w:val="202"/>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decimal"/>
      <w:start w:val="11"/>
    </w:lvl>
  </w:abstractNum>
  <w:abstractNum w:abstractNumId="6">
    <w:nsid w:val="41B71EFB"/>
    <w:multiLevelType w:val="hybridMultilevel"/>
    <w:lvl w:ilvl="0">
      <w:lvlJc w:val="left"/>
      <w:lvlText w:val="%1"/>
      <w:numFmt w:val="decimal"/>
      <w:start w:val="27"/>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2019-12-13T08:11:47Z</dcterms:created>
  <dcterms:modified xsi:type="dcterms:W3CDTF">2019-12-13T08:11:47Z</dcterms:modified>
</cp:coreProperties>
</file>