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t>SECURITIES AND EXCHANGE COMMISSION</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158750</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15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Quarterly Report Pursuant to Section 13 or 15(d)</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2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29, 2003</w:t>
      </w:r>
    </w:p>
    <w:p>
      <w:pPr>
        <w:spacing w:after="0" w:line="15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1-6714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177800</wp:posOffset>
            </wp:positionV>
            <wp:extent cx="1243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8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THE WASHINGTON POST COMPANY</w:t>
      </w:r>
    </w:p>
    <w:p>
      <w:pPr>
        <w:spacing w:after="0" w:line="50" w:lineRule="exact"/>
        <w:rPr>
          <w:sz w:val="24"/>
          <w:szCs w:val="24"/>
          <w:color w:val="auto"/>
        </w:rPr>
      </w:pPr>
    </w:p>
    <w:tbl>
      <w:tblPr>
        <w:tblLayout w:type="fixed"/>
        <w:tblInd w:w="1660" w:type="dxa"/>
        <w:tblCellMar>
          <w:top w:w="0" w:type="dxa"/>
          <w:left w:w="0" w:type="dxa"/>
          <w:bottom w:w="0" w:type="dxa"/>
          <w:right w:w="0" w:type="dxa"/>
        </w:tblCellMar>
      </w:tblPr>
      <w:tr>
        <w:trPr>
          <w:trHeight w:val="174"/>
        </w:trPr>
        <w:tc>
          <w:tcPr>
            <w:tcW w:w="2380" w:type="dxa"/>
            <w:vAlign w:val="bottom"/>
          </w:tcPr>
          <w:p>
            <w:pPr>
              <w:spacing w:after="0"/>
              <w:rPr>
                <w:sz w:val="15"/>
                <w:szCs w:val="15"/>
                <w:color w:val="auto"/>
              </w:rPr>
            </w:pPr>
          </w:p>
        </w:tc>
        <w:tc>
          <w:tcPr>
            <w:tcW w:w="5140" w:type="dxa"/>
            <w:vAlign w:val="bottom"/>
          </w:tcPr>
          <w:p>
            <w:pPr>
              <w:jc w:val="center"/>
              <w:ind w:right="1725"/>
              <w:spacing w:after="0"/>
              <w:rPr>
                <w:sz w:val="20"/>
                <w:szCs w:val="20"/>
                <w:color w:val="auto"/>
              </w:rPr>
            </w:pPr>
            <w:r>
              <w:rPr>
                <w:rFonts w:ascii="Arial" w:cs="Arial" w:eastAsia="Arial" w:hAnsi="Arial"/>
                <w:sz w:val="14"/>
                <w:szCs w:val="14"/>
                <w:b w:val="1"/>
                <w:bCs w:val="1"/>
                <w:color w:val="auto"/>
                <w:w w:val="86"/>
              </w:rPr>
              <w:t>(Exact name of registrant as specified in its charter)</w:t>
            </w:r>
          </w:p>
        </w:tc>
      </w:tr>
      <w:tr>
        <w:trPr>
          <w:trHeight w:val="325"/>
        </w:trPr>
        <w:tc>
          <w:tcPr>
            <w:tcW w:w="2380" w:type="dxa"/>
            <w:vAlign w:val="bottom"/>
          </w:tcPr>
          <w:p>
            <w:pPr>
              <w:jc w:val="center"/>
              <w:ind w:right="82"/>
              <w:spacing w:after="0"/>
              <w:rPr>
                <w:sz w:val="20"/>
                <w:szCs w:val="20"/>
                <w:color w:val="auto"/>
              </w:rPr>
            </w:pPr>
            <w:r>
              <w:rPr>
                <w:rFonts w:ascii="Arial" w:cs="Arial" w:eastAsia="Arial" w:hAnsi="Arial"/>
                <w:sz w:val="18"/>
                <w:szCs w:val="18"/>
                <w:b w:val="1"/>
                <w:bCs w:val="1"/>
                <w:color w:val="auto"/>
                <w:w w:val="88"/>
              </w:rPr>
              <w:t>Delaware</w:t>
            </w:r>
          </w:p>
        </w:tc>
        <w:tc>
          <w:tcPr>
            <w:tcW w:w="5140" w:type="dxa"/>
            <w:vAlign w:val="bottom"/>
          </w:tcPr>
          <w:p>
            <w:pPr>
              <w:jc w:val="right"/>
              <w:ind w:right="45"/>
              <w:spacing w:after="0"/>
              <w:rPr>
                <w:sz w:val="20"/>
                <w:szCs w:val="20"/>
                <w:color w:val="auto"/>
              </w:rPr>
            </w:pPr>
            <w:r>
              <w:rPr>
                <w:rFonts w:ascii="Arial" w:cs="Arial" w:eastAsia="Arial" w:hAnsi="Arial"/>
                <w:sz w:val="18"/>
                <w:szCs w:val="18"/>
                <w:b w:val="1"/>
                <w:bCs w:val="1"/>
                <w:color w:val="auto"/>
              </w:rPr>
              <w:t>53-0182885</w:t>
            </w:r>
          </w:p>
        </w:tc>
      </w:tr>
      <w:tr>
        <w:trPr>
          <w:trHeight w:val="149"/>
        </w:trPr>
        <w:tc>
          <w:tcPr>
            <w:tcW w:w="2380" w:type="dxa"/>
            <w:vAlign w:val="bottom"/>
          </w:tcPr>
          <w:p>
            <w:pPr>
              <w:jc w:val="center"/>
              <w:ind w:right="82"/>
              <w:spacing w:after="0" w:line="149" w:lineRule="exact"/>
              <w:rPr>
                <w:sz w:val="20"/>
                <w:szCs w:val="20"/>
                <w:color w:val="auto"/>
              </w:rPr>
            </w:pPr>
            <w:r>
              <w:rPr>
                <w:rFonts w:ascii="Arial" w:cs="Arial" w:eastAsia="Arial" w:hAnsi="Arial"/>
                <w:sz w:val="14"/>
                <w:szCs w:val="14"/>
                <w:b w:val="1"/>
                <w:bCs w:val="1"/>
                <w:color w:val="auto"/>
                <w:w w:val="88"/>
              </w:rPr>
              <w:t>(State or other jurisdiction of</w:t>
            </w:r>
          </w:p>
        </w:tc>
        <w:tc>
          <w:tcPr>
            <w:tcW w:w="5140" w:type="dxa"/>
            <w:vAlign w:val="bottom"/>
          </w:tcPr>
          <w:p>
            <w:pPr>
              <w:jc w:val="center"/>
              <w:ind w:left="4005"/>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2380" w:type="dxa"/>
            <w:vAlign w:val="bottom"/>
          </w:tcPr>
          <w:p>
            <w:pPr>
              <w:jc w:val="center"/>
              <w:ind w:right="82"/>
              <w:spacing w:after="0"/>
              <w:rPr>
                <w:sz w:val="20"/>
                <w:szCs w:val="20"/>
                <w:color w:val="auto"/>
              </w:rPr>
            </w:pPr>
            <w:r>
              <w:rPr>
                <w:rFonts w:ascii="Arial" w:cs="Arial" w:eastAsia="Arial" w:hAnsi="Arial"/>
                <w:sz w:val="14"/>
                <w:szCs w:val="14"/>
                <w:b w:val="1"/>
                <w:bCs w:val="1"/>
                <w:color w:val="auto"/>
                <w:w w:val="89"/>
              </w:rPr>
              <w:t>incorporation or organization)</w:t>
            </w:r>
          </w:p>
        </w:tc>
        <w:tc>
          <w:tcPr>
            <w:tcW w:w="5140" w:type="dxa"/>
            <w:vAlign w:val="bottom"/>
          </w:tcPr>
          <w:p>
            <w:pPr>
              <w:jc w:val="center"/>
              <w:ind w:left="4005"/>
              <w:spacing w:after="0"/>
              <w:rPr>
                <w:sz w:val="20"/>
                <w:szCs w:val="20"/>
                <w:color w:val="auto"/>
              </w:rPr>
            </w:pPr>
            <w:r>
              <w:rPr>
                <w:rFonts w:ascii="Arial" w:cs="Arial" w:eastAsia="Arial" w:hAnsi="Arial"/>
                <w:sz w:val="14"/>
                <w:szCs w:val="14"/>
                <w:b w:val="1"/>
                <w:bCs w:val="1"/>
                <w:color w:val="auto"/>
                <w:w w:val="89"/>
              </w:rPr>
              <w:t>Identification No.)</w:t>
            </w:r>
          </w:p>
        </w:tc>
      </w:tr>
      <w:tr>
        <w:trPr>
          <w:trHeight w:val="297"/>
        </w:trPr>
        <w:tc>
          <w:tcPr>
            <w:tcW w:w="2380" w:type="dxa"/>
            <w:vAlign w:val="bottom"/>
          </w:tcPr>
          <w:p>
            <w:pPr>
              <w:jc w:val="center"/>
              <w:ind w:right="82"/>
              <w:spacing w:after="0"/>
              <w:rPr>
                <w:sz w:val="20"/>
                <w:szCs w:val="20"/>
                <w:color w:val="auto"/>
              </w:rPr>
            </w:pPr>
            <w:r>
              <w:rPr>
                <w:rFonts w:ascii="Arial" w:cs="Arial" w:eastAsia="Arial" w:hAnsi="Arial"/>
                <w:sz w:val="18"/>
                <w:szCs w:val="18"/>
                <w:b w:val="1"/>
                <w:bCs w:val="1"/>
                <w:color w:val="auto"/>
                <w:w w:val="88"/>
              </w:rPr>
              <w:t>1150 15th Street, N.W.</w:t>
            </w:r>
          </w:p>
        </w:tc>
        <w:tc>
          <w:tcPr>
            <w:tcW w:w="5140" w:type="dxa"/>
            <w:vAlign w:val="bottom"/>
          </w:tcPr>
          <w:p>
            <w:pPr>
              <w:spacing w:after="0"/>
              <w:rPr>
                <w:sz w:val="24"/>
                <w:szCs w:val="24"/>
                <w:color w:val="auto"/>
              </w:rPr>
            </w:pPr>
          </w:p>
        </w:tc>
      </w:tr>
      <w:tr>
        <w:trPr>
          <w:trHeight w:val="218"/>
        </w:trPr>
        <w:tc>
          <w:tcPr>
            <w:tcW w:w="2380" w:type="dxa"/>
            <w:vAlign w:val="bottom"/>
          </w:tcPr>
          <w:p>
            <w:pPr>
              <w:jc w:val="center"/>
              <w:ind w:right="82"/>
              <w:spacing w:after="0"/>
              <w:rPr>
                <w:sz w:val="20"/>
                <w:szCs w:val="20"/>
                <w:color w:val="auto"/>
              </w:rPr>
            </w:pPr>
            <w:r>
              <w:rPr>
                <w:rFonts w:ascii="Arial" w:cs="Arial" w:eastAsia="Arial" w:hAnsi="Arial"/>
                <w:sz w:val="18"/>
                <w:szCs w:val="18"/>
                <w:b w:val="1"/>
                <w:bCs w:val="1"/>
                <w:color w:val="auto"/>
                <w:w w:val="89"/>
              </w:rPr>
              <w:t>Washington, D.C.</w:t>
            </w:r>
          </w:p>
        </w:tc>
        <w:tc>
          <w:tcPr>
            <w:tcW w:w="5140" w:type="dxa"/>
            <w:vAlign w:val="bottom"/>
          </w:tcPr>
          <w:p>
            <w:pPr>
              <w:jc w:val="right"/>
              <w:ind w:right="245"/>
              <w:spacing w:after="0"/>
              <w:rPr>
                <w:sz w:val="20"/>
                <w:szCs w:val="20"/>
                <w:color w:val="auto"/>
              </w:rPr>
            </w:pPr>
            <w:r>
              <w:rPr>
                <w:rFonts w:ascii="Arial" w:cs="Arial" w:eastAsia="Arial" w:hAnsi="Arial"/>
                <w:sz w:val="18"/>
                <w:szCs w:val="18"/>
                <w:b w:val="1"/>
                <w:bCs w:val="1"/>
                <w:color w:val="auto"/>
              </w:rPr>
              <w:t>20071</w:t>
            </w:r>
          </w:p>
        </w:tc>
      </w:tr>
      <w:tr>
        <w:trPr>
          <w:trHeight w:val="174"/>
        </w:trPr>
        <w:tc>
          <w:tcPr>
            <w:tcW w:w="2380" w:type="dxa"/>
            <w:vAlign w:val="bottom"/>
          </w:tcPr>
          <w:p>
            <w:pPr>
              <w:jc w:val="center"/>
              <w:ind w:right="82"/>
              <w:spacing w:after="0"/>
              <w:rPr>
                <w:sz w:val="20"/>
                <w:szCs w:val="20"/>
                <w:color w:val="auto"/>
              </w:rPr>
            </w:pPr>
            <w:r>
              <w:rPr>
                <w:rFonts w:ascii="Arial" w:cs="Arial" w:eastAsia="Arial" w:hAnsi="Arial"/>
                <w:sz w:val="14"/>
                <w:szCs w:val="14"/>
                <w:b w:val="1"/>
                <w:bCs w:val="1"/>
                <w:color w:val="auto"/>
                <w:w w:val="84"/>
              </w:rPr>
              <w:t>(Address of principal executive offices)</w:t>
            </w:r>
          </w:p>
        </w:tc>
        <w:tc>
          <w:tcPr>
            <w:tcW w:w="5140" w:type="dxa"/>
            <w:vAlign w:val="bottom"/>
          </w:tcPr>
          <w:p>
            <w:pPr>
              <w:jc w:val="center"/>
              <w:ind w:left="4005"/>
              <w:spacing w:after="0"/>
              <w:rPr>
                <w:sz w:val="20"/>
                <w:szCs w:val="20"/>
                <w:color w:val="auto"/>
              </w:rPr>
            </w:pPr>
            <w:r>
              <w:rPr>
                <w:rFonts w:ascii="Arial" w:cs="Arial" w:eastAsia="Arial" w:hAnsi="Arial"/>
                <w:sz w:val="14"/>
                <w:szCs w:val="14"/>
                <w:b w:val="1"/>
                <w:bCs w:val="1"/>
                <w:color w:val="auto"/>
                <w:w w:val="89"/>
              </w:rPr>
              <w:t>(Zip Code)</w:t>
            </w:r>
          </w:p>
        </w:tc>
      </w:tr>
      <w:tr>
        <w:trPr>
          <w:trHeight w:val="339"/>
        </w:trPr>
        <w:tc>
          <w:tcPr>
            <w:tcW w:w="2380" w:type="dxa"/>
            <w:vAlign w:val="bottom"/>
          </w:tcPr>
          <w:p>
            <w:pPr>
              <w:spacing w:after="0"/>
              <w:rPr>
                <w:sz w:val="24"/>
                <w:szCs w:val="24"/>
                <w:color w:val="auto"/>
              </w:rPr>
            </w:pPr>
          </w:p>
        </w:tc>
        <w:tc>
          <w:tcPr>
            <w:tcW w:w="5140" w:type="dxa"/>
            <w:vAlign w:val="bottom"/>
          </w:tcPr>
          <w:p>
            <w:pPr>
              <w:jc w:val="center"/>
              <w:ind w:right="1725"/>
              <w:spacing w:after="0"/>
              <w:rPr>
                <w:sz w:val="20"/>
                <w:szCs w:val="20"/>
                <w:color w:val="auto"/>
              </w:rPr>
            </w:pPr>
            <w:r>
              <w:rPr>
                <w:rFonts w:ascii="Arial" w:cs="Arial" w:eastAsia="Arial" w:hAnsi="Arial"/>
                <w:sz w:val="18"/>
                <w:szCs w:val="18"/>
                <w:b w:val="1"/>
                <w:bCs w:val="1"/>
                <w:color w:val="auto"/>
                <w:w w:val="89"/>
              </w:rPr>
              <w:t>(202) 334-6000</w:t>
            </w:r>
          </w:p>
        </w:tc>
      </w:tr>
      <w:tr>
        <w:trPr>
          <w:trHeight w:val="174"/>
        </w:trPr>
        <w:tc>
          <w:tcPr>
            <w:tcW w:w="2380" w:type="dxa"/>
            <w:vAlign w:val="bottom"/>
          </w:tcPr>
          <w:p>
            <w:pPr>
              <w:spacing w:after="0"/>
              <w:rPr>
                <w:sz w:val="15"/>
                <w:szCs w:val="15"/>
                <w:color w:val="auto"/>
              </w:rPr>
            </w:pPr>
          </w:p>
        </w:tc>
        <w:tc>
          <w:tcPr>
            <w:tcW w:w="5140" w:type="dxa"/>
            <w:vAlign w:val="bottom"/>
          </w:tcPr>
          <w:p>
            <w:pPr>
              <w:jc w:val="center"/>
              <w:ind w:right="1725"/>
              <w:spacing w:after="0"/>
              <w:rPr>
                <w:sz w:val="20"/>
                <w:szCs w:val="20"/>
                <w:color w:val="auto"/>
              </w:rPr>
            </w:pPr>
            <w:r>
              <w:rPr>
                <w:rFonts w:ascii="Arial" w:cs="Arial" w:eastAsia="Arial" w:hAnsi="Arial"/>
                <w:sz w:val="14"/>
                <w:szCs w:val="14"/>
                <w:b w:val="1"/>
                <w:bCs w:val="1"/>
                <w:color w:val="auto"/>
                <w:w w:val="86"/>
              </w:rPr>
              <w:t>(Registrant’s telephone number, including area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154940</wp:posOffset>
            </wp:positionV>
            <wp:extent cx="1243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85" w:lineRule="exact"/>
        <w:rPr>
          <w:sz w:val="24"/>
          <w:szCs w:val="24"/>
          <w:color w:val="auto"/>
        </w:rPr>
      </w:pPr>
    </w:p>
    <w:p>
      <w:pPr>
        <w:ind w:right="28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24"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5820" w:type="dxa"/>
            <w:vAlign w:val="bottom"/>
          </w:tcPr>
          <w:p>
            <w:pPr>
              <w:ind w:left="460"/>
              <w:spacing w:after="0"/>
              <w:rPr>
                <w:sz w:val="20"/>
                <w:szCs w:val="20"/>
                <w:color w:val="auto"/>
              </w:rPr>
            </w:pPr>
            <w:r>
              <w:rPr>
                <w:rFonts w:ascii="Arial" w:cs="Arial" w:eastAsia="Arial" w:hAnsi="Arial"/>
                <w:sz w:val="18"/>
                <w:szCs w:val="18"/>
                <w:color w:val="auto"/>
              </w:rPr>
              <w:t>Shares outstanding at July 28, 2003:</w:t>
            </w:r>
          </w:p>
        </w:tc>
        <w:tc>
          <w:tcPr>
            <w:tcW w:w="5600" w:type="dxa"/>
            <w:vAlign w:val="bottom"/>
          </w:tcPr>
          <w:p>
            <w:pPr>
              <w:spacing w:after="0"/>
              <w:rPr>
                <w:sz w:val="19"/>
                <w:szCs w:val="19"/>
                <w:color w:val="auto"/>
              </w:rPr>
            </w:pPr>
          </w:p>
        </w:tc>
      </w:tr>
      <w:tr>
        <w:trPr>
          <w:trHeight w:val="358"/>
        </w:trPr>
        <w:tc>
          <w:tcPr>
            <w:tcW w:w="5820" w:type="dxa"/>
            <w:vAlign w:val="bottom"/>
          </w:tcPr>
          <w:p>
            <w:pPr>
              <w:ind w:left="1920"/>
              <w:spacing w:after="0"/>
              <w:rPr>
                <w:sz w:val="20"/>
                <w:szCs w:val="20"/>
                <w:color w:val="auto"/>
              </w:rPr>
            </w:pPr>
            <w:r>
              <w:rPr>
                <w:rFonts w:ascii="Arial" w:cs="Arial" w:eastAsia="Arial" w:hAnsi="Arial"/>
                <w:sz w:val="18"/>
                <w:szCs w:val="18"/>
                <w:color w:val="auto"/>
              </w:rPr>
              <w:t>Class A Common Stock</w:t>
            </w:r>
          </w:p>
        </w:tc>
        <w:tc>
          <w:tcPr>
            <w:tcW w:w="5600" w:type="dxa"/>
            <w:vAlign w:val="bottom"/>
          </w:tcPr>
          <w:p>
            <w:pPr>
              <w:ind w:left="2220"/>
              <w:spacing w:after="0"/>
              <w:rPr>
                <w:sz w:val="20"/>
                <w:szCs w:val="20"/>
                <w:color w:val="auto"/>
              </w:rPr>
            </w:pPr>
            <w:r>
              <w:rPr>
                <w:rFonts w:ascii="Arial" w:cs="Arial" w:eastAsia="Arial" w:hAnsi="Arial"/>
                <w:sz w:val="18"/>
                <w:szCs w:val="18"/>
                <w:color w:val="auto"/>
              </w:rPr>
              <w:t>1,722,250 Shares</w:t>
            </w:r>
          </w:p>
        </w:tc>
      </w:tr>
      <w:tr>
        <w:trPr>
          <w:trHeight w:val="222"/>
        </w:trPr>
        <w:tc>
          <w:tcPr>
            <w:tcW w:w="5820" w:type="dxa"/>
            <w:vAlign w:val="bottom"/>
          </w:tcPr>
          <w:p>
            <w:pPr>
              <w:ind w:left="1920"/>
              <w:spacing w:after="0"/>
              <w:rPr>
                <w:sz w:val="20"/>
                <w:szCs w:val="20"/>
                <w:color w:val="auto"/>
              </w:rPr>
            </w:pPr>
            <w:r>
              <w:rPr>
                <w:rFonts w:ascii="Arial" w:cs="Arial" w:eastAsia="Arial" w:hAnsi="Arial"/>
                <w:sz w:val="18"/>
                <w:szCs w:val="18"/>
                <w:color w:val="auto"/>
              </w:rPr>
              <w:t>Class B Common Stock</w:t>
            </w:r>
          </w:p>
        </w:tc>
        <w:tc>
          <w:tcPr>
            <w:tcW w:w="5600" w:type="dxa"/>
            <w:vAlign w:val="bottom"/>
          </w:tcPr>
          <w:p>
            <w:pPr>
              <w:ind w:left="2220"/>
              <w:spacing w:after="0"/>
              <w:rPr>
                <w:sz w:val="20"/>
                <w:szCs w:val="20"/>
                <w:color w:val="auto"/>
              </w:rPr>
            </w:pPr>
            <w:r>
              <w:rPr>
                <w:rFonts w:ascii="Arial" w:cs="Arial" w:eastAsia="Arial" w:hAnsi="Arial"/>
                <w:sz w:val="18"/>
                <w:szCs w:val="18"/>
                <w:color w:val="auto"/>
              </w:rPr>
              <w:t>7,809,440 Shares</w:t>
            </w:r>
          </w:p>
        </w:tc>
      </w:tr>
      <w:tr>
        <w:trPr>
          <w:trHeight w:val="201"/>
        </w:trPr>
        <w:tc>
          <w:tcPr>
            <w:tcW w:w="5820" w:type="dxa"/>
            <w:vAlign w:val="bottom"/>
            <w:tcBorders>
              <w:bottom w:val="single" w:sz="8" w:color="auto"/>
            </w:tcBorders>
          </w:tcPr>
          <w:p>
            <w:pPr>
              <w:spacing w:after="0"/>
              <w:rPr>
                <w:sz w:val="17"/>
                <w:szCs w:val="17"/>
                <w:color w:val="auto"/>
              </w:rPr>
            </w:pPr>
          </w:p>
        </w:tc>
        <w:tc>
          <w:tcPr>
            <w:tcW w:w="5600" w:type="dxa"/>
            <w:vAlign w:val="bottom"/>
            <w:tcBorders>
              <w:bottom w:val="single" w:sz="8" w:color="auto"/>
            </w:tcBorders>
          </w:tcPr>
          <w:p>
            <w:pPr>
              <w:spacing w:after="0"/>
              <w:rPr>
                <w:sz w:val="17"/>
                <w:szCs w:val="17"/>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WASHINGTON POST COMPANY</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Form 10-Q</w:t>
      </w:r>
    </w:p>
    <w:p>
      <w:pPr>
        <w:spacing w:after="0" w:line="164"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color w:val="auto"/>
        </w:rPr>
        <w:t>PART I.</w:t>
      </w:r>
      <w:r>
        <w:rPr>
          <w:sz w:val="20"/>
          <w:szCs w:val="20"/>
          <w:color w:val="auto"/>
        </w:rPr>
        <w:tab/>
      </w:r>
      <w:r>
        <w:rPr>
          <w:rFonts w:ascii="Arial" w:cs="Arial" w:eastAsia="Arial" w:hAnsi="Arial"/>
          <w:sz w:val="16"/>
          <w:szCs w:val="16"/>
          <w:color w:val="auto"/>
        </w:rPr>
        <w:t>FINANCIAL INFORMATION</w:t>
      </w:r>
    </w:p>
    <w:p>
      <w:pPr>
        <w:spacing w:after="0" w:line="117"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5"/>
          <w:szCs w:val="15"/>
          <w:color w:val="auto"/>
        </w:rPr>
        <w:t>Financial Statements</w:t>
      </w:r>
    </w:p>
    <w:p>
      <w:pPr>
        <w:spacing w:after="0" w:line="117" w:lineRule="exact"/>
        <w:rPr>
          <w:sz w:val="20"/>
          <w:szCs w:val="20"/>
          <w:color w:val="auto"/>
        </w:rPr>
      </w:pPr>
    </w:p>
    <w:p>
      <w:pPr>
        <w:ind w:left="1400" w:hanging="393"/>
        <w:spacing w:after="0"/>
        <w:tabs>
          <w:tab w:leader="none" w:pos="1400" w:val="left"/>
        </w:tabs>
        <w:numPr>
          <w:ilvl w:val="0"/>
          <w:numId w:val="1"/>
        </w:numPr>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Condensed Consolidated Statements of Income (Unaudited) for the Thirteen and Twenty-six Weeks Ended June 29, 2003 and June 30,</w:t>
        </w:r>
      </w:hyperlink>
    </w:p>
    <w:p>
      <w:pPr>
        <w:spacing w:after="0" w:line="38" w:lineRule="exact"/>
        <w:rPr>
          <w:sz w:val="20"/>
          <w:szCs w:val="20"/>
          <w:color w:val="auto"/>
        </w:rPr>
      </w:pPr>
    </w:p>
    <w:p>
      <w:pPr>
        <w:jc w:val="both"/>
        <w:ind w:left="1440"/>
        <w:spacing w:after="0"/>
        <w:tabs>
          <w:tab w:leader="none" w:pos="11320" w:val="left"/>
        </w:tabs>
        <w:rPr>
          <w:sz w:val="20"/>
          <w:szCs w:val="20"/>
          <w:color w:val="auto"/>
        </w:rPr>
      </w:pPr>
      <w:r>
        <w:rPr>
          <w:rFonts w:ascii="Arial" w:cs="Arial" w:eastAsia="Arial" w:hAnsi="Arial"/>
          <w:sz w:val="18"/>
          <w:szCs w:val="18"/>
          <w:u w:val="single" w:color="auto"/>
          <w:color w:val="0000EE"/>
        </w:rPr>
        <w:t>2002</w:t>
      </w:r>
      <w:r>
        <w:rPr>
          <w:sz w:val="20"/>
          <w:szCs w:val="20"/>
          <w:color w:val="auto"/>
        </w:rPr>
        <w:tab/>
      </w:r>
      <w:r>
        <w:rPr>
          <w:rFonts w:ascii="Arial" w:cs="Arial" w:eastAsia="Arial" w:hAnsi="Arial"/>
          <w:sz w:val="18"/>
          <w:szCs w:val="18"/>
          <w:color w:val="auto"/>
        </w:rPr>
        <w:t>3</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960" w:type="dxa"/>
            <w:vAlign w:val="bottom"/>
            <w:gridSpan w:val="11"/>
          </w:tcPr>
          <w:p>
            <w:pPr>
              <w:spacing w:after="0"/>
              <w:rPr>
                <w:rFonts w:ascii="Arial" w:cs="Arial" w:eastAsia="Arial" w:hAnsi="Arial"/>
                <w:sz w:val="18"/>
                <w:szCs w:val="18"/>
                <w:color w:val="0000EE"/>
                <w:w w:val="91"/>
              </w:rPr>
            </w:pPr>
            <w:hyperlink w:anchor="page5">
              <w:r>
                <w:rPr>
                  <w:rFonts w:ascii="Arial" w:cs="Arial" w:eastAsia="Arial" w:hAnsi="Arial"/>
                  <w:sz w:val="18"/>
                  <w:szCs w:val="18"/>
                  <w:color w:val="0000EE"/>
                  <w:w w:val="91"/>
                </w:rPr>
                <w:t>b.   Condensed Consolidated Statements of Comprehensive Income (Unaudited) for the Thirteen and Twenty-six Weeks Ended June 29,</w:t>
              </w:r>
            </w:hyperlink>
          </w:p>
        </w:tc>
        <w:tc>
          <w:tcPr>
            <w:tcW w:w="460" w:type="dxa"/>
            <w:vAlign w:val="bottom"/>
          </w:tcPr>
          <w:p>
            <w:pPr>
              <w:spacing w:after="0"/>
              <w:rPr>
                <w:sz w:val="17"/>
                <w:szCs w:val="17"/>
                <w:color w:val="auto"/>
              </w:rPr>
            </w:pPr>
          </w:p>
        </w:tc>
      </w:tr>
      <w:tr>
        <w:trPr>
          <w:trHeight w:val="196"/>
        </w:trPr>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168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5"/>
              </w:rPr>
            </w:pPr>
            <w:hyperlink w:anchor="page5">
              <w:r>
                <w:rPr>
                  <w:rFonts w:ascii="Arial" w:cs="Arial" w:eastAsia="Arial" w:hAnsi="Arial"/>
                  <w:sz w:val="18"/>
                  <w:szCs w:val="18"/>
                  <w:color w:val="0000EE"/>
                  <w:w w:val="85"/>
                </w:rPr>
                <w:t>2003 and June 30, 2002</w:t>
              </w:r>
            </w:hyperlink>
          </w:p>
        </w:tc>
        <w:tc>
          <w:tcPr>
            <w:tcW w:w="7540" w:type="dxa"/>
            <w:vAlign w:val="bottom"/>
            <w:tcBorders>
              <w:top w:val="single" w:sz="8" w:color="0000EE"/>
            </w:tcBorders>
            <w:gridSpan w:val="7"/>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304"/>
        </w:trPr>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960" w:type="dxa"/>
            <w:vAlign w:val="bottom"/>
            <w:gridSpan w:val="11"/>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   Condensed Consolidated Balance Sheets at June 29, 2003 (Unaudited) and December 29, 2002</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0"/>
        </w:trPr>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40" w:type="dxa"/>
            <w:vAlign w:val="bottom"/>
            <w:gridSpan w:val="2"/>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304"/>
        </w:trPr>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960" w:type="dxa"/>
            <w:vAlign w:val="bottom"/>
            <w:gridSpan w:val="11"/>
          </w:tcPr>
          <w:p>
            <w:pPr>
              <w:spacing w:after="0"/>
              <w:rPr>
                <w:rFonts w:ascii="Arial" w:cs="Arial" w:eastAsia="Arial" w:hAnsi="Arial"/>
                <w:sz w:val="18"/>
                <w:szCs w:val="18"/>
                <w:color w:val="0000EE"/>
                <w:w w:val="91"/>
              </w:rPr>
            </w:pPr>
            <w:hyperlink w:anchor="page7">
              <w:r>
                <w:rPr>
                  <w:rFonts w:ascii="Arial" w:cs="Arial" w:eastAsia="Arial" w:hAnsi="Arial"/>
                  <w:sz w:val="18"/>
                  <w:szCs w:val="18"/>
                  <w:color w:val="0000EE"/>
                  <w:w w:val="91"/>
                </w:rPr>
                <w:t>d.   Condensed Consolidated Statements of Cash Flows (Unaudited) for the Twenty-six Weeks Ended June 29, 2003 and June 30, 2002</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04"/>
        </w:trPr>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0" w:type="dxa"/>
            <w:vAlign w:val="bottom"/>
            <w:tcBorders>
              <w:top w:val="single" w:sz="8" w:color="0000EE"/>
            </w:tcBorders>
            <w:gridSpan w:val="9"/>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e.   Notes to Condensed Consolidated Financial Statements (Unaudited)</w:t>
              </w:r>
            </w:hyperlink>
          </w:p>
        </w:tc>
        <w:tc>
          <w:tcPr>
            <w:tcW w:w="360" w:type="dxa"/>
            <w:vAlign w:val="bottom"/>
            <w:gridSpan w:val="2"/>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0"/>
        </w:trPr>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40" w:type="dxa"/>
            <w:vAlign w:val="bottom"/>
            <w:gridSpan w:val="2"/>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660" w:type="dxa"/>
            <w:vAlign w:val="bottom"/>
            <w:gridSpan w:val="4"/>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304"/>
        </w:trPr>
        <w:tc>
          <w:tcPr>
            <w:tcW w:w="100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960" w:type="dxa"/>
            <w:vAlign w:val="bottom"/>
            <w:gridSpan w:val="11"/>
          </w:tcPr>
          <w:p>
            <w:pPr>
              <w:spacing w:after="0"/>
              <w:rPr>
                <w:rFonts w:ascii="Arial" w:cs="Arial" w:eastAsia="Arial" w:hAnsi="Arial"/>
                <w:sz w:val="18"/>
                <w:szCs w:val="18"/>
                <w:color w:val="0000EE"/>
              </w:rPr>
            </w:pPr>
            <w:hyperlink w:anchor="page15">
              <w:r>
                <w:rPr>
                  <w:rFonts w:ascii="Arial" w:cs="Arial" w:eastAsia="Arial" w:hAnsi="Arial"/>
                  <w:sz w:val="18"/>
                  <w:szCs w:val="18"/>
                  <w:color w:val="0000EE"/>
                </w:rPr>
                <w:t>Management’s Discussion and Analysis of Results of Operations and Financial Condition</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04"/>
        </w:trPr>
        <w:tc>
          <w:tcPr>
            <w:tcW w:w="100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74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86"/>
              </w:rPr>
            </w:pPr>
            <w:hyperlink w:anchor="page23">
              <w:r>
                <w:rPr>
                  <w:rFonts w:ascii="Arial" w:cs="Arial" w:eastAsia="Arial" w:hAnsi="Arial"/>
                  <w:sz w:val="18"/>
                  <w:szCs w:val="18"/>
                  <w:color w:val="0000EE"/>
                  <w:w w:val="86"/>
                </w:rPr>
                <w:t>Controls and Procedures</w:t>
              </w:r>
            </w:hyperlink>
          </w:p>
        </w:tc>
        <w:tc>
          <w:tcPr>
            <w:tcW w:w="4560" w:type="dxa"/>
            <w:vAlign w:val="bottom"/>
            <w:tcBorders>
              <w:top w:val="single" w:sz="8" w:color="0000EE"/>
            </w:tcBorders>
            <w:gridSpan w:val="5"/>
          </w:tcPr>
          <w:p>
            <w:pPr>
              <w:spacing w:after="0"/>
              <w:rPr>
                <w:sz w:val="24"/>
                <w:szCs w:val="24"/>
                <w:color w:val="auto"/>
              </w:rPr>
            </w:pPr>
          </w:p>
        </w:tc>
        <w:tc>
          <w:tcPr>
            <w:tcW w:w="3660" w:type="dxa"/>
            <w:vAlign w:val="bottom"/>
            <w:gridSpan w:val="4"/>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43"/>
        </w:trPr>
        <w:tc>
          <w:tcPr>
            <w:tcW w:w="1000" w:type="dxa"/>
            <w:vAlign w:val="bottom"/>
            <w:gridSpan w:val="2"/>
          </w:tcPr>
          <w:p>
            <w:pPr>
              <w:spacing w:after="0"/>
              <w:rPr>
                <w:sz w:val="20"/>
                <w:szCs w:val="20"/>
                <w:color w:val="auto"/>
              </w:rPr>
            </w:pPr>
            <w:r>
              <w:rPr>
                <w:rFonts w:ascii="Arial" w:cs="Arial" w:eastAsia="Arial" w:hAnsi="Arial"/>
                <w:sz w:val="18"/>
                <w:szCs w:val="18"/>
                <w:color w:val="auto"/>
              </w:rPr>
              <w:t>PART II.</w:t>
            </w:r>
          </w:p>
        </w:tc>
        <w:tc>
          <w:tcPr>
            <w:tcW w:w="9960" w:type="dxa"/>
            <w:vAlign w:val="bottom"/>
            <w:gridSpan w:val="11"/>
          </w:tcPr>
          <w:p>
            <w:pPr>
              <w:spacing w:after="0"/>
              <w:rPr>
                <w:sz w:val="20"/>
                <w:szCs w:val="20"/>
                <w:color w:val="auto"/>
              </w:rPr>
            </w:pPr>
            <w:r>
              <w:rPr>
                <w:rFonts w:ascii="Arial" w:cs="Arial" w:eastAsia="Arial" w:hAnsi="Arial"/>
                <w:sz w:val="18"/>
                <w:szCs w:val="18"/>
                <w:color w:val="auto"/>
              </w:rPr>
              <w:t>OTHER INFORMATION</w:t>
            </w:r>
          </w:p>
        </w:tc>
        <w:tc>
          <w:tcPr>
            <w:tcW w:w="460" w:type="dxa"/>
            <w:vAlign w:val="bottom"/>
          </w:tcPr>
          <w:p>
            <w:pPr>
              <w:spacing w:after="0"/>
              <w:rPr>
                <w:sz w:val="24"/>
                <w:szCs w:val="24"/>
                <w:color w:val="auto"/>
              </w:rPr>
            </w:pPr>
          </w:p>
        </w:tc>
      </w:tr>
      <w:tr>
        <w:trPr>
          <w:trHeight w:val="286"/>
        </w:trPr>
        <w:tc>
          <w:tcPr>
            <w:tcW w:w="1000" w:type="dxa"/>
            <w:vAlign w:val="bottom"/>
            <w:gridSpan w:val="2"/>
          </w:tcPr>
          <w:p>
            <w:pPr>
              <w:spacing w:after="0"/>
              <w:rPr>
                <w:sz w:val="20"/>
                <w:szCs w:val="20"/>
                <w:color w:val="auto"/>
              </w:rPr>
            </w:pPr>
            <w:r>
              <w:rPr>
                <w:rFonts w:ascii="Arial" w:cs="Arial" w:eastAsia="Arial" w:hAnsi="Arial"/>
                <w:sz w:val="18"/>
                <w:szCs w:val="18"/>
                <w:color w:val="auto"/>
              </w:rPr>
              <w:t>Item 4.</w:t>
            </w:r>
          </w:p>
        </w:tc>
        <w:tc>
          <w:tcPr>
            <w:tcW w:w="9960" w:type="dxa"/>
            <w:vAlign w:val="bottom"/>
            <w:gridSpan w:val="11"/>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Submission of Matters to a Vote of Security Holders</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04"/>
        </w:trPr>
        <w:tc>
          <w:tcPr>
            <w:tcW w:w="1000" w:type="dxa"/>
            <w:vAlign w:val="bottom"/>
            <w:gridSpan w:val="2"/>
          </w:tcPr>
          <w:p>
            <w:pPr>
              <w:spacing w:after="0"/>
              <w:rPr>
                <w:sz w:val="20"/>
                <w:szCs w:val="20"/>
                <w:color w:val="auto"/>
              </w:rPr>
            </w:pPr>
            <w:r>
              <w:rPr>
                <w:rFonts w:ascii="Arial" w:cs="Arial" w:eastAsia="Arial" w:hAnsi="Arial"/>
                <w:sz w:val="18"/>
                <w:szCs w:val="18"/>
                <w:color w:val="auto"/>
              </w:rPr>
              <w:t>Item 6.</w:t>
            </w:r>
          </w:p>
        </w:tc>
        <w:tc>
          <w:tcPr>
            <w:tcW w:w="3680" w:type="dxa"/>
            <w:vAlign w:val="bottom"/>
            <w:tcBorders>
              <w:top w:val="single" w:sz="8" w:color="0000EE"/>
            </w:tcBorders>
            <w:gridSpan w:val="5"/>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Exhibits and Reports on Form 8-K</w:t>
              </w:r>
            </w:hyperlink>
          </w:p>
        </w:tc>
        <w:tc>
          <w:tcPr>
            <w:tcW w:w="6280" w:type="dxa"/>
            <w:vAlign w:val="bottom"/>
            <w:gridSpan w:val="6"/>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04"/>
        </w:trPr>
        <w:tc>
          <w:tcPr>
            <w:tcW w:w="1000" w:type="dxa"/>
            <w:vAlign w:val="bottom"/>
            <w:gridSpan w:val="2"/>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Signatures</w:t>
              </w:r>
            </w:hyperlink>
          </w:p>
        </w:tc>
        <w:tc>
          <w:tcPr>
            <w:tcW w:w="440" w:type="dxa"/>
            <w:vAlign w:val="bottom"/>
            <w:tcBorders>
              <w:top w:val="single" w:sz="8" w:color="0000EE"/>
            </w:tcBorders>
          </w:tcPr>
          <w:p>
            <w:pPr>
              <w:spacing w:after="0"/>
              <w:rPr>
                <w:sz w:val="24"/>
                <w:szCs w:val="24"/>
                <w:color w:val="auto"/>
              </w:rPr>
            </w:pPr>
          </w:p>
        </w:tc>
        <w:tc>
          <w:tcPr>
            <w:tcW w:w="130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12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83"/>
        </w:trPr>
        <w:tc>
          <w:tcPr>
            <w:tcW w:w="740" w:type="dxa"/>
            <w:vAlign w:val="bottom"/>
            <w:tcBorders>
              <w:top w:val="single" w:sz="8" w:color="0000EE"/>
            </w:tcBorders>
          </w:tcPr>
          <w:p>
            <w:pPr>
              <w:spacing w:after="0"/>
              <w:rPr>
                <w:sz w:val="24"/>
                <w:szCs w:val="24"/>
                <w:color w:val="auto"/>
              </w:rPr>
            </w:pPr>
          </w:p>
        </w:tc>
        <w:tc>
          <w:tcPr>
            <w:tcW w:w="260" w:type="dxa"/>
            <w:vAlign w:val="bottom"/>
          </w:tcPr>
          <w:p>
            <w:pPr>
              <w:spacing w:after="0"/>
              <w:rPr>
                <w:sz w:val="24"/>
                <w:szCs w:val="24"/>
                <w:color w:val="auto"/>
              </w:rPr>
            </w:pPr>
          </w:p>
        </w:tc>
        <w:tc>
          <w:tcPr>
            <w:tcW w:w="5180" w:type="dxa"/>
            <w:vAlign w:val="bottom"/>
            <w:gridSpan w:val="6"/>
          </w:tcPr>
          <w:p>
            <w:pPr>
              <w:ind w:left="4680"/>
              <w:spacing w:after="0"/>
              <w:rPr>
                <w:sz w:val="20"/>
                <w:szCs w:val="20"/>
                <w:color w:val="auto"/>
              </w:rPr>
            </w:pPr>
            <w:r>
              <w:rPr>
                <w:rFonts w:ascii="Arial" w:cs="Arial" w:eastAsia="Arial" w:hAnsi="Arial"/>
                <w:sz w:val="18"/>
                <w:szCs w:val="18"/>
                <w:color w:val="auto"/>
              </w:rPr>
              <w:t>2</w:t>
            </w:r>
          </w:p>
        </w:tc>
        <w:tc>
          <w:tcPr>
            <w:tcW w:w="1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r>
    </w:tbl>
    <w:p>
      <w:pPr>
        <w:sectPr>
          <w:pgSz w:w="11900" w:h="16838" w:orient="portrait"/>
          <w:cols w:equalWidth="0" w:num="1">
            <w:col w:w="11420"/>
          </w:cols>
          <w:pgMar w:left="240" w:top="274"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PART I. FINANCIAL INFORMATION</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83"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Washington Post Company</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Condensed Consolidated Statements of Income (Unaudited)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3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2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w w:val="97"/>
              </w:rPr>
              <w:t>Thirteen Weeks Ended</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4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w w:val="96"/>
              </w:rPr>
              <w:t>Twenty-six Weeks Ended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180" w:type="dxa"/>
            <w:vAlign w:val="bottom"/>
          </w:tcPr>
          <w:p>
            <w:pPr>
              <w:spacing w:after="0"/>
              <w:rPr>
                <w:sz w:val="8"/>
                <w:szCs w:val="8"/>
                <w:color w:val="auto"/>
              </w:rPr>
            </w:pPr>
          </w:p>
        </w:tc>
        <w:tc>
          <w:tcPr>
            <w:tcW w:w="38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85"/>
              </w:rPr>
              <w:t>June 29,</w:t>
            </w:r>
          </w:p>
        </w:tc>
        <w:tc>
          <w:tcPr>
            <w:tcW w:w="100" w:type="dxa"/>
            <w:vAlign w:val="bottom"/>
          </w:tcPr>
          <w:p>
            <w:pPr>
              <w:spacing w:after="0"/>
              <w:rPr>
                <w:sz w:val="20"/>
                <w:szCs w:val="20"/>
                <w:color w:val="auto"/>
              </w:rPr>
            </w:pPr>
          </w:p>
        </w:tc>
        <w:tc>
          <w:tcPr>
            <w:tcW w:w="10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82"/>
              </w:rPr>
              <w:t>June 30,</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w w:val="92"/>
              </w:rPr>
              <w:t>June 29,</w:t>
            </w:r>
          </w:p>
        </w:tc>
        <w:tc>
          <w:tcPr>
            <w:tcW w:w="100" w:type="dxa"/>
            <w:vAlign w:val="bottom"/>
          </w:tcPr>
          <w:p>
            <w:pPr>
              <w:spacing w:after="0"/>
              <w:rPr>
                <w:sz w:val="20"/>
                <w:szCs w:val="20"/>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2"/>
              </w:rPr>
              <w:t>June 30,</w:t>
            </w:r>
          </w:p>
        </w:tc>
        <w:tc>
          <w:tcPr>
            <w:tcW w:w="0" w:type="dxa"/>
            <w:vAlign w:val="bottom"/>
          </w:tcPr>
          <w:p>
            <w:pPr>
              <w:spacing w:after="0"/>
              <w:rPr>
                <w:sz w:val="1"/>
                <w:szCs w:val="1"/>
                <w:color w:val="auto"/>
              </w:rPr>
            </w:pPr>
          </w:p>
        </w:tc>
      </w:tr>
      <w:tr>
        <w:trPr>
          <w:trHeight w:val="174"/>
        </w:trPr>
        <w:tc>
          <w:tcPr>
            <w:tcW w:w="7060" w:type="dxa"/>
            <w:vAlign w:val="bottom"/>
            <w:gridSpan w:val="3"/>
          </w:tcPr>
          <w:p>
            <w:pPr>
              <w:spacing w:after="0"/>
              <w:rPr>
                <w:sz w:val="20"/>
                <w:szCs w:val="20"/>
                <w:color w:val="auto"/>
              </w:rPr>
            </w:pPr>
            <w:r>
              <w:rPr>
                <w:rFonts w:ascii="Arial" w:cs="Arial" w:eastAsia="Arial" w:hAnsi="Arial"/>
                <w:sz w:val="14"/>
                <w:szCs w:val="14"/>
                <w:b w:val="1"/>
                <w:bCs w:val="1"/>
                <w:color w:val="auto"/>
              </w:rPr>
              <w:t>(In thousands, except per share amounts)</w:t>
            </w:r>
          </w:p>
        </w:tc>
        <w:tc>
          <w:tcPr>
            <w:tcW w:w="80" w:type="dxa"/>
            <w:vAlign w:val="bottom"/>
          </w:tcPr>
          <w:p>
            <w:pPr>
              <w:spacing w:after="0"/>
              <w:rPr>
                <w:sz w:val="15"/>
                <w:szCs w:val="15"/>
                <w:color w:val="auto"/>
              </w:rPr>
            </w:pPr>
          </w:p>
        </w:tc>
        <w:tc>
          <w:tcPr>
            <w:tcW w:w="600" w:type="dxa"/>
            <w:vAlign w:val="bottom"/>
          </w:tcPr>
          <w:p>
            <w:pPr>
              <w:jc w:val="right"/>
              <w:ind w:right="114"/>
              <w:spacing w:after="0"/>
              <w:rPr>
                <w:sz w:val="20"/>
                <w:szCs w:val="20"/>
                <w:color w:val="auto"/>
              </w:rPr>
            </w:pPr>
            <w:r>
              <w:rPr>
                <w:rFonts w:ascii="Arial" w:cs="Arial" w:eastAsia="Arial" w:hAnsi="Arial"/>
                <w:sz w:val="14"/>
                <w:szCs w:val="14"/>
                <w:b w:val="1"/>
                <w:bCs w:val="1"/>
                <w:color w:val="auto"/>
              </w:rPr>
              <w:t>2003</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ind w:right="134"/>
              <w:spacing w:after="0"/>
              <w:rPr>
                <w:sz w:val="20"/>
                <w:szCs w:val="20"/>
                <w:color w:val="auto"/>
              </w:rPr>
            </w:pPr>
            <w:r>
              <w:rPr>
                <w:rFonts w:ascii="Arial" w:cs="Arial" w:eastAsia="Arial" w:hAnsi="Arial"/>
                <w:sz w:val="14"/>
                <w:szCs w:val="14"/>
                <w:b w:val="1"/>
                <w:bCs w:val="1"/>
                <w:color w:val="auto"/>
              </w:rPr>
              <w:t>2002</w:t>
            </w: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ind w:right="174"/>
              <w:spacing w:after="0"/>
              <w:rPr>
                <w:sz w:val="20"/>
                <w:szCs w:val="20"/>
                <w:color w:val="auto"/>
              </w:rPr>
            </w:pPr>
            <w:r>
              <w:rPr>
                <w:rFonts w:ascii="Arial" w:cs="Arial" w:eastAsia="Arial" w:hAnsi="Arial"/>
                <w:sz w:val="14"/>
                <w:szCs w:val="14"/>
                <w:b w:val="1"/>
                <w:bCs w:val="1"/>
                <w:color w:val="auto"/>
              </w:rPr>
              <w:t>2003</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ind w:right="194"/>
              <w:spacing w:after="0"/>
              <w:rPr>
                <w:sz w:val="20"/>
                <w:szCs w:val="20"/>
                <w:color w:val="auto"/>
              </w:rPr>
            </w:pPr>
            <w:r>
              <w:rPr>
                <w:rFonts w:ascii="Arial" w:cs="Arial" w:eastAsia="Arial" w:hAnsi="Arial"/>
                <w:sz w:val="14"/>
                <w:szCs w:val="14"/>
                <w:b w:val="1"/>
                <w:bCs w:val="1"/>
                <w:color w:val="auto"/>
              </w:rPr>
              <w:t>2002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180" w:type="dxa"/>
            <w:vAlign w:val="bottom"/>
            <w:tcBorders>
              <w:bottom w:val="single" w:sz="8" w:color="auto"/>
            </w:tcBorders>
          </w:tcPr>
          <w:p>
            <w:pPr>
              <w:spacing w:after="0"/>
              <w:rPr>
                <w:sz w:val="8"/>
                <w:szCs w:val="8"/>
                <w:color w:val="auto"/>
              </w:rPr>
            </w:pPr>
          </w:p>
        </w:tc>
        <w:tc>
          <w:tcPr>
            <w:tcW w:w="38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180" w:type="dxa"/>
            <w:vAlign w:val="bottom"/>
          </w:tcPr>
          <w:p>
            <w:pPr>
              <w:spacing w:after="0"/>
              <w:rPr>
                <w:sz w:val="8"/>
                <w:szCs w:val="8"/>
                <w:color w:val="auto"/>
              </w:rPr>
            </w:pPr>
          </w:p>
        </w:tc>
        <w:tc>
          <w:tcPr>
            <w:tcW w:w="38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gridSpan w:val="2"/>
          </w:tcPr>
          <w:p>
            <w:pPr>
              <w:ind w:left="420"/>
              <w:spacing w:after="0"/>
              <w:rPr>
                <w:sz w:val="20"/>
                <w:szCs w:val="20"/>
                <w:color w:val="auto"/>
              </w:rPr>
            </w:pPr>
            <w:r>
              <w:rPr>
                <w:rFonts w:ascii="Arial" w:cs="Arial" w:eastAsia="Arial" w:hAnsi="Arial"/>
                <w:sz w:val="18"/>
                <w:szCs w:val="18"/>
                <w:color w:val="auto"/>
              </w:rPr>
              <w:t>Advertising</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318,927</w:t>
            </w:r>
          </w:p>
        </w:tc>
        <w:tc>
          <w:tcPr>
            <w:tcW w:w="4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316,102</w:t>
            </w:r>
          </w:p>
        </w:tc>
        <w:tc>
          <w:tcPr>
            <w:tcW w:w="400" w:type="dxa"/>
            <w:vAlign w:val="bottom"/>
          </w:tcPr>
          <w:p>
            <w:pPr>
              <w:spacing w:after="0"/>
              <w:rPr>
                <w:sz w:val="18"/>
                <w:szCs w:val="18"/>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598,724</w:t>
            </w:r>
          </w:p>
        </w:tc>
        <w:tc>
          <w:tcPr>
            <w:tcW w:w="4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589,671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Circulation and subscriber</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176,348</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168,614</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348,534</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329,755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gridSpan w:val="2"/>
          </w:tcPr>
          <w:p>
            <w:pPr>
              <w:ind w:left="420"/>
              <w:spacing w:after="0"/>
              <w:rPr>
                <w:sz w:val="20"/>
                <w:szCs w:val="20"/>
                <w:color w:val="auto"/>
              </w:rPr>
            </w:pPr>
            <w:r>
              <w:rPr>
                <w:rFonts w:ascii="Arial" w:cs="Arial" w:eastAsia="Arial" w:hAnsi="Arial"/>
                <w:sz w:val="18"/>
                <w:szCs w:val="18"/>
                <w:color w:val="auto"/>
              </w:rPr>
              <w:t>Education</w:t>
            </w: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195,560</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149,695</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373,338</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296,776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16,105</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13,292</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26,784</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180" w:type="dxa"/>
            <w:vAlign w:val="bottom"/>
          </w:tcPr>
          <w:p>
            <w:pPr>
              <w:spacing w:after="0"/>
              <w:rPr>
                <w:sz w:val="9"/>
                <w:szCs w:val="9"/>
                <w:color w:val="auto"/>
              </w:rPr>
            </w:pPr>
          </w:p>
        </w:tc>
        <w:tc>
          <w:tcPr>
            <w:tcW w:w="38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180" w:type="dxa"/>
            <w:vAlign w:val="bottom"/>
          </w:tcPr>
          <w:p>
            <w:pPr>
              <w:spacing w:after="0"/>
              <w:rPr>
                <w:sz w:val="8"/>
                <w:szCs w:val="8"/>
                <w:color w:val="auto"/>
              </w:rPr>
            </w:pPr>
          </w:p>
        </w:tc>
        <w:tc>
          <w:tcPr>
            <w:tcW w:w="38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spacing w:after="0"/>
              <w:rPr>
                <w:sz w:val="18"/>
                <w:szCs w:val="18"/>
                <w:color w:val="auto"/>
              </w:rPr>
            </w:pPr>
          </w:p>
        </w:tc>
        <w:tc>
          <w:tcPr>
            <w:tcW w:w="3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706,940</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647,703</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1,347,380</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1,248,025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180" w:type="dxa"/>
            <w:vAlign w:val="bottom"/>
          </w:tcPr>
          <w:p>
            <w:pPr>
              <w:spacing w:after="0"/>
              <w:rPr>
                <w:sz w:val="11"/>
                <w:szCs w:val="11"/>
                <w:color w:val="auto"/>
              </w:rPr>
            </w:pPr>
          </w:p>
        </w:tc>
        <w:tc>
          <w:tcPr>
            <w:tcW w:w="38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180" w:type="dxa"/>
            <w:vAlign w:val="bottom"/>
          </w:tcPr>
          <w:p>
            <w:pPr>
              <w:spacing w:after="0"/>
              <w:rPr>
                <w:sz w:val="9"/>
                <w:szCs w:val="9"/>
                <w:color w:val="auto"/>
              </w:rPr>
            </w:pPr>
          </w:p>
        </w:tc>
        <w:tc>
          <w:tcPr>
            <w:tcW w:w="38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gridSpan w:val="2"/>
          </w:tcPr>
          <w:p>
            <w:pPr>
              <w:ind w:left="420"/>
              <w:spacing w:after="0"/>
              <w:rPr>
                <w:sz w:val="20"/>
                <w:szCs w:val="20"/>
                <w:color w:val="auto"/>
              </w:rPr>
            </w:pPr>
            <w:r>
              <w:rPr>
                <w:rFonts w:ascii="Arial" w:cs="Arial" w:eastAsia="Arial" w:hAnsi="Arial"/>
                <w:sz w:val="18"/>
                <w:szCs w:val="18"/>
                <w:color w:val="auto"/>
              </w:rPr>
              <w:t>Operating</w:t>
            </w: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368,974</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335,443</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717,608</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668,683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Selling, general and administrative</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187,493</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160,387</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356,663</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337,252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gridSpan w:val="2"/>
          </w:tcPr>
          <w:p>
            <w:pPr>
              <w:ind w:left="420"/>
              <w:spacing w:after="0"/>
              <w:rPr>
                <w:sz w:val="20"/>
                <w:szCs w:val="20"/>
                <w:color w:val="auto"/>
              </w:rPr>
            </w:pPr>
            <w:r>
              <w:rPr>
                <w:rFonts w:ascii="Arial" w:cs="Arial" w:eastAsia="Arial" w:hAnsi="Arial"/>
                <w:sz w:val="18"/>
                <w:szCs w:val="18"/>
                <w:color w:val="auto"/>
              </w:rPr>
              <w:t>Depreciation of property, plant and equipment</w:t>
            </w: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43,212</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41,286</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86,607</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82,459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Amortization of intangible assets</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180" w:type="dxa"/>
            <w:vAlign w:val="bottom"/>
          </w:tcPr>
          <w:p>
            <w:pPr>
              <w:spacing w:after="0"/>
              <w:rPr>
                <w:sz w:val="9"/>
                <w:szCs w:val="9"/>
                <w:color w:val="auto"/>
              </w:rPr>
            </w:pPr>
          </w:p>
        </w:tc>
        <w:tc>
          <w:tcPr>
            <w:tcW w:w="38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180" w:type="dxa"/>
            <w:vAlign w:val="bottom"/>
          </w:tcPr>
          <w:p>
            <w:pPr>
              <w:spacing w:after="0"/>
              <w:rPr>
                <w:sz w:val="8"/>
                <w:szCs w:val="8"/>
                <w:color w:val="auto"/>
              </w:rPr>
            </w:pPr>
          </w:p>
        </w:tc>
        <w:tc>
          <w:tcPr>
            <w:tcW w:w="38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spacing w:after="0"/>
              <w:rPr>
                <w:sz w:val="18"/>
                <w:szCs w:val="18"/>
                <w:color w:val="auto"/>
              </w:rPr>
            </w:pPr>
          </w:p>
        </w:tc>
        <w:tc>
          <w:tcPr>
            <w:tcW w:w="3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600,042</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537,275</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1,161,390</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1,088,705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180" w:type="dxa"/>
            <w:vAlign w:val="bottom"/>
          </w:tcPr>
          <w:p>
            <w:pPr>
              <w:spacing w:after="0"/>
              <w:rPr>
                <w:sz w:val="9"/>
                <w:szCs w:val="9"/>
                <w:color w:val="auto"/>
              </w:rPr>
            </w:pPr>
          </w:p>
        </w:tc>
        <w:tc>
          <w:tcPr>
            <w:tcW w:w="38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180" w:type="dxa"/>
            <w:vAlign w:val="bottom"/>
          </w:tcPr>
          <w:p>
            <w:pPr>
              <w:spacing w:after="0"/>
              <w:rPr>
                <w:sz w:val="8"/>
                <w:szCs w:val="8"/>
                <w:color w:val="auto"/>
              </w:rPr>
            </w:pPr>
          </w:p>
        </w:tc>
        <w:tc>
          <w:tcPr>
            <w:tcW w:w="38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106,898</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110,428</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185,990</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159,320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Equity in losses of affiliates</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(5,524)</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(9,183)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(8,166)</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(15,689)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gridSpan w:val="2"/>
          </w:tcPr>
          <w:p>
            <w:pPr>
              <w:ind w:left="420"/>
              <w:spacing w:after="0"/>
              <w:rPr>
                <w:sz w:val="20"/>
                <w:szCs w:val="20"/>
                <w:color w:val="auto"/>
              </w:rPr>
            </w:pPr>
            <w:r>
              <w:rPr>
                <w:rFonts w:ascii="Arial" w:cs="Arial" w:eastAsia="Arial" w:hAnsi="Arial"/>
                <w:sz w:val="18"/>
                <w:szCs w:val="18"/>
                <w:color w:val="auto"/>
              </w:rPr>
              <w:t>Interest income</w:t>
            </w: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458</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59</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573</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Interest expense</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(6,658)</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(8,797)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(13,896)</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(17,664)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040" w:type="dxa"/>
            <w:vAlign w:val="bottom"/>
            <w:gridSpan w:val="2"/>
          </w:tcPr>
          <w:p>
            <w:pPr>
              <w:ind w:left="420"/>
              <w:spacing w:after="0"/>
              <w:rPr>
                <w:sz w:val="20"/>
                <w:szCs w:val="20"/>
                <w:color w:val="auto"/>
              </w:rPr>
            </w:pPr>
            <w:r>
              <w:rPr>
                <w:rFonts w:ascii="Arial" w:cs="Arial" w:eastAsia="Arial" w:hAnsi="Arial"/>
                <w:sz w:val="18"/>
                <w:szCs w:val="18"/>
                <w:color w:val="auto"/>
              </w:rPr>
              <w:t>Other, net</w:t>
            </w: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2,274</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(5,963)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50,409</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180" w:type="dxa"/>
            <w:vAlign w:val="bottom"/>
          </w:tcPr>
          <w:p>
            <w:pPr>
              <w:spacing w:after="0"/>
              <w:rPr>
                <w:sz w:val="8"/>
                <w:szCs w:val="8"/>
                <w:color w:val="auto"/>
              </w:rPr>
            </w:pPr>
          </w:p>
        </w:tc>
        <w:tc>
          <w:tcPr>
            <w:tcW w:w="38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180" w:type="dxa"/>
            <w:vAlign w:val="bottom"/>
          </w:tcPr>
          <w:p>
            <w:pPr>
              <w:spacing w:after="0"/>
              <w:rPr>
                <w:sz w:val="8"/>
                <w:szCs w:val="8"/>
                <w:color w:val="auto"/>
              </w:rPr>
            </w:pPr>
          </w:p>
        </w:tc>
        <w:tc>
          <w:tcPr>
            <w:tcW w:w="38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before income taxes and cumulative effect of change in accounting principle</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97,448</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86,544</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214,910</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126,650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040" w:type="dxa"/>
            <w:vAlign w:val="bottom"/>
            <w:gridSpan w:val="2"/>
          </w:tcPr>
          <w:p>
            <w:pPr>
              <w:spacing w:after="0"/>
              <w:rPr>
                <w:sz w:val="20"/>
                <w:szCs w:val="20"/>
                <w:color w:val="auto"/>
              </w:rPr>
            </w:pPr>
            <w:r>
              <w:rPr>
                <w:rFonts w:ascii="Arial" w:cs="Arial" w:eastAsia="Arial" w:hAnsi="Arial"/>
                <w:sz w:val="18"/>
                <w:szCs w:val="18"/>
                <w:color w:val="auto"/>
              </w:rPr>
              <w:t>Provision for income taxes</w:t>
            </w: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36,800</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35,400</w:t>
            </w: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81,200</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51,800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180" w:type="dxa"/>
            <w:vAlign w:val="bottom"/>
          </w:tcPr>
          <w:p>
            <w:pPr>
              <w:spacing w:after="0"/>
              <w:rPr>
                <w:sz w:val="8"/>
                <w:szCs w:val="8"/>
                <w:color w:val="auto"/>
              </w:rPr>
            </w:pPr>
          </w:p>
        </w:tc>
        <w:tc>
          <w:tcPr>
            <w:tcW w:w="38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180" w:type="dxa"/>
            <w:vAlign w:val="bottom"/>
          </w:tcPr>
          <w:p>
            <w:pPr>
              <w:spacing w:after="0"/>
              <w:rPr>
                <w:sz w:val="8"/>
                <w:szCs w:val="8"/>
                <w:color w:val="auto"/>
              </w:rPr>
            </w:pPr>
          </w:p>
        </w:tc>
        <w:tc>
          <w:tcPr>
            <w:tcW w:w="38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before cumulative effect of change in accounting principle</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60,648</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51,144</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133,710</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040" w:type="dxa"/>
            <w:vAlign w:val="bottom"/>
            <w:gridSpan w:val="2"/>
          </w:tcPr>
          <w:p>
            <w:pPr>
              <w:spacing w:after="0"/>
              <w:rPr>
                <w:sz w:val="20"/>
                <w:szCs w:val="20"/>
                <w:color w:val="auto"/>
              </w:rPr>
            </w:pPr>
            <w:r>
              <w:rPr>
                <w:rFonts w:ascii="Arial" w:cs="Arial" w:eastAsia="Arial" w:hAnsi="Arial"/>
                <w:sz w:val="18"/>
                <w:szCs w:val="18"/>
                <w:color w:val="auto"/>
                <w:w w:val="94"/>
              </w:rPr>
              <w:t>Cumulative effect of change in method of accounting for goodwill and other intangible assets,</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040" w:type="dxa"/>
            <w:vAlign w:val="bottom"/>
            <w:gridSpan w:val="2"/>
          </w:tcPr>
          <w:p>
            <w:pPr>
              <w:ind w:left="200"/>
              <w:spacing w:after="0"/>
              <w:rPr>
                <w:sz w:val="20"/>
                <w:szCs w:val="20"/>
                <w:color w:val="auto"/>
              </w:rPr>
            </w:pPr>
            <w:r>
              <w:rPr>
                <w:rFonts w:ascii="Arial" w:cs="Arial" w:eastAsia="Arial" w:hAnsi="Arial"/>
                <w:sz w:val="18"/>
                <w:szCs w:val="18"/>
                <w:color w:val="auto"/>
              </w:rPr>
              <w:t>net of taxes</w:t>
            </w:r>
          </w:p>
        </w:tc>
        <w:tc>
          <w:tcPr>
            <w:tcW w:w="80" w:type="dxa"/>
            <w:vAlign w:val="bottom"/>
          </w:tcPr>
          <w:p>
            <w:pPr>
              <w:spacing w:after="0"/>
              <w:rPr>
                <w:sz w:val="19"/>
                <w:szCs w:val="19"/>
                <w:color w:val="auto"/>
              </w:rPr>
            </w:pPr>
          </w:p>
        </w:tc>
        <w:tc>
          <w:tcPr>
            <w:tcW w:w="10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(12,100)</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180" w:type="dxa"/>
            <w:vAlign w:val="bottom"/>
          </w:tcPr>
          <w:p>
            <w:pPr>
              <w:spacing w:after="0"/>
              <w:rPr>
                <w:sz w:val="9"/>
                <w:szCs w:val="9"/>
                <w:color w:val="auto"/>
              </w:rPr>
            </w:pPr>
          </w:p>
        </w:tc>
        <w:tc>
          <w:tcPr>
            <w:tcW w:w="38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180" w:type="dxa"/>
            <w:vAlign w:val="bottom"/>
          </w:tcPr>
          <w:p>
            <w:pPr>
              <w:spacing w:after="0"/>
              <w:rPr>
                <w:sz w:val="8"/>
                <w:szCs w:val="8"/>
                <w:color w:val="auto"/>
              </w:rPr>
            </w:pPr>
          </w:p>
        </w:tc>
        <w:tc>
          <w:tcPr>
            <w:tcW w:w="38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60,648</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51,144</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133,710</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040" w:type="dxa"/>
            <w:vAlign w:val="bottom"/>
            <w:gridSpan w:val="2"/>
          </w:tcPr>
          <w:p>
            <w:pPr>
              <w:spacing w:after="0"/>
              <w:rPr>
                <w:sz w:val="20"/>
                <w:szCs w:val="20"/>
                <w:color w:val="auto"/>
              </w:rPr>
            </w:pPr>
            <w:r>
              <w:rPr>
                <w:rFonts w:ascii="Arial" w:cs="Arial" w:eastAsia="Arial" w:hAnsi="Arial"/>
                <w:sz w:val="18"/>
                <w:szCs w:val="18"/>
                <w:color w:val="auto"/>
              </w:rPr>
              <w:t>Redeemable preferred stock dividends</w:t>
            </w:r>
          </w:p>
        </w:tc>
        <w:tc>
          <w:tcPr>
            <w:tcW w:w="80" w:type="dxa"/>
            <w:vAlign w:val="bottom"/>
          </w:tcPr>
          <w:p>
            <w:pPr>
              <w:spacing w:after="0"/>
              <w:rPr>
                <w:sz w:val="19"/>
                <w:szCs w:val="19"/>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(258)</w:t>
            </w:r>
          </w:p>
        </w:tc>
        <w:tc>
          <w:tcPr>
            <w:tcW w:w="100" w:type="dxa"/>
            <w:vAlign w:val="bottom"/>
          </w:tcPr>
          <w:p>
            <w:pPr>
              <w:spacing w:after="0"/>
              <w:rPr>
                <w:sz w:val="19"/>
                <w:szCs w:val="19"/>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(259)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(775)</w:t>
            </w:r>
          </w:p>
        </w:tc>
        <w:tc>
          <w:tcPr>
            <w:tcW w:w="10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(784)</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180" w:type="dxa"/>
            <w:vAlign w:val="bottom"/>
          </w:tcPr>
          <w:p>
            <w:pPr>
              <w:spacing w:after="0"/>
              <w:rPr>
                <w:sz w:val="8"/>
                <w:szCs w:val="8"/>
                <w:color w:val="auto"/>
              </w:rPr>
            </w:pPr>
          </w:p>
        </w:tc>
        <w:tc>
          <w:tcPr>
            <w:tcW w:w="38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180" w:type="dxa"/>
            <w:vAlign w:val="bottom"/>
          </w:tcPr>
          <w:p>
            <w:pPr>
              <w:spacing w:after="0"/>
              <w:rPr>
                <w:sz w:val="8"/>
                <w:szCs w:val="8"/>
                <w:color w:val="auto"/>
              </w:rPr>
            </w:pPr>
          </w:p>
        </w:tc>
        <w:tc>
          <w:tcPr>
            <w:tcW w:w="38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available for common shares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60,390</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50,885</w:t>
            </w:r>
          </w:p>
        </w:tc>
        <w:tc>
          <w:tcPr>
            <w:tcW w:w="40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132,935</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180" w:type="dxa"/>
            <w:vAlign w:val="bottom"/>
          </w:tcPr>
          <w:p>
            <w:pPr>
              <w:spacing w:after="0"/>
              <w:rPr>
                <w:sz w:val="11"/>
                <w:szCs w:val="11"/>
                <w:color w:val="auto"/>
              </w:rPr>
            </w:pPr>
          </w:p>
        </w:tc>
        <w:tc>
          <w:tcPr>
            <w:tcW w:w="38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180" w:type="dxa"/>
            <w:vAlign w:val="bottom"/>
          </w:tcPr>
          <w:p>
            <w:pPr>
              <w:spacing w:after="0"/>
              <w:rPr>
                <w:sz w:val="9"/>
                <w:szCs w:val="9"/>
                <w:color w:val="auto"/>
              </w:rPr>
            </w:pPr>
          </w:p>
        </w:tc>
        <w:tc>
          <w:tcPr>
            <w:tcW w:w="38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gridSpan w:val="2"/>
          </w:tcPr>
          <w:p>
            <w:pPr>
              <w:ind w:left="420"/>
              <w:spacing w:after="0"/>
              <w:rPr>
                <w:sz w:val="20"/>
                <w:szCs w:val="20"/>
                <w:color w:val="auto"/>
              </w:rPr>
            </w:pPr>
            <w:r>
              <w:rPr>
                <w:rFonts w:ascii="Arial" w:cs="Arial" w:eastAsia="Arial" w:hAnsi="Arial"/>
                <w:sz w:val="18"/>
                <w:szCs w:val="18"/>
                <w:color w:val="auto"/>
              </w:rPr>
              <w:t>Before cumulative effect of change in accounting principle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6.34</w:t>
            </w:r>
          </w:p>
        </w:tc>
        <w:tc>
          <w:tcPr>
            <w:tcW w:w="4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5.35</w:t>
            </w:r>
          </w:p>
        </w:tc>
        <w:tc>
          <w:tcPr>
            <w:tcW w:w="400" w:type="dxa"/>
            <w:vAlign w:val="bottom"/>
          </w:tcPr>
          <w:p>
            <w:pPr>
              <w:spacing w:after="0"/>
              <w:rPr>
                <w:sz w:val="18"/>
                <w:szCs w:val="18"/>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13.95</w:t>
            </w:r>
          </w:p>
        </w:tc>
        <w:tc>
          <w:tcPr>
            <w:tcW w:w="4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Cumulative effect of change in accounting principle</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180" w:type="dxa"/>
            <w:vAlign w:val="bottom"/>
          </w:tcPr>
          <w:p>
            <w:pPr>
              <w:spacing w:after="0"/>
              <w:rPr>
                <w:sz w:val="9"/>
                <w:szCs w:val="9"/>
                <w:color w:val="auto"/>
              </w:rPr>
            </w:pPr>
          </w:p>
        </w:tc>
        <w:tc>
          <w:tcPr>
            <w:tcW w:w="38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180" w:type="dxa"/>
            <w:vAlign w:val="bottom"/>
          </w:tcPr>
          <w:p>
            <w:pPr>
              <w:spacing w:after="0"/>
              <w:rPr>
                <w:sz w:val="8"/>
                <w:szCs w:val="8"/>
                <w:color w:val="auto"/>
              </w:rPr>
            </w:pPr>
          </w:p>
        </w:tc>
        <w:tc>
          <w:tcPr>
            <w:tcW w:w="38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Net income available for common stock</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w:t>
            </w:r>
          </w:p>
        </w:tc>
        <w:tc>
          <w:tcPr>
            <w:tcW w:w="40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13.95</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7060" w:type="dxa"/>
            <w:vAlign w:val="bottom"/>
            <w:gridSpan w:val="3"/>
            <w:vMerge w:val="restart"/>
          </w:tcPr>
          <w:p>
            <w:pPr>
              <w:jc w:val="right"/>
              <w:ind w:right="1300"/>
              <w:spacing w:after="0"/>
              <w:rPr>
                <w:sz w:val="20"/>
                <w:szCs w:val="20"/>
                <w:color w:val="auto"/>
              </w:rPr>
            </w:pPr>
            <w:r>
              <w:rPr>
                <w:rFonts w:ascii="Arial" w:cs="Arial" w:eastAsia="Arial" w:hAnsi="Arial"/>
                <w:sz w:val="18"/>
                <w:szCs w:val="18"/>
                <w:color w:val="auto"/>
              </w:rPr>
              <w:t>3</w:t>
            </w:r>
          </w:p>
        </w:tc>
        <w:tc>
          <w:tcPr>
            <w:tcW w:w="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7060" w:type="dxa"/>
            <w:vAlign w:val="bottom"/>
            <w:gridSpan w:val="3"/>
            <w:vMerge w:val="continue"/>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4479925</wp:posOffset>
            </wp:positionH>
            <wp:positionV relativeFrom="paragraph">
              <wp:posOffset>-4965700</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-4965700</wp:posOffset>
            </wp:positionV>
            <wp:extent cx="2159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-4965700</wp:posOffset>
            </wp:positionV>
            <wp:extent cx="3873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-4965700</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-4965700</wp:posOffset>
            </wp:positionV>
            <wp:extent cx="2159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-4965700</wp:posOffset>
            </wp:positionV>
            <wp:extent cx="3873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-4965700</wp:posOffset>
            </wp:positionV>
            <wp:extent cx="1270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5946140</wp:posOffset>
            </wp:positionH>
            <wp:positionV relativeFrom="paragraph">
              <wp:posOffset>-4965700</wp:posOffset>
            </wp:positionV>
            <wp:extent cx="2159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-4965700</wp:posOffset>
            </wp:positionV>
            <wp:extent cx="3873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6666230</wp:posOffset>
            </wp:positionH>
            <wp:positionV relativeFrom="paragraph">
              <wp:posOffset>-4965700</wp:posOffset>
            </wp:positionV>
            <wp:extent cx="1270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-4965700</wp:posOffset>
            </wp:positionV>
            <wp:extent cx="2159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-4965700</wp:posOffset>
            </wp:positionV>
            <wp:extent cx="3873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-1183640</wp:posOffset>
            </wp:positionV>
            <wp:extent cx="1270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-1183640</wp:posOffset>
            </wp:positionV>
            <wp:extent cx="2159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-1183640</wp:posOffset>
            </wp:positionV>
            <wp:extent cx="3873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-1183640</wp:posOffset>
            </wp:positionV>
            <wp:extent cx="1270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-1183640</wp:posOffset>
            </wp:positionV>
            <wp:extent cx="2159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-1183640</wp:posOffset>
            </wp:positionV>
            <wp:extent cx="3873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-1183640</wp:posOffset>
            </wp:positionV>
            <wp:extent cx="1270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5946140</wp:posOffset>
            </wp:positionH>
            <wp:positionV relativeFrom="paragraph">
              <wp:posOffset>-1183640</wp:posOffset>
            </wp:positionV>
            <wp:extent cx="2159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-1183640</wp:posOffset>
            </wp:positionV>
            <wp:extent cx="3873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6666230</wp:posOffset>
            </wp:positionH>
            <wp:positionV relativeFrom="paragraph">
              <wp:posOffset>-1183640</wp:posOffset>
            </wp:positionV>
            <wp:extent cx="1270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-1183640</wp:posOffset>
            </wp:positionV>
            <wp:extent cx="21590"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-1183640</wp:posOffset>
            </wp:positionV>
            <wp:extent cx="3873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-325755</wp:posOffset>
            </wp:positionV>
            <wp:extent cx="1270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-325755</wp:posOffset>
            </wp:positionV>
            <wp:extent cx="21590"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-325755</wp:posOffset>
            </wp:positionV>
            <wp:extent cx="3873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-325755</wp:posOffset>
            </wp:positionV>
            <wp:extent cx="12700"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-325755</wp:posOffset>
            </wp:positionV>
            <wp:extent cx="21590"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-325755</wp:posOffset>
            </wp:positionV>
            <wp:extent cx="3873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-325755</wp:posOffset>
            </wp:positionV>
            <wp:extent cx="12700"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5946140</wp:posOffset>
            </wp:positionH>
            <wp:positionV relativeFrom="paragraph">
              <wp:posOffset>-325755</wp:posOffset>
            </wp:positionV>
            <wp:extent cx="21590"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-325755</wp:posOffset>
            </wp:positionV>
            <wp:extent cx="3873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6666230</wp:posOffset>
            </wp:positionH>
            <wp:positionV relativeFrom="paragraph">
              <wp:posOffset>-325755</wp:posOffset>
            </wp:positionV>
            <wp:extent cx="12700"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-325755</wp:posOffset>
            </wp:positionV>
            <wp:extent cx="21590"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-325755</wp:posOffset>
            </wp:positionV>
            <wp:extent cx="3873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3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420"/>
              <w:spacing w:after="0"/>
              <w:rPr>
                <w:sz w:val="20"/>
                <w:szCs w:val="20"/>
                <w:color w:val="auto"/>
              </w:rPr>
            </w:pPr>
            <w:r>
              <w:rPr>
                <w:rFonts w:ascii="Arial" w:cs="Arial" w:eastAsia="Arial" w:hAnsi="Arial"/>
                <w:sz w:val="18"/>
                <w:szCs w:val="18"/>
                <w:color w:val="auto"/>
              </w:rPr>
              <w:t>Before cumulative effect of change in accounting principle</w:t>
            </w:r>
          </w:p>
        </w:tc>
        <w:tc>
          <w:tcPr>
            <w:tcW w:w="3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6.32</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5.34</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13.91</w:t>
            </w:r>
          </w:p>
        </w:tc>
        <w:tc>
          <w:tcPr>
            <w:tcW w:w="3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7.78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Cumulative effect of change in accounting principle</w:t>
            </w:r>
          </w:p>
        </w:tc>
        <w:tc>
          <w:tcPr>
            <w:tcW w:w="3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(1.27)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100" w:type="dxa"/>
            <w:vAlign w:val="bottom"/>
          </w:tcPr>
          <w:p>
            <w:pPr>
              <w:spacing w:after="0"/>
              <w:rPr>
                <w:sz w:val="9"/>
                <w:szCs w:val="9"/>
                <w:color w:val="auto"/>
              </w:rPr>
            </w:pPr>
          </w:p>
        </w:tc>
        <w:tc>
          <w:tcPr>
            <w:tcW w:w="31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100" w:type="dxa"/>
            <w:vAlign w:val="bottom"/>
          </w:tcPr>
          <w:p>
            <w:pPr>
              <w:spacing w:after="0"/>
              <w:rPr>
                <w:sz w:val="8"/>
                <w:szCs w:val="8"/>
                <w:color w:val="auto"/>
              </w:rPr>
            </w:pPr>
          </w:p>
        </w:tc>
        <w:tc>
          <w:tcPr>
            <w:tcW w:w="3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income available for common stock</w:t>
            </w:r>
          </w:p>
        </w:tc>
        <w:tc>
          <w:tcPr>
            <w:tcW w:w="3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13.91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100" w:type="dxa"/>
            <w:vAlign w:val="bottom"/>
          </w:tcPr>
          <w:p>
            <w:pPr>
              <w:spacing w:after="0"/>
              <w:rPr>
                <w:sz w:val="11"/>
                <w:szCs w:val="11"/>
                <w:color w:val="auto"/>
              </w:rPr>
            </w:pPr>
          </w:p>
        </w:tc>
        <w:tc>
          <w:tcPr>
            <w:tcW w:w="31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100" w:type="dxa"/>
            <w:vAlign w:val="bottom"/>
          </w:tcPr>
          <w:p>
            <w:pPr>
              <w:spacing w:after="0"/>
              <w:rPr>
                <w:sz w:val="9"/>
                <w:szCs w:val="9"/>
                <w:color w:val="auto"/>
              </w:rPr>
            </w:pPr>
          </w:p>
        </w:tc>
        <w:tc>
          <w:tcPr>
            <w:tcW w:w="3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Dividends declared per common share</w:t>
            </w:r>
          </w:p>
        </w:tc>
        <w:tc>
          <w:tcPr>
            <w:tcW w:w="3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100" w:type="dxa"/>
            <w:vAlign w:val="bottom"/>
          </w:tcPr>
          <w:p>
            <w:pPr>
              <w:spacing w:after="0"/>
              <w:rPr>
                <w:sz w:val="11"/>
                <w:szCs w:val="11"/>
                <w:color w:val="auto"/>
              </w:rPr>
            </w:pPr>
          </w:p>
        </w:tc>
        <w:tc>
          <w:tcPr>
            <w:tcW w:w="31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100" w:type="dxa"/>
            <w:vAlign w:val="bottom"/>
          </w:tcPr>
          <w:p>
            <w:pPr>
              <w:spacing w:after="0"/>
              <w:rPr>
                <w:sz w:val="9"/>
                <w:szCs w:val="9"/>
                <w:color w:val="auto"/>
              </w:rPr>
            </w:pPr>
          </w:p>
        </w:tc>
        <w:tc>
          <w:tcPr>
            <w:tcW w:w="3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Basic average number of common shares outstanding</w:t>
            </w:r>
          </w:p>
        </w:tc>
        <w:tc>
          <w:tcPr>
            <w:tcW w:w="3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9,527</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9,503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9,527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9,501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Diluted average number of common shares outstanding</w:t>
            </w:r>
          </w:p>
        </w:tc>
        <w:tc>
          <w:tcPr>
            <w:tcW w:w="3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9,555</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9,521</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9,554</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9,516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6"/>
        </w:trPr>
        <w:tc>
          <w:tcPr>
            <w:tcW w:w="2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3160" w:type="dxa"/>
            <w:vAlign w:val="bottom"/>
          </w:tcPr>
          <w:p>
            <w:pPr>
              <w:jc w:val="right"/>
              <w:ind w:right="2432"/>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-900430</wp:posOffset>
            </wp:positionV>
            <wp:extent cx="12700"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-900430</wp:posOffset>
            </wp:positionV>
            <wp:extent cx="12700"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-900430</wp:posOffset>
            </wp:positionV>
            <wp:extent cx="21590"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-900430</wp:posOffset>
            </wp:positionV>
            <wp:extent cx="330200"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30200" cy="29845"/>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-900430</wp:posOffset>
            </wp:positionV>
            <wp:extent cx="12700"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-900430</wp:posOffset>
            </wp:positionV>
            <wp:extent cx="12700"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-900430</wp:posOffset>
            </wp:positionV>
            <wp:extent cx="21590"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6854825</wp:posOffset>
            </wp:positionH>
            <wp:positionV relativeFrom="paragraph">
              <wp:posOffset>-900430</wp:posOffset>
            </wp:positionV>
            <wp:extent cx="12700"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6915150</wp:posOffset>
            </wp:positionH>
            <wp:positionV relativeFrom="paragraph">
              <wp:posOffset>-900430</wp:posOffset>
            </wp:positionV>
            <wp:extent cx="21590"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-900430</wp:posOffset>
            </wp:positionV>
            <wp:extent cx="38735"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-600710</wp:posOffset>
            </wp:positionV>
            <wp:extent cx="330200"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30200" cy="29845"/>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-600710</wp:posOffset>
            </wp:positionV>
            <wp:extent cx="12700"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-600710</wp:posOffset>
            </wp:positionV>
            <wp:extent cx="12700"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-600710</wp:posOffset>
            </wp:positionV>
            <wp:extent cx="21590"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-600710</wp:posOffset>
            </wp:positionV>
            <wp:extent cx="330200"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30200" cy="29845"/>
                    </a:xfrm>
                    <a:prstGeom prst="rect">
                      <a:avLst/>
                    </a:prstGeom>
                    <a:noFill/>
                  </pic:spPr>
                </pic:pic>
              </a:graphicData>
            </a:graphic>
          </wp:anchor>
        </w:drawing>
        <w:drawing>
          <wp:anchor simplePos="0" relativeHeight="251657728" behindDoc="1" locked="0" layoutInCell="0" allowOverlap="1">
            <wp:simplePos x="0" y="0"/>
            <wp:positionH relativeFrom="column">
              <wp:posOffset>6854825</wp:posOffset>
            </wp:positionH>
            <wp:positionV relativeFrom="paragraph">
              <wp:posOffset>-600710</wp:posOffset>
            </wp:positionV>
            <wp:extent cx="12700"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6915150</wp:posOffset>
            </wp:positionH>
            <wp:positionV relativeFrom="paragraph">
              <wp:posOffset>-600710</wp:posOffset>
            </wp:positionV>
            <wp:extent cx="21590"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-600710</wp:posOffset>
            </wp:positionV>
            <wp:extent cx="38735"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288" w:right="239" w:bottom="1440" w:gutter="0" w:footer="0" w:header="0"/>
        </w:sectPr>
      </w:pPr>
    </w:p>
    <w:bookmarkStart w:id="4" w:name="page5"/>
    <w:bookmarkEnd w:id="4"/>
    <w:p>
      <w:pPr>
        <w:ind w:lef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Washington Post Company</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Condensed Consolidated Statements of Comprehensive Income (Unaudited)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260" w:type="dxa"/>
            <w:vAlign w:val="bottom"/>
          </w:tcPr>
          <w:p>
            <w:pPr>
              <w:spacing w:after="0"/>
              <w:rPr>
                <w:sz w:val="15"/>
                <w:szCs w:val="15"/>
                <w:color w:val="auto"/>
              </w:rPr>
            </w:pPr>
          </w:p>
        </w:tc>
        <w:tc>
          <w:tcPr>
            <w:tcW w:w="210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w w:val="98"/>
              </w:rPr>
              <w:t>Thirteen Weeks Ended</w:t>
            </w:r>
          </w:p>
        </w:tc>
        <w:tc>
          <w:tcPr>
            <w:tcW w:w="1900" w:type="dxa"/>
            <w:vAlign w:val="bottom"/>
            <w:gridSpan w:val="6"/>
          </w:tcPr>
          <w:p>
            <w:pPr>
              <w:jc w:val="right"/>
              <w:ind w:right="280"/>
              <w:spacing w:after="0"/>
              <w:rPr>
                <w:sz w:val="20"/>
                <w:szCs w:val="20"/>
                <w:color w:val="auto"/>
              </w:rPr>
            </w:pPr>
            <w:r>
              <w:rPr>
                <w:rFonts w:ascii="Arial" w:cs="Arial" w:eastAsia="Arial" w:hAnsi="Arial"/>
                <w:sz w:val="14"/>
                <w:szCs w:val="14"/>
                <w:b w:val="1"/>
                <w:bCs w:val="1"/>
                <w:color w:val="auto"/>
                <w:w w:val="95"/>
              </w:rPr>
              <w:t>Twenty-six Weeks Ended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26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260" w:type="dxa"/>
            <w:vAlign w:val="bottom"/>
          </w:tcPr>
          <w:p>
            <w:pPr>
              <w:spacing w:after="0"/>
              <w:rPr>
                <w:sz w:val="20"/>
                <w:szCs w:val="20"/>
                <w:color w:val="auto"/>
              </w:rPr>
            </w:pPr>
          </w:p>
        </w:tc>
        <w:tc>
          <w:tcPr>
            <w:tcW w:w="10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2"/>
              </w:rPr>
              <w:t>June 29,</w:t>
            </w:r>
          </w:p>
        </w:tc>
        <w:tc>
          <w:tcPr>
            <w:tcW w:w="80" w:type="dxa"/>
            <w:vAlign w:val="bottom"/>
          </w:tcPr>
          <w:p>
            <w:pPr>
              <w:spacing w:after="0"/>
              <w:rPr>
                <w:sz w:val="20"/>
                <w:szCs w:val="20"/>
                <w:color w:val="auto"/>
              </w:rPr>
            </w:pPr>
          </w:p>
        </w:tc>
        <w:tc>
          <w:tcPr>
            <w:tcW w:w="10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82"/>
              </w:rPr>
              <w:t>June 30,</w:t>
            </w:r>
          </w:p>
        </w:tc>
        <w:tc>
          <w:tcPr>
            <w:tcW w:w="1140" w:type="dxa"/>
            <w:vAlign w:val="bottom"/>
            <w:gridSpan w:val="3"/>
          </w:tcPr>
          <w:p>
            <w:pPr>
              <w:ind w:left="100"/>
              <w:spacing w:after="0"/>
              <w:rPr>
                <w:sz w:val="20"/>
                <w:szCs w:val="20"/>
                <w:color w:val="auto"/>
              </w:rPr>
            </w:pPr>
            <w:r>
              <w:rPr>
                <w:rFonts w:ascii="Arial" w:cs="Arial" w:eastAsia="Arial" w:hAnsi="Arial"/>
                <w:sz w:val="14"/>
                <w:szCs w:val="14"/>
                <w:b w:val="1"/>
                <w:bCs w:val="1"/>
                <w:color w:val="auto"/>
              </w:rPr>
              <w:t>June 29,</w:t>
            </w:r>
          </w:p>
        </w:tc>
        <w:tc>
          <w:tcPr>
            <w:tcW w:w="80" w:type="dxa"/>
            <w:vAlign w:val="bottom"/>
          </w:tcPr>
          <w:p>
            <w:pPr>
              <w:spacing w:after="0"/>
              <w:rPr>
                <w:sz w:val="20"/>
                <w:szCs w:val="20"/>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2"/>
              </w:rPr>
              <w:t>June 30,</w:t>
            </w:r>
          </w:p>
        </w:tc>
        <w:tc>
          <w:tcPr>
            <w:tcW w:w="0" w:type="dxa"/>
            <w:vAlign w:val="bottom"/>
          </w:tcPr>
          <w:p>
            <w:pPr>
              <w:spacing w:after="0"/>
              <w:rPr>
                <w:sz w:val="1"/>
                <w:szCs w:val="1"/>
                <w:color w:val="auto"/>
              </w:rPr>
            </w:pPr>
          </w:p>
        </w:tc>
      </w:tr>
      <w:tr>
        <w:trPr>
          <w:trHeight w:val="174"/>
        </w:trPr>
        <w:tc>
          <w:tcPr>
            <w:tcW w:w="742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600" w:type="dxa"/>
            <w:vAlign w:val="bottom"/>
          </w:tcPr>
          <w:p>
            <w:pPr>
              <w:jc w:val="right"/>
              <w:ind w:right="77"/>
              <w:spacing w:after="0"/>
              <w:rPr>
                <w:sz w:val="20"/>
                <w:szCs w:val="20"/>
                <w:color w:val="auto"/>
              </w:rPr>
            </w:pPr>
            <w:r>
              <w:rPr>
                <w:rFonts w:ascii="Arial" w:cs="Arial" w:eastAsia="Arial" w:hAnsi="Arial"/>
                <w:sz w:val="14"/>
                <w:szCs w:val="14"/>
                <w:b w:val="1"/>
                <w:bCs w:val="1"/>
                <w:color w:val="auto"/>
              </w:rPr>
              <w:t>2003</w:t>
            </w: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jc w:val="right"/>
              <w:ind w:right="116"/>
              <w:spacing w:after="0"/>
              <w:rPr>
                <w:sz w:val="20"/>
                <w:szCs w:val="20"/>
                <w:color w:val="auto"/>
              </w:rPr>
            </w:pPr>
            <w:r>
              <w:rPr>
                <w:rFonts w:ascii="Arial" w:cs="Arial" w:eastAsia="Arial" w:hAnsi="Arial"/>
                <w:sz w:val="14"/>
                <w:szCs w:val="14"/>
                <w:b w:val="1"/>
                <w:bCs w:val="1"/>
                <w:color w:val="auto"/>
              </w:rPr>
              <w:t>2002</w:t>
            </w:r>
          </w:p>
        </w:tc>
        <w:tc>
          <w:tcPr>
            <w:tcW w:w="420" w:type="dxa"/>
            <w:vAlign w:val="bottom"/>
          </w:tcPr>
          <w:p>
            <w:pPr>
              <w:spacing w:after="0"/>
              <w:rPr>
                <w:sz w:val="15"/>
                <w:szCs w:val="15"/>
                <w:color w:val="auto"/>
              </w:rPr>
            </w:pPr>
          </w:p>
        </w:tc>
        <w:tc>
          <w:tcPr>
            <w:tcW w:w="680" w:type="dxa"/>
            <w:vAlign w:val="bottom"/>
          </w:tcPr>
          <w:p>
            <w:pPr>
              <w:jc w:val="right"/>
              <w:ind w:right="117"/>
              <w:spacing w:after="0"/>
              <w:rPr>
                <w:sz w:val="20"/>
                <w:szCs w:val="20"/>
                <w:color w:val="auto"/>
              </w:rPr>
            </w:pPr>
            <w:r>
              <w:rPr>
                <w:rFonts w:ascii="Arial" w:cs="Arial" w:eastAsia="Arial" w:hAnsi="Arial"/>
                <w:sz w:val="14"/>
                <w:szCs w:val="14"/>
                <w:b w:val="1"/>
                <w:bCs w:val="1"/>
                <w:color w:val="auto"/>
              </w:rPr>
              <w:t>2003</w:t>
            </w: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jc w:val="right"/>
              <w:ind w:right="116"/>
              <w:spacing w:after="0"/>
              <w:rPr>
                <w:sz w:val="20"/>
                <w:szCs w:val="20"/>
                <w:color w:val="auto"/>
              </w:rPr>
            </w:pPr>
            <w:r>
              <w:rPr>
                <w:rFonts w:ascii="Arial" w:cs="Arial" w:eastAsia="Arial" w:hAnsi="Arial"/>
                <w:sz w:val="14"/>
                <w:szCs w:val="14"/>
                <w:b w:val="1"/>
                <w:bCs w:val="1"/>
                <w:color w:val="auto"/>
              </w:rPr>
              <w:t>2002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626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40" w:type="dxa"/>
            <w:vAlign w:val="bottom"/>
          </w:tcPr>
          <w:p>
            <w:pPr>
              <w:spacing w:after="0"/>
              <w:rPr>
                <w:sz w:val="8"/>
                <w:szCs w:val="8"/>
                <w:color w:val="auto"/>
              </w:rPr>
            </w:pPr>
          </w:p>
        </w:tc>
        <w:tc>
          <w:tcPr>
            <w:tcW w:w="6260" w:type="dxa"/>
            <w:vAlign w:val="bottom"/>
          </w:tcPr>
          <w:p>
            <w:pPr>
              <w:spacing w:after="0"/>
              <w:rPr>
                <w:sz w:val="8"/>
                <w:szCs w:val="8"/>
                <w:color w:val="auto"/>
              </w:rPr>
            </w:pPr>
          </w:p>
        </w:tc>
        <w:tc>
          <w:tcPr>
            <w:tcW w:w="60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$ 60,648</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51,144</w:t>
            </w:r>
          </w:p>
        </w:tc>
        <w:tc>
          <w:tcPr>
            <w:tcW w:w="4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$ 133,710</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260" w:type="dxa"/>
            <w:vAlign w:val="bottom"/>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40" w:type="dxa"/>
            <w:vAlign w:val="bottom"/>
          </w:tcPr>
          <w:p>
            <w:pPr>
              <w:spacing w:after="0"/>
              <w:rPr>
                <w:sz w:val="8"/>
                <w:szCs w:val="8"/>
                <w:color w:val="auto"/>
              </w:rPr>
            </w:pPr>
          </w:p>
        </w:tc>
        <w:tc>
          <w:tcPr>
            <w:tcW w:w="6260" w:type="dxa"/>
            <w:vAlign w:val="bottom"/>
          </w:tcPr>
          <w:p>
            <w:pPr>
              <w:spacing w:after="0"/>
              <w:rPr>
                <w:sz w:val="8"/>
                <w:szCs w:val="8"/>
                <w:color w:val="auto"/>
              </w:rPr>
            </w:pPr>
          </w:p>
        </w:tc>
        <w:tc>
          <w:tcPr>
            <w:tcW w:w="60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comprehensive income (loss)</w:t>
            </w:r>
          </w:p>
        </w:tc>
        <w:tc>
          <w:tcPr>
            <w:tcW w:w="6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gridSpan w:val="2"/>
          </w:tcPr>
          <w:p>
            <w:pPr>
              <w:ind w:left="420"/>
              <w:spacing w:after="0"/>
              <w:rPr>
                <w:sz w:val="20"/>
                <w:szCs w:val="20"/>
                <w:color w:val="auto"/>
              </w:rPr>
            </w:pPr>
            <w:r>
              <w:rPr>
                <w:rFonts w:ascii="Arial" w:cs="Arial" w:eastAsia="Arial" w:hAnsi="Arial"/>
                <w:sz w:val="18"/>
                <w:szCs w:val="18"/>
                <w:color w:val="auto"/>
              </w:rPr>
              <w:t>Foreign currency translation adjustment</w:t>
            </w:r>
          </w:p>
        </w:tc>
        <w:tc>
          <w:tcPr>
            <w:tcW w:w="600" w:type="dxa"/>
            <w:vAlign w:val="bottom"/>
          </w:tcPr>
          <w:p>
            <w:pPr>
              <w:jc w:val="right"/>
              <w:spacing w:after="0"/>
              <w:rPr>
                <w:sz w:val="20"/>
                <w:szCs w:val="20"/>
                <w:color w:val="auto"/>
              </w:rPr>
            </w:pPr>
            <w:r>
              <w:rPr>
                <w:rFonts w:ascii="Arial" w:cs="Arial" w:eastAsia="Arial" w:hAnsi="Arial"/>
                <w:sz w:val="18"/>
                <w:szCs w:val="18"/>
                <w:color w:val="auto"/>
              </w:rPr>
              <w:t>5,088</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4,318</w:t>
            </w:r>
          </w:p>
        </w:tc>
        <w:tc>
          <w:tcPr>
            <w:tcW w:w="4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8,193</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4,417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Reclassification adjustment on sale of affiliate investment</w:t>
            </w:r>
          </w:p>
        </w:tc>
        <w:tc>
          <w:tcPr>
            <w:tcW w:w="10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(1,633)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gridSpan w:val="2"/>
          </w:tcPr>
          <w:p>
            <w:pPr>
              <w:ind w:left="420"/>
              <w:spacing w:after="0"/>
              <w:rPr>
                <w:sz w:val="20"/>
                <w:szCs w:val="20"/>
                <w:color w:val="auto"/>
              </w:rPr>
            </w:pPr>
            <w:r>
              <w:rPr>
                <w:rFonts w:ascii="Arial" w:cs="Arial" w:eastAsia="Arial" w:hAnsi="Arial"/>
                <w:sz w:val="18"/>
                <w:szCs w:val="18"/>
                <w:color w:val="auto"/>
              </w:rPr>
              <w:t>Change in unrealized gain on available-for-sale securities</w:t>
            </w:r>
          </w:p>
        </w:tc>
        <w:tc>
          <w:tcPr>
            <w:tcW w:w="600" w:type="dxa"/>
            <w:vAlign w:val="bottom"/>
          </w:tcPr>
          <w:p>
            <w:pPr>
              <w:jc w:val="right"/>
              <w:spacing w:after="0"/>
              <w:rPr>
                <w:sz w:val="20"/>
                <w:szCs w:val="20"/>
                <w:color w:val="auto"/>
              </w:rPr>
            </w:pPr>
            <w:r>
              <w:rPr>
                <w:rFonts w:ascii="Arial" w:cs="Arial" w:eastAsia="Arial" w:hAnsi="Arial"/>
                <w:sz w:val="18"/>
                <w:szCs w:val="18"/>
                <w:color w:val="auto"/>
              </w:rPr>
              <w:t>23,370</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w w:val="92"/>
              </w:rPr>
              <w:t>(13,049)</w:t>
            </w:r>
          </w:p>
        </w:tc>
        <w:tc>
          <w:tcPr>
            <w:tcW w:w="680" w:type="dxa"/>
            <w:vAlign w:val="bottom"/>
          </w:tcPr>
          <w:p>
            <w:pPr>
              <w:jc w:val="right"/>
              <w:spacing w:after="0"/>
              <w:rPr>
                <w:sz w:val="20"/>
                <w:szCs w:val="20"/>
                <w:color w:val="auto"/>
              </w:rPr>
            </w:pPr>
            <w:r>
              <w:rPr>
                <w:rFonts w:ascii="Arial" w:cs="Arial" w:eastAsia="Arial" w:hAnsi="Arial"/>
                <w:sz w:val="18"/>
                <w:szCs w:val="18"/>
                <w:color w:val="auto"/>
              </w:rPr>
              <w:t>1,652</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(15,430)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Less: reclassification adjustment for realized (gains) losses included in net income</w:t>
            </w:r>
          </w:p>
        </w:tc>
        <w:tc>
          <w:tcPr>
            <w:tcW w:w="10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(11,209)</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260" w:type="dxa"/>
            <w:vAlign w:val="bottom"/>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260" w:type="dxa"/>
            <w:vAlign w:val="bottom"/>
          </w:tcPr>
          <w:p>
            <w:pPr>
              <w:spacing w:after="0"/>
              <w:rPr>
                <w:sz w:val="8"/>
                <w:szCs w:val="8"/>
                <w:color w:val="auto"/>
              </w:rPr>
            </w:pPr>
          </w:p>
        </w:tc>
        <w:tc>
          <w:tcPr>
            <w:tcW w:w="60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2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28,458</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(8,731)</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8,426</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(22,222)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0" w:type="dxa"/>
            <w:vAlign w:val="bottom"/>
            <w:gridSpan w:val="2"/>
          </w:tcPr>
          <w:p>
            <w:pPr>
              <w:ind w:left="420"/>
              <w:spacing w:after="0"/>
              <w:rPr>
                <w:sz w:val="20"/>
                <w:szCs w:val="20"/>
                <w:color w:val="auto"/>
              </w:rPr>
            </w:pPr>
            <w:r>
              <w:rPr>
                <w:rFonts w:ascii="Arial" w:cs="Arial" w:eastAsia="Arial" w:hAnsi="Arial"/>
                <w:sz w:val="18"/>
                <w:szCs w:val="18"/>
                <w:color w:val="auto"/>
              </w:rPr>
              <w:t>Income tax (expense) benefit related to other comprehensive income</w:t>
            </w: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(9,114)</w:t>
            </w: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5,080</w:t>
            </w:r>
          </w:p>
        </w:tc>
        <w:tc>
          <w:tcPr>
            <w:tcW w:w="420" w:type="dxa"/>
            <w:vAlign w:val="bottom"/>
          </w:tcPr>
          <w:p>
            <w:pPr>
              <w:spacing w:after="0"/>
              <w:rPr>
                <w:sz w:val="19"/>
                <w:szCs w:val="19"/>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(728)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10,345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26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260" w:type="dxa"/>
            <w:vAlign w:val="bottom"/>
          </w:tcPr>
          <w:p>
            <w:pPr>
              <w:spacing w:after="0"/>
              <w:rPr>
                <w:sz w:val="8"/>
                <w:szCs w:val="8"/>
                <w:color w:val="auto"/>
              </w:rPr>
            </w:pPr>
          </w:p>
        </w:tc>
        <w:tc>
          <w:tcPr>
            <w:tcW w:w="60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2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19,344</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(3,651)</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7,698</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(11,877)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260" w:type="dxa"/>
            <w:vAlign w:val="bottom"/>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40" w:type="dxa"/>
            <w:vAlign w:val="bottom"/>
          </w:tcPr>
          <w:p>
            <w:pPr>
              <w:spacing w:after="0"/>
              <w:rPr>
                <w:sz w:val="8"/>
                <w:szCs w:val="8"/>
                <w:color w:val="auto"/>
              </w:rPr>
            </w:pPr>
          </w:p>
        </w:tc>
        <w:tc>
          <w:tcPr>
            <w:tcW w:w="6260" w:type="dxa"/>
            <w:vAlign w:val="bottom"/>
          </w:tcPr>
          <w:p>
            <w:pPr>
              <w:spacing w:after="0"/>
              <w:rPr>
                <w:sz w:val="8"/>
                <w:szCs w:val="8"/>
                <w:color w:val="auto"/>
              </w:rPr>
            </w:pPr>
          </w:p>
        </w:tc>
        <w:tc>
          <w:tcPr>
            <w:tcW w:w="60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$ 79,992</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47,493</w:t>
            </w:r>
          </w:p>
        </w:tc>
        <w:tc>
          <w:tcPr>
            <w:tcW w:w="4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$ 141,408</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7420" w:type="dxa"/>
            <w:vAlign w:val="bottom"/>
            <w:gridSpan w:val="3"/>
            <w:vMerge w:val="restart"/>
          </w:tcPr>
          <w:p>
            <w:pPr>
              <w:jc w:val="right"/>
              <w:ind w:right="1660"/>
              <w:spacing w:after="0"/>
              <w:rPr>
                <w:sz w:val="20"/>
                <w:szCs w:val="20"/>
                <w:color w:val="auto"/>
              </w:rPr>
            </w:pPr>
            <w:r>
              <w:rPr>
                <w:rFonts w:ascii="Arial" w:cs="Arial" w:eastAsia="Arial" w:hAnsi="Arial"/>
                <w:sz w:val="18"/>
                <w:szCs w:val="18"/>
                <w:color w:val="auto"/>
              </w:rPr>
              <w:t>5</w:t>
            </w:r>
          </w:p>
        </w:tc>
        <w:tc>
          <w:tcPr>
            <w:tcW w:w="60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7420" w:type="dxa"/>
            <w:vAlign w:val="bottom"/>
            <w:gridSpan w:val="3"/>
            <w:vMerge w:val="continue"/>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4711065</wp:posOffset>
            </wp:positionH>
            <wp:positionV relativeFrom="paragraph">
              <wp:posOffset>-325755</wp:posOffset>
            </wp:positionV>
            <wp:extent cx="12700"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-325755</wp:posOffset>
            </wp:positionV>
            <wp:extent cx="21590"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-325755</wp:posOffset>
            </wp:positionV>
            <wp:extent cx="38735"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-325755</wp:posOffset>
            </wp:positionV>
            <wp:extent cx="12700"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5414645</wp:posOffset>
            </wp:positionH>
            <wp:positionV relativeFrom="paragraph">
              <wp:posOffset>-325755</wp:posOffset>
            </wp:positionV>
            <wp:extent cx="21590"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-325755</wp:posOffset>
            </wp:positionV>
            <wp:extent cx="38735"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-325755</wp:posOffset>
            </wp:positionV>
            <wp:extent cx="12700"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6100445</wp:posOffset>
            </wp:positionH>
            <wp:positionV relativeFrom="paragraph">
              <wp:posOffset>-325755</wp:posOffset>
            </wp:positionV>
            <wp:extent cx="21590"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-325755</wp:posOffset>
            </wp:positionV>
            <wp:extent cx="38735"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6760845</wp:posOffset>
            </wp:positionH>
            <wp:positionV relativeFrom="paragraph">
              <wp:posOffset>-325755</wp:posOffset>
            </wp:positionV>
            <wp:extent cx="12700"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-325755</wp:posOffset>
            </wp:positionV>
            <wp:extent cx="21590"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-325755</wp:posOffset>
            </wp:positionV>
            <wp:extent cx="38735"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280" w:right="239" w:bottom="1440" w:gutter="0" w:footer="0" w:header="0"/>
        </w:sectPr>
      </w:pPr>
    </w:p>
    <w:bookmarkStart w:id="5" w:name="page6"/>
    <w:bookmarkEnd w:id="5"/>
    <w:p>
      <w:pPr>
        <w:ind w:lef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Washington Post Company</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Condensed Consolidated Balance Sheets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860" w:type="dxa"/>
            <w:vAlign w:val="bottom"/>
          </w:tcPr>
          <w:p>
            <w:pPr>
              <w:spacing w:after="0"/>
              <w:rPr>
                <w:sz w:val="14"/>
                <w:szCs w:val="14"/>
                <w:color w:val="auto"/>
              </w:rPr>
            </w:pPr>
          </w:p>
        </w:tc>
        <w:tc>
          <w:tcPr>
            <w:tcW w:w="1420" w:type="dxa"/>
            <w:vAlign w:val="bottom"/>
            <w:gridSpan w:val="3"/>
          </w:tcPr>
          <w:p>
            <w:pPr>
              <w:jc w:val="right"/>
              <w:ind w:right="600"/>
              <w:spacing w:after="0"/>
              <w:rPr>
                <w:sz w:val="20"/>
                <w:szCs w:val="20"/>
                <w:color w:val="auto"/>
              </w:rPr>
            </w:pPr>
            <w:r>
              <w:rPr>
                <w:rFonts w:ascii="Arial" w:cs="Arial" w:eastAsia="Arial" w:hAnsi="Arial"/>
                <w:sz w:val="14"/>
                <w:szCs w:val="14"/>
                <w:b w:val="1"/>
                <w:bCs w:val="1"/>
                <w:color w:val="auto"/>
                <w:w w:val="87"/>
              </w:rPr>
              <w:t>June 29, 2003</w:t>
            </w:r>
          </w:p>
        </w:tc>
        <w:tc>
          <w:tcPr>
            <w:tcW w:w="98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87"/>
              </w:rPr>
              <w:t>December 29,</w:t>
            </w:r>
          </w:p>
        </w:tc>
        <w:tc>
          <w:tcPr>
            <w:tcW w:w="0" w:type="dxa"/>
            <w:vAlign w:val="bottom"/>
          </w:tcPr>
          <w:p>
            <w:pPr>
              <w:spacing w:after="0"/>
              <w:rPr>
                <w:sz w:val="1"/>
                <w:szCs w:val="1"/>
                <w:color w:val="auto"/>
              </w:rPr>
            </w:pPr>
          </w:p>
        </w:tc>
      </w:tr>
      <w:tr>
        <w:trPr>
          <w:trHeight w:val="174"/>
        </w:trPr>
        <w:tc>
          <w:tcPr>
            <w:tcW w:w="902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80" w:type="dxa"/>
            <w:vAlign w:val="bottom"/>
          </w:tcPr>
          <w:p>
            <w:pPr>
              <w:spacing w:after="0"/>
              <w:rPr>
                <w:sz w:val="15"/>
                <w:szCs w:val="15"/>
                <w:color w:val="auto"/>
              </w:rPr>
            </w:pPr>
          </w:p>
        </w:tc>
        <w:tc>
          <w:tcPr>
            <w:tcW w:w="134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w w:val="89"/>
              </w:rPr>
              <w:t>(unaudited)</w:t>
            </w:r>
          </w:p>
        </w:tc>
        <w:tc>
          <w:tcPr>
            <w:tcW w:w="100" w:type="dxa"/>
            <w:vAlign w:val="bottom"/>
          </w:tcPr>
          <w:p>
            <w:pPr>
              <w:spacing w:after="0"/>
              <w:rPr>
                <w:sz w:val="15"/>
                <w:szCs w:val="15"/>
                <w:color w:val="auto"/>
              </w:rPr>
            </w:pPr>
          </w:p>
        </w:tc>
        <w:tc>
          <w:tcPr>
            <w:tcW w:w="780" w:type="dxa"/>
            <w:vAlign w:val="bottom"/>
          </w:tcPr>
          <w:p>
            <w:pPr>
              <w:jc w:val="right"/>
              <w:ind w:right="233"/>
              <w:spacing w:after="0"/>
              <w:rPr>
                <w:sz w:val="20"/>
                <w:szCs w:val="20"/>
                <w:color w:val="auto"/>
              </w:rPr>
            </w:pPr>
            <w:r>
              <w:rPr>
                <w:rFonts w:ascii="Arial" w:cs="Arial" w:eastAsia="Arial" w:hAnsi="Arial"/>
                <w:sz w:val="14"/>
                <w:szCs w:val="14"/>
                <w:b w:val="1"/>
                <w:bCs w:val="1"/>
                <w:color w:val="auto"/>
              </w:rPr>
              <w:t>2002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78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40" w:type="dxa"/>
            <w:vAlign w:val="bottom"/>
          </w:tcPr>
          <w:p>
            <w:pPr>
              <w:spacing w:after="0"/>
              <w:rPr>
                <w:sz w:val="8"/>
                <w:szCs w:val="8"/>
                <w:color w:val="auto"/>
              </w:rPr>
            </w:pPr>
          </w:p>
        </w:tc>
        <w:tc>
          <w:tcPr>
            <w:tcW w:w="78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Assets</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30,796</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gridSpan w:val="2"/>
          </w:tcPr>
          <w:p>
            <w:pPr>
              <w:ind w:left="420"/>
              <w:spacing w:after="0"/>
              <w:rPr>
                <w:sz w:val="20"/>
                <w:szCs w:val="20"/>
                <w:color w:val="auto"/>
              </w:rPr>
            </w:pPr>
            <w:r>
              <w:rPr>
                <w:rFonts w:ascii="Arial" w:cs="Arial" w:eastAsia="Arial" w:hAnsi="Arial"/>
                <w:sz w:val="18"/>
                <w:szCs w:val="18"/>
                <w:color w:val="auto"/>
              </w:rPr>
              <w:t>Investments in marketable equity securities</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1,920</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Accounts receivable, net</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300,982</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285,374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gridSpan w:val="2"/>
          </w:tcPr>
          <w:p>
            <w:pPr>
              <w:ind w:left="420"/>
              <w:spacing w:after="0"/>
              <w:rPr>
                <w:sz w:val="20"/>
                <w:szCs w:val="20"/>
                <w:color w:val="auto"/>
              </w:rPr>
            </w:pPr>
            <w:r>
              <w:rPr>
                <w:rFonts w:ascii="Arial" w:cs="Arial" w:eastAsia="Arial" w:hAnsi="Arial"/>
                <w:sz w:val="18"/>
                <w:szCs w:val="18"/>
                <w:color w:val="auto"/>
              </w:rPr>
              <w:t>Inventories</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31,476</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27,629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Income taxes receivable</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1,004</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000" w:type="dxa"/>
            <w:vAlign w:val="bottom"/>
            <w:gridSpan w:val="2"/>
          </w:tcPr>
          <w:p>
            <w:pPr>
              <w:ind w:left="420"/>
              <w:spacing w:after="0"/>
              <w:rPr>
                <w:sz w:val="20"/>
                <w:szCs w:val="20"/>
                <w:color w:val="auto"/>
              </w:rPr>
            </w:pPr>
            <w:r>
              <w:rPr>
                <w:rFonts w:ascii="Arial" w:cs="Arial" w:eastAsia="Arial" w:hAnsi="Arial"/>
                <w:sz w:val="18"/>
                <w:szCs w:val="18"/>
                <w:color w:val="auto"/>
              </w:rPr>
              <w:t>Other current assets</w:t>
            </w: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35,695</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39,428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8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8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7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401,873</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382,955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9020" w:type="dxa"/>
            <w:vAlign w:val="bottom"/>
            <w:gridSpan w:val="3"/>
          </w:tcPr>
          <w:p>
            <w:pPr>
              <w:spacing w:after="0"/>
              <w:rPr>
                <w:sz w:val="20"/>
                <w:szCs w:val="20"/>
                <w:color w:val="auto"/>
              </w:rPr>
            </w:pPr>
            <w:r>
              <w:rPr>
                <w:rFonts w:ascii="Arial" w:cs="Arial" w:eastAsia="Arial" w:hAnsi="Arial"/>
                <w:sz w:val="18"/>
                <w:szCs w:val="18"/>
                <w:color w:val="auto"/>
              </w:rPr>
              <w:t>Property, plant and equipment</w:t>
            </w: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0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Buildings</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284,252</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283,233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gridSpan w:val="2"/>
          </w:tcPr>
          <w:p>
            <w:pPr>
              <w:ind w:left="420"/>
              <w:spacing w:after="0"/>
              <w:rPr>
                <w:sz w:val="20"/>
                <w:szCs w:val="20"/>
                <w:color w:val="auto"/>
              </w:rPr>
            </w:pPr>
            <w:r>
              <w:rPr>
                <w:rFonts w:ascii="Arial" w:cs="Arial" w:eastAsia="Arial" w:hAnsi="Arial"/>
                <w:sz w:val="18"/>
                <w:szCs w:val="18"/>
                <w:color w:val="auto"/>
              </w:rPr>
              <w:t>Machinery, equipment and fixtures</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1,612,931</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1,551,931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Leasehold improvements</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94,671</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8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8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7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1,991,854</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1,920,884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000" w:type="dxa"/>
            <w:vAlign w:val="bottom"/>
            <w:gridSpan w:val="2"/>
          </w:tcPr>
          <w:p>
            <w:pPr>
              <w:ind w:left="420"/>
              <w:spacing w:after="0"/>
              <w:rPr>
                <w:sz w:val="20"/>
                <w:szCs w:val="20"/>
                <w:color w:val="auto"/>
              </w:rPr>
            </w:pPr>
            <w:r>
              <w:rPr>
                <w:rFonts w:ascii="Arial" w:cs="Arial" w:eastAsia="Arial" w:hAnsi="Arial"/>
                <w:sz w:val="18"/>
                <w:szCs w:val="18"/>
                <w:color w:val="auto"/>
              </w:rPr>
              <w:t>Less accumulated depreciation</w:t>
            </w:r>
          </w:p>
        </w:tc>
        <w:tc>
          <w:tcPr>
            <w:tcW w:w="80" w:type="dxa"/>
            <w:vAlign w:val="bottom"/>
          </w:tcPr>
          <w:p>
            <w:pPr>
              <w:spacing w:after="0"/>
              <w:rPr>
                <w:sz w:val="19"/>
                <w:szCs w:val="19"/>
                <w:color w:val="auto"/>
              </w:rPr>
            </w:pPr>
          </w:p>
        </w:tc>
        <w:tc>
          <w:tcPr>
            <w:tcW w:w="1340" w:type="dxa"/>
            <w:vAlign w:val="bottom"/>
            <w:gridSpan w:val="2"/>
          </w:tcPr>
          <w:p>
            <w:pPr>
              <w:jc w:val="right"/>
              <w:ind w:right="480"/>
              <w:spacing w:after="0"/>
              <w:rPr>
                <w:sz w:val="20"/>
                <w:szCs w:val="20"/>
                <w:color w:val="auto"/>
              </w:rPr>
            </w:pPr>
            <w:r>
              <w:rPr>
                <w:rFonts w:ascii="Arial" w:cs="Arial" w:eastAsia="Arial" w:hAnsi="Arial"/>
                <w:sz w:val="18"/>
                <w:szCs w:val="18"/>
                <w:color w:val="auto"/>
                <w:w w:val="91"/>
              </w:rPr>
              <w:t>(1,018,458)</w:t>
            </w:r>
          </w:p>
        </w:tc>
        <w:tc>
          <w:tcPr>
            <w:tcW w:w="10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(926,385)</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8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8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7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973,396</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994,499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gridSpan w:val="2"/>
          </w:tcPr>
          <w:p>
            <w:pPr>
              <w:ind w:left="420"/>
              <w:spacing w:after="0"/>
              <w:rPr>
                <w:sz w:val="20"/>
                <w:szCs w:val="20"/>
                <w:color w:val="auto"/>
              </w:rPr>
            </w:pPr>
            <w:r>
              <w:rPr>
                <w:rFonts w:ascii="Arial" w:cs="Arial" w:eastAsia="Arial" w:hAnsi="Arial"/>
                <w:sz w:val="18"/>
                <w:szCs w:val="18"/>
                <w:color w:val="auto"/>
              </w:rPr>
              <w:t>Land</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34,550</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34,530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Construction in progress</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61,033</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8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8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7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1,068,979</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1,094,400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gridSpan w:val="2"/>
          </w:tcPr>
          <w:p>
            <w:pPr>
              <w:spacing w:after="0"/>
              <w:rPr>
                <w:sz w:val="20"/>
                <w:szCs w:val="20"/>
                <w:color w:val="auto"/>
              </w:rPr>
            </w:pPr>
            <w:r>
              <w:rPr>
                <w:rFonts w:ascii="Arial" w:cs="Arial" w:eastAsia="Arial" w:hAnsi="Arial"/>
                <w:sz w:val="18"/>
                <w:szCs w:val="18"/>
                <w:color w:val="auto"/>
              </w:rPr>
              <w:t>Investments in marketable equity securities</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216,265</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214,780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Investments in affiliates</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61,295</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gridSpan w:val="2"/>
          </w:tcPr>
          <w:p>
            <w:pPr>
              <w:spacing w:after="0"/>
              <w:rPr>
                <w:sz w:val="20"/>
                <w:szCs w:val="20"/>
                <w:color w:val="auto"/>
              </w:rPr>
            </w:pPr>
            <w:r>
              <w:rPr>
                <w:rFonts w:ascii="Arial" w:cs="Arial" w:eastAsia="Arial" w:hAnsi="Arial"/>
                <w:sz w:val="18"/>
                <w:szCs w:val="18"/>
                <w:color w:val="auto"/>
              </w:rPr>
              <w:t>Goodwill, net</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874,948</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770,861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Indefinite-lived intangible assets, net</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483,919</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482,419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gridSpan w:val="2"/>
          </w:tcPr>
          <w:p>
            <w:pPr>
              <w:spacing w:after="0"/>
              <w:rPr>
                <w:sz w:val="20"/>
                <w:szCs w:val="20"/>
                <w:color w:val="auto"/>
              </w:rPr>
            </w:pPr>
            <w:r>
              <w:rPr>
                <w:rFonts w:ascii="Arial" w:cs="Arial" w:eastAsia="Arial" w:hAnsi="Arial"/>
                <w:sz w:val="18"/>
                <w:szCs w:val="18"/>
                <w:color w:val="auto"/>
              </w:rPr>
              <w:t>Amortized intangible assets, net</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6,032</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Prepaid pension cost</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518,313</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493,786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000" w:type="dxa"/>
            <w:vAlign w:val="bottom"/>
            <w:gridSpan w:val="2"/>
          </w:tcPr>
          <w:p>
            <w:pPr>
              <w:spacing w:after="0"/>
              <w:rPr>
                <w:sz w:val="20"/>
                <w:szCs w:val="20"/>
                <w:color w:val="auto"/>
              </w:rPr>
            </w:pPr>
            <w:r>
              <w:rPr>
                <w:rFonts w:ascii="Arial" w:cs="Arial" w:eastAsia="Arial" w:hAnsi="Arial"/>
                <w:sz w:val="18"/>
                <w:szCs w:val="18"/>
                <w:color w:val="auto"/>
              </w:rPr>
              <w:t>Deferred charges and other assets</w:t>
            </w: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83,442</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71,837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8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8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78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3,715,066</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3,583,894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140" w:type="dxa"/>
            <w:vAlign w:val="bottom"/>
          </w:tcPr>
          <w:p>
            <w:pPr>
              <w:spacing w:after="0"/>
              <w:rPr>
                <w:sz w:val="9"/>
                <w:szCs w:val="9"/>
                <w:color w:val="auto"/>
              </w:rPr>
            </w:pPr>
          </w:p>
        </w:tc>
        <w:tc>
          <w:tcPr>
            <w:tcW w:w="78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Liabilities and Shareholders’ Equity</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9020" w:type="dxa"/>
            <w:vAlign w:val="bottom"/>
            <w:gridSpan w:val="3"/>
          </w:tcPr>
          <w:p>
            <w:pPr>
              <w:spacing w:after="0"/>
              <w:rPr>
                <w:sz w:val="20"/>
                <w:szCs w:val="20"/>
                <w:color w:val="auto"/>
              </w:rPr>
            </w:pPr>
            <w:r>
              <w:rPr>
                <w:rFonts w:ascii="Arial" w:cs="Arial" w:eastAsia="Arial" w:hAnsi="Arial"/>
                <w:sz w:val="18"/>
                <w:szCs w:val="18"/>
                <w:color w:val="auto"/>
              </w:rPr>
              <w:t>Current liabilities</w:t>
            </w: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0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Accounts payable and accrued liabilities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351,674</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336,582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gridSpan w:val="2"/>
          </w:tcPr>
          <w:p>
            <w:pPr>
              <w:ind w:left="420"/>
              <w:spacing w:after="0"/>
              <w:rPr>
                <w:sz w:val="20"/>
                <w:szCs w:val="20"/>
                <w:color w:val="auto"/>
              </w:rPr>
            </w:pPr>
            <w:r>
              <w:rPr>
                <w:rFonts w:ascii="Arial" w:cs="Arial" w:eastAsia="Arial" w:hAnsi="Arial"/>
                <w:sz w:val="18"/>
                <w:szCs w:val="18"/>
                <w:color w:val="auto"/>
              </w:rPr>
              <w:t>Deferred revenue</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160,372</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135,419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Dividends declared</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14,000</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gridSpan w:val="2"/>
          </w:tcPr>
          <w:p>
            <w:pPr>
              <w:ind w:left="420"/>
              <w:spacing w:after="0"/>
              <w:rPr>
                <w:sz w:val="20"/>
                <w:szCs w:val="20"/>
                <w:color w:val="auto"/>
              </w:rPr>
            </w:pPr>
            <w:r>
              <w:rPr>
                <w:rFonts w:ascii="Arial" w:cs="Arial" w:eastAsia="Arial" w:hAnsi="Arial"/>
                <w:sz w:val="18"/>
                <w:szCs w:val="18"/>
                <w:color w:val="auto"/>
              </w:rPr>
              <w:t>Federal and state income taxes payable</w:t>
            </w:r>
          </w:p>
        </w:tc>
        <w:tc>
          <w:tcPr>
            <w:tcW w:w="80" w:type="dxa"/>
            <w:vAlign w:val="bottom"/>
          </w:tcPr>
          <w:p>
            <w:pPr>
              <w:spacing w:after="0"/>
              <w:rPr>
                <w:sz w:val="18"/>
                <w:szCs w:val="18"/>
                <w:color w:val="auto"/>
              </w:rPr>
            </w:pPr>
          </w:p>
        </w:tc>
        <w:tc>
          <w:tcPr>
            <w:tcW w:w="134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4,853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Short-term borrowings</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195,141</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259,258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8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8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7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721,187</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736,112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9020" w:type="dxa"/>
            <w:vAlign w:val="bottom"/>
            <w:gridSpan w:val="3"/>
          </w:tcPr>
          <w:p>
            <w:pPr>
              <w:spacing w:after="0"/>
              <w:rPr>
                <w:sz w:val="20"/>
                <w:szCs w:val="20"/>
                <w:color w:val="auto"/>
              </w:rPr>
            </w:pPr>
            <w:r>
              <w:rPr>
                <w:rFonts w:ascii="Arial" w:cs="Arial" w:eastAsia="Arial" w:hAnsi="Arial"/>
                <w:sz w:val="18"/>
                <w:szCs w:val="18"/>
                <w:color w:val="auto"/>
              </w:rPr>
              <w:t>Postretirement benefits other than pensions</w:t>
            </w:r>
          </w:p>
        </w:tc>
        <w:tc>
          <w:tcPr>
            <w:tcW w:w="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138,730</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136,393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198,538</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194,480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gridSpan w:val="2"/>
          </w:tcPr>
          <w:p>
            <w:pPr>
              <w:spacing w:after="0"/>
              <w:rPr>
                <w:sz w:val="20"/>
                <w:szCs w:val="20"/>
                <w:color w:val="auto"/>
              </w:rPr>
            </w:pPr>
            <w:r>
              <w:rPr>
                <w:rFonts w:ascii="Arial" w:cs="Arial" w:eastAsia="Arial" w:hAnsi="Arial"/>
                <w:sz w:val="18"/>
                <w:szCs w:val="18"/>
                <w:color w:val="auto"/>
              </w:rPr>
              <w:t>Deferred income taxes</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267,420</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261,153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debt</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427,793</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405,547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8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8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7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1,753,668</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1,733,685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9020" w:type="dxa"/>
            <w:vAlign w:val="bottom"/>
            <w:gridSpan w:val="3"/>
          </w:tcPr>
          <w:p>
            <w:pPr>
              <w:spacing w:after="0"/>
              <w:rPr>
                <w:sz w:val="20"/>
                <w:szCs w:val="20"/>
                <w:color w:val="auto"/>
              </w:rPr>
            </w:pPr>
            <w:r>
              <w:rPr>
                <w:rFonts w:ascii="Arial" w:cs="Arial" w:eastAsia="Arial" w:hAnsi="Arial"/>
                <w:sz w:val="18"/>
                <w:szCs w:val="18"/>
                <w:color w:val="auto"/>
              </w:rPr>
              <w:t>Redeemable preferred stock</w:t>
            </w:r>
          </w:p>
        </w:tc>
        <w:tc>
          <w:tcPr>
            <w:tcW w:w="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12,622</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12,916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8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40" w:type="dxa"/>
            <w:vAlign w:val="bottom"/>
          </w:tcPr>
          <w:p>
            <w:pPr>
              <w:spacing w:after="0"/>
              <w:rPr>
                <w:sz w:val="8"/>
                <w:szCs w:val="8"/>
                <w:color w:val="auto"/>
              </w:rPr>
            </w:pPr>
          </w:p>
        </w:tc>
        <w:tc>
          <w:tcPr>
            <w:tcW w:w="78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Preferred stock</w:t>
            </w: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8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40" w:type="dxa"/>
            <w:vAlign w:val="bottom"/>
          </w:tcPr>
          <w:p>
            <w:pPr>
              <w:spacing w:after="0"/>
              <w:rPr>
                <w:sz w:val="8"/>
                <w:szCs w:val="8"/>
                <w:color w:val="auto"/>
              </w:rPr>
            </w:pPr>
          </w:p>
        </w:tc>
        <w:tc>
          <w:tcPr>
            <w:tcW w:w="78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Common shareholders’ equity</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gridSpan w:val="2"/>
          </w:tcPr>
          <w:p>
            <w:pPr>
              <w:ind w:left="420"/>
              <w:spacing w:after="0"/>
              <w:rPr>
                <w:sz w:val="20"/>
                <w:szCs w:val="20"/>
                <w:color w:val="auto"/>
              </w:rPr>
            </w:pPr>
            <w:r>
              <w:rPr>
                <w:rFonts w:ascii="Arial" w:cs="Arial" w:eastAsia="Arial" w:hAnsi="Arial"/>
                <w:sz w:val="18"/>
                <w:szCs w:val="18"/>
                <w:color w:val="auto"/>
              </w:rPr>
              <w:t>Common stock</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20,000</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Capital in excess of par value</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158,754</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149,090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gridSpan w:val="2"/>
          </w:tcPr>
          <w:p>
            <w:pPr>
              <w:ind w:left="420"/>
              <w:spacing w:after="0"/>
              <w:rPr>
                <w:sz w:val="20"/>
                <w:szCs w:val="20"/>
                <w:color w:val="auto"/>
              </w:rPr>
            </w:pPr>
            <w:r>
              <w:rPr>
                <w:rFonts w:ascii="Arial" w:cs="Arial" w:eastAsia="Arial" w:hAnsi="Arial"/>
                <w:sz w:val="18"/>
                <w:szCs w:val="18"/>
                <w:color w:val="auto"/>
              </w:rPr>
              <w:t>Retained earnings</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3,271,174</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3,179,607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Accumulated other comprehensive income (loss)</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gridSpan w:val="2"/>
          </w:tcPr>
          <w:p>
            <w:pPr>
              <w:ind w:left="640"/>
              <w:spacing w:after="0"/>
              <w:rPr>
                <w:sz w:val="20"/>
                <w:szCs w:val="20"/>
                <w:color w:val="auto"/>
              </w:rPr>
            </w:pPr>
            <w:r>
              <w:rPr>
                <w:rFonts w:ascii="Arial" w:cs="Arial" w:eastAsia="Arial" w:hAnsi="Arial"/>
                <w:sz w:val="18"/>
                <w:szCs w:val="18"/>
                <w:color w:val="auto"/>
              </w:rPr>
              <w:t>Cumulative foreign currency translation adjustment</w:t>
            </w:r>
          </w:p>
        </w:tc>
        <w:tc>
          <w:tcPr>
            <w:tcW w:w="80" w:type="dxa"/>
            <w:vAlign w:val="bottom"/>
          </w:tcPr>
          <w:p>
            <w:pPr>
              <w:spacing w:after="0"/>
              <w:rPr>
                <w:sz w:val="18"/>
                <w:szCs w:val="18"/>
                <w:color w:val="auto"/>
              </w:rPr>
            </w:pPr>
          </w:p>
        </w:tc>
        <w:tc>
          <w:tcPr>
            <w:tcW w:w="1340" w:type="dxa"/>
            <w:vAlign w:val="bottom"/>
            <w:gridSpan w:val="2"/>
          </w:tcPr>
          <w:p>
            <w:pPr>
              <w:jc w:val="right"/>
              <w:ind w:right="480"/>
              <w:spacing w:after="0"/>
              <w:rPr>
                <w:sz w:val="20"/>
                <w:szCs w:val="20"/>
                <w:color w:val="auto"/>
              </w:rPr>
            </w:pPr>
            <w:r>
              <w:rPr>
                <w:rFonts w:ascii="Arial" w:cs="Arial" w:eastAsia="Arial" w:hAnsi="Arial"/>
                <w:sz w:val="18"/>
                <w:szCs w:val="18"/>
                <w:color w:val="auto"/>
              </w:rPr>
              <w:t>(951)</w:t>
            </w:r>
          </w:p>
        </w:tc>
        <w:tc>
          <w:tcPr>
            <w:tcW w:w="1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(7,511)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Unrealized gain on available-for-sale securities</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19,051</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000" w:type="dxa"/>
            <w:vAlign w:val="bottom"/>
            <w:gridSpan w:val="2"/>
          </w:tcPr>
          <w:p>
            <w:pPr>
              <w:ind w:left="420"/>
              <w:spacing w:after="0"/>
              <w:rPr>
                <w:sz w:val="20"/>
                <w:szCs w:val="20"/>
                <w:color w:val="auto"/>
              </w:rPr>
            </w:pPr>
            <w:r>
              <w:rPr>
                <w:rFonts w:ascii="Arial" w:cs="Arial" w:eastAsia="Arial" w:hAnsi="Arial"/>
                <w:sz w:val="18"/>
                <w:szCs w:val="18"/>
                <w:color w:val="auto"/>
              </w:rPr>
              <w:t>Cost of Class B common stock held in treasury</w:t>
            </w:r>
          </w:p>
        </w:tc>
        <w:tc>
          <w:tcPr>
            <w:tcW w:w="80" w:type="dxa"/>
            <w:vAlign w:val="bottom"/>
          </w:tcPr>
          <w:p>
            <w:pPr>
              <w:spacing w:after="0"/>
              <w:rPr>
                <w:sz w:val="19"/>
                <w:szCs w:val="19"/>
                <w:color w:val="auto"/>
              </w:rPr>
            </w:pPr>
          </w:p>
        </w:tc>
        <w:tc>
          <w:tcPr>
            <w:tcW w:w="1340" w:type="dxa"/>
            <w:vAlign w:val="bottom"/>
            <w:gridSpan w:val="2"/>
          </w:tcPr>
          <w:p>
            <w:pPr>
              <w:jc w:val="right"/>
              <w:ind w:right="480"/>
              <w:spacing w:after="0"/>
              <w:rPr>
                <w:sz w:val="20"/>
                <w:szCs w:val="20"/>
                <w:color w:val="auto"/>
              </w:rPr>
            </w:pPr>
            <w:r>
              <w:rPr>
                <w:rFonts w:ascii="Arial" w:cs="Arial" w:eastAsia="Arial" w:hAnsi="Arial"/>
                <w:sz w:val="18"/>
                <w:szCs w:val="18"/>
                <w:color w:val="auto"/>
                <w:w w:val="91"/>
              </w:rPr>
              <w:t>(1,519,252)</w:t>
            </w:r>
          </w:p>
        </w:tc>
        <w:tc>
          <w:tcPr>
            <w:tcW w:w="10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(1,521,806)</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8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8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7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1,948,776</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1,837,293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8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8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78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3,715,066</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3,583,894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5723255</wp:posOffset>
            </wp:positionH>
            <wp:positionV relativeFrom="paragraph">
              <wp:posOffset>-4702810</wp:posOffset>
            </wp:positionV>
            <wp:extent cx="12700"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-4702810</wp:posOffset>
            </wp:positionV>
            <wp:extent cx="21590"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-4702810</wp:posOffset>
            </wp:positionV>
            <wp:extent cx="38735"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6623685</wp:posOffset>
            </wp:positionH>
            <wp:positionV relativeFrom="paragraph">
              <wp:posOffset>-4702810</wp:posOffset>
            </wp:positionV>
            <wp:extent cx="587375"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87375" cy="29845"/>
                    </a:xfrm>
                    <a:prstGeom prst="rect">
                      <a:avLst/>
                    </a:prstGeom>
                    <a:noFill/>
                  </pic:spPr>
                </pic:pic>
              </a:graphicData>
            </a:graphic>
          </wp:anchor>
        </w:drawing>
        <w:drawing>
          <wp:anchor simplePos="0" relativeHeight="251657728" behindDoc="1" locked="0" layoutInCell="0" allowOverlap="1">
            <wp:simplePos x="0" y="0"/>
            <wp:positionH relativeFrom="column">
              <wp:posOffset>5723255</wp:posOffset>
            </wp:positionH>
            <wp:positionV relativeFrom="paragraph">
              <wp:posOffset>-29210</wp:posOffset>
            </wp:positionV>
            <wp:extent cx="12700"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-29210</wp:posOffset>
            </wp:positionV>
            <wp:extent cx="21590"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-29210</wp:posOffset>
            </wp:positionV>
            <wp:extent cx="38735"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6623685</wp:posOffset>
            </wp:positionH>
            <wp:positionV relativeFrom="paragraph">
              <wp:posOffset>-29210</wp:posOffset>
            </wp:positionV>
            <wp:extent cx="12700"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6683375</wp:posOffset>
            </wp:positionH>
            <wp:positionV relativeFrom="paragraph">
              <wp:posOffset>-29210</wp:posOffset>
            </wp:positionV>
            <wp:extent cx="21590"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-29210</wp:posOffset>
            </wp:positionV>
            <wp:extent cx="38735"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280" w:right="239" w:bottom="0" w:gutter="0" w:footer="0" w:header="0"/>
        </w:sect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420"/>
          </w:cols>
          <w:pgMar w:left="240" w:top="280" w:right="239" w:bottom="0" w:gutter="0" w:footer="0" w:header="0"/>
          <w:type w:val="continuous"/>
        </w:sectPr>
      </w:pPr>
    </w:p>
    <w:bookmarkStart w:id="6" w:name="page7"/>
    <w:bookmarkEnd w:id="6"/>
    <w:p>
      <w:pPr>
        <w:ind w:lef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Washington Post Company</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Condensed Consolidated Statements of Cash Flows (Unaudited)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80" w:type="dxa"/>
            <w:vAlign w:val="bottom"/>
            <w:gridSpan w:val="6"/>
          </w:tcPr>
          <w:p>
            <w:pPr>
              <w:jc w:val="right"/>
              <w:ind w:right="380"/>
              <w:spacing w:after="0"/>
              <w:rPr>
                <w:sz w:val="20"/>
                <w:szCs w:val="20"/>
                <w:color w:val="auto"/>
              </w:rPr>
            </w:pPr>
            <w:r>
              <w:rPr>
                <w:rFonts w:ascii="Arial" w:cs="Arial" w:eastAsia="Arial" w:hAnsi="Arial"/>
                <w:sz w:val="14"/>
                <w:szCs w:val="14"/>
                <w:b w:val="1"/>
                <w:bCs w:val="1"/>
                <w:color w:val="auto"/>
                <w:w w:val="94"/>
              </w:rPr>
              <w:t>Twenty-six Weeks Ended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1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3"/>
          </w:tcPr>
          <w:p>
            <w:pPr>
              <w:jc w:val="right"/>
              <w:ind w:right="640"/>
              <w:spacing w:after="0"/>
              <w:rPr>
                <w:sz w:val="20"/>
                <w:szCs w:val="20"/>
                <w:color w:val="auto"/>
              </w:rPr>
            </w:pPr>
            <w:r>
              <w:rPr>
                <w:rFonts w:ascii="Arial" w:cs="Arial" w:eastAsia="Arial" w:hAnsi="Arial"/>
                <w:sz w:val="14"/>
                <w:szCs w:val="14"/>
                <w:b w:val="1"/>
                <w:bCs w:val="1"/>
                <w:color w:val="auto"/>
                <w:w w:val="82"/>
              </w:rPr>
              <w:t>June 29,</w:t>
            </w:r>
          </w:p>
        </w:tc>
        <w:tc>
          <w:tcPr>
            <w:tcW w:w="100" w:type="dxa"/>
            <w:vAlign w:val="bottom"/>
          </w:tcPr>
          <w:p>
            <w:pPr>
              <w:spacing w:after="0"/>
              <w:rPr>
                <w:sz w:val="20"/>
                <w:szCs w:val="20"/>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9"/>
              </w:rPr>
              <w:t>June 30,</w:t>
            </w:r>
          </w:p>
        </w:tc>
        <w:tc>
          <w:tcPr>
            <w:tcW w:w="0" w:type="dxa"/>
            <w:vAlign w:val="bottom"/>
          </w:tcPr>
          <w:p>
            <w:pPr>
              <w:spacing w:after="0"/>
              <w:rPr>
                <w:sz w:val="1"/>
                <w:szCs w:val="1"/>
                <w:color w:val="auto"/>
              </w:rPr>
            </w:pPr>
          </w:p>
        </w:tc>
      </w:tr>
      <w:tr>
        <w:trPr>
          <w:trHeight w:val="174"/>
        </w:trPr>
        <w:tc>
          <w:tcPr>
            <w:tcW w:w="934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5"/>
                <w:szCs w:val="15"/>
                <w:color w:val="auto"/>
              </w:rPr>
            </w:pPr>
          </w:p>
        </w:tc>
        <w:tc>
          <w:tcPr>
            <w:tcW w:w="580" w:type="dxa"/>
            <w:vAlign w:val="bottom"/>
          </w:tcPr>
          <w:p>
            <w:pPr>
              <w:jc w:val="right"/>
              <w:ind w:right="114"/>
              <w:spacing w:after="0"/>
              <w:rPr>
                <w:sz w:val="20"/>
                <w:szCs w:val="20"/>
                <w:color w:val="auto"/>
              </w:rPr>
            </w:pPr>
            <w:r>
              <w:rPr>
                <w:rFonts w:ascii="Arial" w:cs="Arial" w:eastAsia="Arial" w:hAnsi="Arial"/>
                <w:sz w:val="14"/>
                <w:szCs w:val="14"/>
                <w:b w:val="1"/>
                <w:bCs w:val="1"/>
                <w:color w:val="auto"/>
              </w:rPr>
              <w:t>2003</w:t>
            </w:r>
          </w:p>
        </w:tc>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ind w:right="153"/>
              <w:spacing w:after="0"/>
              <w:rPr>
                <w:sz w:val="20"/>
                <w:szCs w:val="20"/>
                <w:color w:val="auto"/>
              </w:rPr>
            </w:pPr>
            <w:r>
              <w:rPr>
                <w:rFonts w:ascii="Arial" w:cs="Arial" w:eastAsia="Arial" w:hAnsi="Arial"/>
                <w:sz w:val="14"/>
                <w:szCs w:val="14"/>
                <w:b w:val="1"/>
                <w:bCs w:val="1"/>
                <w:color w:val="auto"/>
              </w:rPr>
              <w:t>2002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81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40" w:type="dxa"/>
            <w:vAlign w:val="bottom"/>
          </w:tcPr>
          <w:p>
            <w:pPr>
              <w:spacing w:after="0"/>
              <w:rPr>
                <w:sz w:val="8"/>
                <w:szCs w:val="8"/>
                <w:color w:val="auto"/>
              </w:rPr>
            </w:pPr>
          </w:p>
        </w:tc>
        <w:tc>
          <w:tcPr>
            <w:tcW w:w="8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2"/>
          </w:tcPr>
          <w:p>
            <w:pPr>
              <w:ind w:left="420"/>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133,710</w:t>
            </w:r>
          </w:p>
        </w:tc>
        <w:tc>
          <w:tcPr>
            <w:tcW w:w="5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62,750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2"/>
          </w:tcPr>
          <w:p>
            <w:pPr>
              <w:ind w:left="860"/>
              <w:spacing w:after="0"/>
              <w:rPr>
                <w:sz w:val="20"/>
                <w:szCs w:val="20"/>
                <w:color w:val="auto"/>
              </w:rPr>
            </w:pPr>
            <w:r>
              <w:rPr>
                <w:rFonts w:ascii="Arial" w:cs="Arial" w:eastAsia="Arial" w:hAnsi="Arial"/>
                <w:sz w:val="18"/>
                <w:szCs w:val="18"/>
                <w:color w:val="auto"/>
              </w:rPr>
              <w:t>Cumulative effect of change in accounting principle</w:t>
            </w:r>
          </w:p>
        </w:tc>
        <w:tc>
          <w:tcPr>
            <w:tcW w:w="100" w:type="dxa"/>
            <w:vAlign w:val="bottom"/>
          </w:tcPr>
          <w:p>
            <w:pPr>
              <w:spacing w:after="0"/>
              <w:rPr>
                <w:sz w:val="18"/>
                <w:szCs w:val="18"/>
                <w:color w:val="auto"/>
              </w:rPr>
            </w:pPr>
          </w:p>
        </w:tc>
        <w:tc>
          <w:tcPr>
            <w:tcW w:w="1120" w:type="dxa"/>
            <w:vAlign w:val="bottom"/>
            <w:gridSpan w:val="3"/>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12,100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Depreciation of property, plant and equipment</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86,607</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82,459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2"/>
          </w:tcPr>
          <w:p>
            <w:pPr>
              <w:ind w:left="860"/>
              <w:spacing w:after="0"/>
              <w:rPr>
                <w:sz w:val="20"/>
                <w:szCs w:val="20"/>
                <w:color w:val="auto"/>
              </w:rPr>
            </w:pPr>
            <w:r>
              <w:rPr>
                <w:rFonts w:ascii="Arial" w:cs="Arial" w:eastAsia="Arial" w:hAnsi="Arial"/>
                <w:sz w:val="18"/>
                <w:szCs w:val="18"/>
                <w:color w:val="auto"/>
              </w:rPr>
              <w:t>Amortization of goodwill and other intangibles</w:t>
            </w: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512</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Net pension benefit</w:t>
            </w: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w w:val="92"/>
              </w:rPr>
              <w:t>(26,850)</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(32,164)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2"/>
          </w:tcPr>
          <w:p>
            <w:pPr>
              <w:ind w:left="860"/>
              <w:spacing w:after="0"/>
              <w:rPr>
                <w:sz w:val="20"/>
                <w:szCs w:val="20"/>
                <w:color w:val="auto"/>
              </w:rPr>
            </w:pPr>
            <w:r>
              <w:rPr>
                <w:rFonts w:ascii="Arial" w:cs="Arial" w:eastAsia="Arial" w:hAnsi="Arial"/>
                <w:sz w:val="18"/>
                <w:szCs w:val="18"/>
                <w:color w:val="auto"/>
              </w:rPr>
              <w:t>Early retirement program expense</w:t>
            </w: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2,165</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12,986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Gain from sale of affiliate</w:t>
            </w: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w w:val="92"/>
              </w:rPr>
              <w:t>(49,762)</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2"/>
          </w:tcPr>
          <w:p>
            <w:pPr>
              <w:ind w:left="860"/>
              <w:spacing w:after="0"/>
              <w:rPr>
                <w:sz w:val="20"/>
                <w:szCs w:val="20"/>
                <w:color w:val="auto"/>
              </w:rPr>
            </w:pPr>
            <w:r>
              <w:rPr>
                <w:rFonts w:ascii="Arial" w:cs="Arial" w:eastAsia="Arial" w:hAnsi="Arial"/>
                <w:sz w:val="18"/>
                <w:szCs w:val="18"/>
                <w:color w:val="auto"/>
              </w:rPr>
              <w:t>Gain on sale of marketable securities</w:t>
            </w:r>
          </w:p>
        </w:tc>
        <w:tc>
          <w:tcPr>
            <w:tcW w:w="100" w:type="dxa"/>
            <w:vAlign w:val="bottom"/>
          </w:tcPr>
          <w:p>
            <w:pPr>
              <w:spacing w:after="0"/>
              <w:rPr>
                <w:sz w:val="18"/>
                <w:szCs w:val="18"/>
                <w:color w:val="auto"/>
              </w:rPr>
            </w:pPr>
          </w:p>
        </w:tc>
        <w:tc>
          <w:tcPr>
            <w:tcW w:w="1120" w:type="dxa"/>
            <w:vAlign w:val="bottom"/>
            <w:gridSpan w:val="3"/>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(13,209)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Cost method and other investment write-downs</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1,112</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2"/>
          </w:tcPr>
          <w:p>
            <w:pPr>
              <w:ind w:left="860"/>
              <w:spacing w:after="0"/>
              <w:rPr>
                <w:sz w:val="20"/>
                <w:szCs w:val="20"/>
                <w:color w:val="auto"/>
              </w:rPr>
            </w:pPr>
            <w:r>
              <w:rPr>
                <w:rFonts w:ascii="Arial" w:cs="Arial" w:eastAsia="Arial" w:hAnsi="Arial"/>
                <w:sz w:val="18"/>
                <w:szCs w:val="18"/>
                <w:color w:val="auto"/>
              </w:rPr>
              <w:t>Equity in losses of affiliates, net of distributions</w:t>
            </w: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8,166</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15,689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Provision for deferred income taxes</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5,667</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2"/>
          </w:tcPr>
          <w:p>
            <w:pPr>
              <w:ind w:left="860"/>
              <w:spacing w:after="0"/>
              <w:rPr>
                <w:sz w:val="20"/>
                <w:szCs w:val="20"/>
                <w:color w:val="auto"/>
              </w:rPr>
            </w:pPr>
            <w:r>
              <w:rPr>
                <w:rFonts w:ascii="Arial" w:cs="Arial" w:eastAsia="Arial" w:hAnsi="Arial"/>
                <w:sz w:val="18"/>
                <w:szCs w:val="18"/>
                <w:color w:val="auto"/>
              </w:rPr>
              <w:t>Change in assets and liabilities: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(Increase) decrease in accounts receivable, net</w:t>
            </w: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(2,957)</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180" w:type="dxa"/>
            <w:vAlign w:val="bottom"/>
          </w:tcPr>
          <w:p>
            <w:pPr>
              <w:ind w:left="140"/>
              <w:spacing w:after="0"/>
              <w:rPr>
                <w:sz w:val="20"/>
                <w:szCs w:val="20"/>
                <w:color w:val="auto"/>
              </w:rPr>
            </w:pPr>
            <w:r>
              <w:rPr>
                <w:rFonts w:ascii="Arial" w:cs="Arial" w:eastAsia="Arial" w:hAnsi="Arial"/>
                <w:sz w:val="18"/>
                <w:szCs w:val="18"/>
                <w:color w:val="auto"/>
              </w:rPr>
              <w:t>Increase in inventories</w:t>
            </w:r>
          </w:p>
        </w:tc>
        <w:tc>
          <w:tcPr>
            <w:tcW w:w="100" w:type="dxa"/>
            <w:vAlign w:val="bottom"/>
          </w:tcPr>
          <w:p>
            <w:pPr>
              <w:spacing w:after="0"/>
              <w:rPr>
                <w:sz w:val="18"/>
                <w:szCs w:val="18"/>
                <w:color w:val="auto"/>
              </w:rPr>
            </w:pPr>
          </w:p>
        </w:tc>
        <w:tc>
          <w:tcPr>
            <w:tcW w:w="1120" w:type="dxa"/>
            <w:vAlign w:val="bottom"/>
            <w:gridSpan w:val="3"/>
          </w:tcPr>
          <w:p>
            <w:pPr>
              <w:jc w:val="right"/>
              <w:ind w:right="480"/>
              <w:spacing w:after="0"/>
              <w:rPr>
                <w:sz w:val="20"/>
                <w:szCs w:val="20"/>
                <w:color w:val="auto"/>
              </w:rPr>
            </w:pPr>
            <w:r>
              <w:rPr>
                <w:rFonts w:ascii="Arial" w:cs="Arial" w:eastAsia="Arial" w:hAnsi="Arial"/>
                <w:sz w:val="18"/>
                <w:szCs w:val="18"/>
                <w:color w:val="auto"/>
              </w:rPr>
              <w:t>(3,847)</w:t>
            </w: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(10,246)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Increase in accounts payable and accrued liabilities</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7,263</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180" w:type="dxa"/>
            <w:vAlign w:val="bottom"/>
          </w:tcPr>
          <w:p>
            <w:pPr>
              <w:ind w:left="140"/>
              <w:spacing w:after="0"/>
              <w:rPr>
                <w:sz w:val="20"/>
                <w:szCs w:val="20"/>
                <w:color w:val="auto"/>
              </w:rPr>
            </w:pPr>
            <w:r>
              <w:rPr>
                <w:rFonts w:ascii="Arial" w:cs="Arial" w:eastAsia="Arial" w:hAnsi="Arial"/>
                <w:sz w:val="18"/>
                <w:szCs w:val="18"/>
                <w:color w:val="auto"/>
              </w:rPr>
              <w:t>(Increase) decrease in income taxes receivable</w:t>
            </w:r>
          </w:p>
        </w:tc>
        <w:tc>
          <w:tcPr>
            <w:tcW w:w="100" w:type="dxa"/>
            <w:vAlign w:val="bottom"/>
          </w:tcPr>
          <w:p>
            <w:pPr>
              <w:spacing w:after="0"/>
              <w:rPr>
                <w:sz w:val="18"/>
                <w:szCs w:val="18"/>
                <w:color w:val="auto"/>
              </w:rPr>
            </w:pPr>
          </w:p>
        </w:tc>
        <w:tc>
          <w:tcPr>
            <w:tcW w:w="1120" w:type="dxa"/>
            <w:vAlign w:val="bottom"/>
            <w:gridSpan w:val="3"/>
          </w:tcPr>
          <w:p>
            <w:pPr>
              <w:jc w:val="right"/>
              <w:ind w:right="480"/>
              <w:spacing w:after="0"/>
              <w:rPr>
                <w:sz w:val="20"/>
                <w:szCs w:val="20"/>
                <w:color w:val="auto"/>
              </w:rPr>
            </w:pPr>
            <w:r>
              <w:rPr>
                <w:rFonts w:ascii="Arial" w:cs="Arial" w:eastAsia="Arial" w:hAnsi="Arial"/>
                <w:sz w:val="18"/>
                <w:szCs w:val="18"/>
                <w:color w:val="auto"/>
              </w:rPr>
              <w:t>(1,004)</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10,253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(Decrease) increase in income taxes payable</w:t>
            </w: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(4,853)</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180" w:type="dxa"/>
            <w:vAlign w:val="bottom"/>
          </w:tcPr>
          <w:p>
            <w:pPr>
              <w:ind w:left="140"/>
              <w:spacing w:after="0"/>
              <w:rPr>
                <w:sz w:val="20"/>
                <w:szCs w:val="20"/>
                <w:color w:val="auto"/>
              </w:rPr>
            </w:pPr>
            <w:r>
              <w:rPr>
                <w:rFonts w:ascii="Arial" w:cs="Arial" w:eastAsia="Arial" w:hAnsi="Arial"/>
                <w:sz w:val="18"/>
                <w:szCs w:val="18"/>
                <w:color w:val="auto"/>
              </w:rPr>
              <w:t>Decrease in other assets and other liabilities, net</w:t>
            </w: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24,139</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23,164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(1,637)</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1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6"/>
              </w:rPr>
              <w:t>178,431</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243,084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1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40" w:type="dxa"/>
            <w:vAlign w:val="bottom"/>
          </w:tcPr>
          <w:p>
            <w:pPr>
              <w:spacing w:after="0"/>
              <w:rPr>
                <w:sz w:val="8"/>
                <w:szCs w:val="8"/>
                <w:color w:val="auto"/>
              </w:rPr>
            </w:pPr>
          </w:p>
        </w:tc>
        <w:tc>
          <w:tcPr>
            <w:tcW w:w="8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2"/>
          </w:tcPr>
          <w:p>
            <w:pPr>
              <w:ind w:left="420"/>
              <w:spacing w:after="0"/>
              <w:rPr>
                <w:sz w:val="20"/>
                <w:szCs w:val="20"/>
                <w:color w:val="auto"/>
              </w:rPr>
            </w:pPr>
            <w:r>
              <w:rPr>
                <w:rFonts w:ascii="Arial" w:cs="Arial" w:eastAsia="Arial" w:hAnsi="Arial"/>
                <w:sz w:val="18"/>
                <w:szCs w:val="18"/>
                <w:color w:val="auto"/>
              </w:rPr>
              <w:t>Purchases of property, plant and equipment</w:t>
            </w:r>
          </w:p>
        </w:tc>
        <w:tc>
          <w:tcPr>
            <w:tcW w:w="100" w:type="dxa"/>
            <w:vAlign w:val="bottom"/>
          </w:tcPr>
          <w:p>
            <w:pPr>
              <w:spacing w:after="0"/>
              <w:rPr>
                <w:sz w:val="18"/>
                <w:szCs w:val="18"/>
                <w:color w:val="auto"/>
              </w:rPr>
            </w:pPr>
          </w:p>
        </w:tc>
        <w:tc>
          <w:tcPr>
            <w:tcW w:w="1120" w:type="dxa"/>
            <w:vAlign w:val="bottom"/>
            <w:gridSpan w:val="3"/>
          </w:tcPr>
          <w:p>
            <w:pPr>
              <w:jc w:val="right"/>
              <w:ind w:right="480"/>
              <w:spacing w:after="0"/>
              <w:rPr>
                <w:sz w:val="20"/>
                <w:szCs w:val="20"/>
                <w:color w:val="auto"/>
              </w:rPr>
            </w:pPr>
            <w:r>
              <w:rPr>
                <w:rFonts w:ascii="Arial" w:cs="Arial" w:eastAsia="Arial" w:hAnsi="Arial"/>
                <w:sz w:val="18"/>
                <w:szCs w:val="18"/>
                <w:color w:val="auto"/>
                <w:w w:val="92"/>
              </w:rPr>
              <w:t>(58,772)</w:t>
            </w: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(79,559)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Investments in certain businesses</w:t>
            </w: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w w:val="92"/>
              </w:rPr>
              <w:t>(77,692)</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(26,673)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2"/>
          </w:tcPr>
          <w:p>
            <w:pPr>
              <w:ind w:left="420"/>
              <w:spacing w:after="0"/>
              <w:rPr>
                <w:sz w:val="20"/>
                <w:szCs w:val="20"/>
                <w:color w:val="auto"/>
              </w:rPr>
            </w:pPr>
            <w:r>
              <w:rPr>
                <w:rFonts w:ascii="Arial" w:cs="Arial" w:eastAsia="Arial" w:hAnsi="Arial"/>
                <w:sz w:val="18"/>
                <w:szCs w:val="18"/>
                <w:color w:val="auto"/>
              </w:rPr>
              <w:t>Proceeds from the sale of business</w:t>
            </w: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65,000</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Proceeds from sale of marketable securities</w:t>
            </w: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2"/>
          </w:tcPr>
          <w:p>
            <w:pPr>
              <w:ind w:left="420"/>
              <w:spacing w:after="0"/>
              <w:rPr>
                <w:sz w:val="20"/>
                <w:szCs w:val="20"/>
                <w:color w:val="auto"/>
              </w:rPr>
            </w:pPr>
            <w:r>
              <w:rPr>
                <w:rFonts w:ascii="Arial" w:cs="Arial" w:eastAsia="Arial" w:hAnsi="Arial"/>
                <w:sz w:val="18"/>
                <w:szCs w:val="18"/>
                <w:color w:val="auto"/>
              </w:rPr>
              <w:t>Other investments</w:t>
            </w:r>
          </w:p>
        </w:tc>
        <w:tc>
          <w:tcPr>
            <w:tcW w:w="100" w:type="dxa"/>
            <w:vAlign w:val="bottom"/>
          </w:tcPr>
          <w:p>
            <w:pPr>
              <w:spacing w:after="0"/>
              <w:rPr>
                <w:sz w:val="18"/>
                <w:szCs w:val="18"/>
                <w:color w:val="auto"/>
              </w:rPr>
            </w:pPr>
          </w:p>
        </w:tc>
        <w:tc>
          <w:tcPr>
            <w:tcW w:w="1120" w:type="dxa"/>
            <w:vAlign w:val="bottom"/>
            <w:gridSpan w:val="3"/>
          </w:tcPr>
          <w:p>
            <w:pPr>
              <w:jc w:val="right"/>
              <w:ind w:right="480"/>
              <w:spacing w:after="0"/>
              <w:rPr>
                <w:sz w:val="20"/>
                <w:szCs w:val="20"/>
                <w:color w:val="auto"/>
              </w:rPr>
            </w:pPr>
            <w:r>
              <w:rPr>
                <w:rFonts w:ascii="Arial" w:cs="Arial" w:eastAsia="Arial" w:hAnsi="Arial"/>
                <w:sz w:val="18"/>
                <w:szCs w:val="18"/>
                <w:color w:val="auto"/>
              </w:rPr>
              <w:t>(5,977)</w:t>
            </w: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(7,610)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575</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1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w w:val="92"/>
              </w:rPr>
              <w:t>(76,866)</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(94,330)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1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40" w:type="dxa"/>
            <w:vAlign w:val="bottom"/>
          </w:tcPr>
          <w:p>
            <w:pPr>
              <w:spacing w:after="0"/>
              <w:rPr>
                <w:sz w:val="8"/>
                <w:szCs w:val="8"/>
                <w:color w:val="auto"/>
              </w:rPr>
            </w:pPr>
          </w:p>
        </w:tc>
        <w:tc>
          <w:tcPr>
            <w:tcW w:w="8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2"/>
          </w:tcPr>
          <w:p>
            <w:pPr>
              <w:ind w:left="420"/>
              <w:spacing w:after="0"/>
              <w:rPr>
                <w:sz w:val="20"/>
                <w:szCs w:val="20"/>
                <w:color w:val="auto"/>
              </w:rPr>
            </w:pPr>
            <w:r>
              <w:rPr>
                <w:rFonts w:ascii="Arial" w:cs="Arial" w:eastAsia="Arial" w:hAnsi="Arial"/>
                <w:sz w:val="18"/>
                <w:szCs w:val="18"/>
                <w:color w:val="auto"/>
              </w:rPr>
              <w:t>Net repayment of commercial paper</w:t>
            </w:r>
          </w:p>
        </w:tc>
        <w:tc>
          <w:tcPr>
            <w:tcW w:w="100" w:type="dxa"/>
            <w:vAlign w:val="bottom"/>
          </w:tcPr>
          <w:p>
            <w:pPr>
              <w:spacing w:after="0"/>
              <w:rPr>
                <w:sz w:val="18"/>
                <w:szCs w:val="18"/>
                <w:color w:val="auto"/>
              </w:rPr>
            </w:pPr>
          </w:p>
        </w:tc>
        <w:tc>
          <w:tcPr>
            <w:tcW w:w="1120" w:type="dxa"/>
            <w:vAlign w:val="bottom"/>
            <w:gridSpan w:val="3"/>
          </w:tcPr>
          <w:p>
            <w:pPr>
              <w:jc w:val="right"/>
              <w:ind w:right="480"/>
              <w:spacing w:after="0"/>
              <w:rPr>
                <w:sz w:val="20"/>
                <w:szCs w:val="20"/>
                <w:color w:val="auto"/>
              </w:rPr>
            </w:pPr>
            <w:r>
              <w:rPr>
                <w:rFonts w:ascii="Arial" w:cs="Arial" w:eastAsia="Arial" w:hAnsi="Arial"/>
                <w:sz w:val="18"/>
                <w:szCs w:val="18"/>
                <w:color w:val="auto"/>
                <w:w w:val="92"/>
              </w:rPr>
              <w:t>(70,742)</w:t>
            </w: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(133,192)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Dividends paid</w:t>
            </w: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w w:val="92"/>
              </w:rPr>
              <w:t>(28,143)</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(27,123)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2"/>
          </w:tcPr>
          <w:p>
            <w:pPr>
              <w:ind w:left="420"/>
              <w:spacing w:after="0"/>
              <w:rPr>
                <w:sz w:val="20"/>
                <w:szCs w:val="20"/>
                <w:color w:val="auto"/>
              </w:rPr>
            </w:pPr>
            <w:r>
              <w:rPr>
                <w:rFonts w:ascii="Arial" w:cs="Arial" w:eastAsia="Arial" w:hAnsi="Arial"/>
                <w:sz w:val="18"/>
                <w:szCs w:val="18"/>
                <w:color w:val="auto"/>
              </w:rPr>
              <w:t>Common shares repurchased</w:t>
            </w:r>
          </w:p>
        </w:tc>
        <w:tc>
          <w:tcPr>
            <w:tcW w:w="100" w:type="dxa"/>
            <w:vAlign w:val="bottom"/>
          </w:tcPr>
          <w:p>
            <w:pPr>
              <w:spacing w:after="0"/>
              <w:rPr>
                <w:sz w:val="18"/>
                <w:szCs w:val="18"/>
                <w:color w:val="auto"/>
              </w:rPr>
            </w:pPr>
          </w:p>
        </w:tc>
        <w:tc>
          <w:tcPr>
            <w:tcW w:w="1120" w:type="dxa"/>
            <w:vAlign w:val="bottom"/>
            <w:gridSpan w:val="3"/>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Proceeds from exercise of stock options</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1,252</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320" w:type="dxa"/>
            <w:vAlign w:val="bottom"/>
            <w:gridSpan w:val="2"/>
          </w:tcPr>
          <w:p>
            <w:pPr>
              <w:ind w:left="420"/>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9"/>
                <w:szCs w:val="19"/>
                <w:color w:val="auto"/>
              </w:rPr>
            </w:pPr>
          </w:p>
        </w:tc>
        <w:tc>
          <w:tcPr>
            <w:tcW w:w="1120" w:type="dxa"/>
            <w:vAlign w:val="bottom"/>
            <w:gridSpan w:val="3"/>
          </w:tcPr>
          <w:p>
            <w:pPr>
              <w:jc w:val="right"/>
              <w:ind w:right="480"/>
              <w:spacing w:after="0"/>
              <w:rPr>
                <w:sz w:val="20"/>
                <w:szCs w:val="20"/>
                <w:color w:val="auto"/>
              </w:rPr>
            </w:pPr>
            <w:r>
              <w:rPr>
                <w:rFonts w:ascii="Arial" w:cs="Arial" w:eastAsia="Arial" w:hAnsi="Arial"/>
                <w:sz w:val="18"/>
                <w:szCs w:val="18"/>
                <w:color w:val="auto"/>
              </w:rPr>
              <w:t>(1,672)</w:t>
            </w:r>
          </w:p>
        </w:tc>
        <w:tc>
          <w:tcPr>
            <w:tcW w:w="100" w:type="dxa"/>
            <w:vAlign w:val="bottom"/>
          </w:tcPr>
          <w:p>
            <w:pPr>
              <w:spacing w:after="0"/>
              <w:rPr>
                <w:sz w:val="19"/>
                <w:szCs w:val="19"/>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1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Net cash used in financing activities</w:t>
            </w: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w w:val="92"/>
              </w:rPr>
              <w:t>(99,305)</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(157,517)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1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Effect of currency exchange rate change</w:t>
            </w: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(235)</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1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40" w:type="dxa"/>
            <w:vAlign w:val="bottom"/>
          </w:tcPr>
          <w:p>
            <w:pPr>
              <w:spacing w:after="0"/>
              <w:rPr>
                <w:sz w:val="8"/>
                <w:szCs w:val="8"/>
                <w:color w:val="auto"/>
              </w:rPr>
            </w:pPr>
          </w:p>
        </w:tc>
        <w:tc>
          <w:tcPr>
            <w:tcW w:w="8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2,025</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(8,763)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320" w:type="dxa"/>
            <w:vAlign w:val="bottom"/>
            <w:gridSpan w:val="2"/>
          </w:tcPr>
          <w:p>
            <w:pPr>
              <w:spacing w:after="0"/>
              <w:rPr>
                <w:sz w:val="20"/>
                <w:szCs w:val="20"/>
                <w:color w:val="auto"/>
              </w:rPr>
            </w:pPr>
            <w:r>
              <w:rPr>
                <w:rFonts w:ascii="Arial" w:cs="Arial" w:eastAsia="Arial" w:hAnsi="Arial"/>
                <w:sz w:val="18"/>
                <w:szCs w:val="18"/>
                <w:color w:val="auto"/>
              </w:rPr>
              <w:t>Beginning cash and cash equivalents</w:t>
            </w:r>
          </w:p>
        </w:tc>
        <w:tc>
          <w:tcPr>
            <w:tcW w:w="100" w:type="dxa"/>
            <w:vAlign w:val="bottom"/>
          </w:tcPr>
          <w:p>
            <w:pPr>
              <w:spacing w:after="0"/>
              <w:rPr>
                <w:sz w:val="19"/>
                <w:szCs w:val="19"/>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28,771</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31,480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1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40" w:type="dxa"/>
            <w:vAlign w:val="bottom"/>
          </w:tcPr>
          <w:p>
            <w:pPr>
              <w:spacing w:after="0"/>
              <w:rPr>
                <w:sz w:val="8"/>
                <w:szCs w:val="8"/>
                <w:color w:val="auto"/>
              </w:rPr>
            </w:pPr>
          </w:p>
        </w:tc>
        <w:tc>
          <w:tcPr>
            <w:tcW w:w="8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Ending 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30,796</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9340" w:type="dxa"/>
            <w:vAlign w:val="bottom"/>
            <w:gridSpan w:val="3"/>
            <w:vMerge w:val="restart"/>
          </w:tcPr>
          <w:p>
            <w:pPr>
              <w:jc w:val="right"/>
              <w:ind w:right="3492"/>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9340" w:type="dxa"/>
            <w:vAlign w:val="bottom"/>
            <w:gridSpan w:val="3"/>
            <w:vMerge w:val="continue"/>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5928995</wp:posOffset>
            </wp:positionH>
            <wp:positionV relativeFrom="paragraph">
              <wp:posOffset>-325755</wp:posOffset>
            </wp:positionV>
            <wp:extent cx="12700"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-325755</wp:posOffset>
            </wp:positionV>
            <wp:extent cx="21590"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6357620</wp:posOffset>
            </wp:positionH>
            <wp:positionV relativeFrom="paragraph">
              <wp:posOffset>-325755</wp:posOffset>
            </wp:positionV>
            <wp:extent cx="38735"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-325755</wp:posOffset>
            </wp:positionV>
            <wp:extent cx="12700"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6769100</wp:posOffset>
            </wp:positionH>
            <wp:positionV relativeFrom="paragraph">
              <wp:posOffset>-325755</wp:posOffset>
            </wp:positionV>
            <wp:extent cx="21590"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-325755</wp:posOffset>
            </wp:positionV>
            <wp:extent cx="38735"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280" w:right="239" w:bottom="1440" w:gutter="0" w:footer="0" w:header="0"/>
        </w:sectPr>
      </w:pPr>
    </w:p>
    <w:bookmarkStart w:id="7" w:name="page8"/>
    <w:bookmarkEnd w:id="7"/>
    <w:p>
      <w:pPr>
        <w:ind w:lef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Washington Post Company</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15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Results of operations, when examined on a quarterly basis, reflect the seasonality of advertising that affects the newspaper, magazine and broadcasting operations. Advertising revenues in the second and fourth quarters are typically higher than first and third quarter revenues. All adjustments reflected in the interim financial statements are of a normal recurring nature.</w:t>
      </w:r>
    </w:p>
    <w:p>
      <w:pPr>
        <w:spacing w:after="0" w:line="127" w:lineRule="exact"/>
        <w:rPr>
          <w:sz w:val="20"/>
          <w:szCs w:val="20"/>
          <w:color w:val="auto"/>
        </w:rPr>
      </w:pPr>
    </w:p>
    <w:p>
      <w:pPr>
        <w:ind w:right="720"/>
        <w:spacing w:after="0" w:line="268" w:lineRule="auto"/>
        <w:rPr>
          <w:sz w:val="20"/>
          <w:szCs w:val="20"/>
          <w:color w:val="auto"/>
        </w:rPr>
      </w:pPr>
      <w:r>
        <w:rPr>
          <w:rFonts w:ascii="Arial" w:cs="Arial" w:eastAsia="Arial" w:hAnsi="Arial"/>
          <w:sz w:val="18"/>
          <w:szCs w:val="18"/>
          <w:color w:val="auto"/>
        </w:rPr>
        <w:t>The Company generally reports on a 13 week fiscal quarter ending on the Sunday nearest the calendar quarter-end. With the exception of the newspaper publishing operations, subsidiaries of the Company report on a calendar-quarter basis.</w:t>
      </w:r>
    </w:p>
    <w:p>
      <w:pPr>
        <w:spacing w:after="0" w:line="118"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Note 1: Acquisitions, Exchanges and Dispositions.</w:t>
      </w:r>
    </w:p>
    <w:p>
      <w:pPr>
        <w:spacing w:after="0" w:line="7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In the second quarter of 2003, Kaplan acquired two additional businesses in its higher education and professional divisions for a total of $17.5 million, financed through cash and debt, with $3 million remaining to be paid. In addition, the cable division acquired a system in North Dakota for $1.5 million. Most of the purchase price for these acquisitions has been preliminarily allocated to goodwill and intangible assets.</w:t>
      </w:r>
    </w:p>
    <w:p>
      <w:pPr>
        <w:spacing w:after="0" w:line="127"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In March 2003, Kaplan completed its acquisition of the stock of Financial Training Corporation (FTC), for £55.3 million ($87.4 million). Headquartered in London, FTC provides test preparation services for accountants and financial services professionals, with 18 training centers in the United Kingdom and Asia. The acquisition was financed through cash and debt with $26.5 million remaining to be paid, primarily to employees of the business. Most of the purchase price has been allocated to goodwill, on a preliminary basis.</w:t>
      </w:r>
    </w:p>
    <w:p>
      <w:pPr>
        <w:spacing w:after="0" w:line="130"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On January 1, 2003, the Company sold its 50 percent interest in the International Herald Tribune for $65 million and the Company recorded an after-tax non-operating gain of $32.3 million in the first quarter of 2003.</w:t>
      </w:r>
    </w:p>
    <w:p>
      <w:pPr>
        <w:spacing w:after="0" w:line="118"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In the first six months of 2002, Kaplan acquired several businesses in their higher education and test preparation divisions, totaling $37.9 million, with most of the aggregate purchase price allocated to goodwill.</w:t>
      </w:r>
    </w:p>
    <w:p>
      <w:pPr>
        <w:spacing w:after="0" w:line="118"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Note 2: Investments.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Investments in marketable equity securities at June 29, 2003 and December 29, 2002 consist of the following (in thousands):</w:t>
      </w:r>
    </w:p>
    <w:p>
      <w:pPr>
        <w:spacing w:after="0" w:line="141"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32"/>
              <w:spacing w:after="0"/>
              <w:rPr>
                <w:sz w:val="20"/>
                <w:szCs w:val="20"/>
                <w:color w:val="auto"/>
              </w:rPr>
            </w:pPr>
            <w:r>
              <w:rPr>
                <w:rFonts w:ascii="Arial" w:cs="Arial" w:eastAsia="Arial" w:hAnsi="Arial"/>
                <w:sz w:val="14"/>
                <w:szCs w:val="14"/>
                <w:b w:val="1"/>
                <w:bCs w:val="1"/>
                <w:color w:val="auto"/>
                <w:w w:val="82"/>
              </w:rPr>
              <w:t>June 29,</w:t>
            </w:r>
          </w:p>
        </w:tc>
        <w:tc>
          <w:tcPr>
            <w:tcW w:w="160" w:type="dxa"/>
            <w:vAlign w:val="bottom"/>
          </w:tcPr>
          <w:p>
            <w:pPr>
              <w:spacing w:after="0"/>
              <w:rPr>
                <w:sz w:val="14"/>
                <w:szCs w:val="14"/>
                <w:color w:val="auto"/>
              </w:rPr>
            </w:pPr>
          </w:p>
        </w:tc>
        <w:tc>
          <w:tcPr>
            <w:tcW w:w="800" w:type="dxa"/>
            <w:vAlign w:val="bottom"/>
            <w:gridSpan w:val="3"/>
          </w:tcPr>
          <w:p>
            <w:pPr>
              <w:spacing w:after="0"/>
              <w:rPr>
                <w:sz w:val="20"/>
                <w:szCs w:val="20"/>
                <w:color w:val="auto"/>
              </w:rPr>
            </w:pPr>
            <w:r>
              <w:rPr>
                <w:rFonts w:ascii="Arial" w:cs="Arial" w:eastAsia="Arial" w:hAnsi="Arial"/>
                <w:sz w:val="14"/>
                <w:szCs w:val="14"/>
                <w:b w:val="1"/>
                <w:bCs w:val="1"/>
                <w:color w:val="auto"/>
                <w:w w:val="85"/>
              </w:rPr>
              <w:t>December 29,</w:t>
            </w:r>
          </w:p>
        </w:tc>
      </w:tr>
      <w:tr>
        <w:trPr>
          <w:trHeight w:val="174"/>
        </w:trPr>
        <w:tc>
          <w:tcPr>
            <w:tcW w:w="6920" w:type="dxa"/>
            <w:vAlign w:val="bottom"/>
          </w:tcPr>
          <w:p>
            <w:pPr>
              <w:spacing w:after="0"/>
              <w:rPr>
                <w:sz w:val="15"/>
                <w:szCs w:val="15"/>
                <w:color w:val="auto"/>
              </w:rPr>
            </w:pPr>
          </w:p>
        </w:tc>
        <w:tc>
          <w:tcPr>
            <w:tcW w:w="680" w:type="dxa"/>
            <w:vAlign w:val="bottom"/>
            <w:gridSpan w:val="2"/>
          </w:tcPr>
          <w:p>
            <w:pPr>
              <w:jc w:val="right"/>
              <w:ind w:right="132"/>
              <w:spacing w:after="0"/>
              <w:rPr>
                <w:sz w:val="20"/>
                <w:szCs w:val="20"/>
                <w:color w:val="auto"/>
              </w:rPr>
            </w:pPr>
            <w:r>
              <w:rPr>
                <w:rFonts w:ascii="Arial" w:cs="Arial" w:eastAsia="Arial" w:hAnsi="Arial"/>
                <w:sz w:val="14"/>
                <w:szCs w:val="14"/>
                <w:b w:val="1"/>
                <w:bCs w:val="1"/>
                <w:color w:val="auto"/>
              </w:rPr>
              <w:t>2003</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jc w:val="right"/>
              <w:ind w:right="157"/>
              <w:spacing w:after="0"/>
              <w:rPr>
                <w:sz w:val="20"/>
                <w:szCs w:val="20"/>
                <w:color w:val="auto"/>
              </w:rPr>
            </w:pPr>
            <w:r>
              <w:rPr>
                <w:rFonts w:ascii="Arial" w:cs="Arial" w:eastAsia="Arial" w:hAnsi="Arial"/>
                <w:sz w:val="14"/>
                <w:szCs w:val="14"/>
                <w:b w:val="1"/>
                <w:bCs w:val="1"/>
                <w:color w:val="auto"/>
              </w:rPr>
              <w:t>2002</w:t>
            </w:r>
          </w:p>
        </w:tc>
        <w:tc>
          <w:tcPr>
            <w:tcW w:w="20" w:type="dxa"/>
            <w:vAlign w:val="bottom"/>
          </w:tcPr>
          <w:p>
            <w:pPr>
              <w:spacing w:after="0"/>
              <w:rPr>
                <w:sz w:val="15"/>
                <w:szCs w:val="15"/>
                <w:color w:val="auto"/>
              </w:rPr>
            </w:pPr>
          </w:p>
        </w:tc>
      </w:tr>
      <w:tr>
        <w:trPr>
          <w:trHeight w:val="95"/>
        </w:trPr>
        <w:tc>
          <w:tcPr>
            <w:tcW w:w="69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r>
      <w:tr>
        <w:trPr>
          <w:trHeight w:val="102"/>
        </w:trPr>
        <w:tc>
          <w:tcPr>
            <w:tcW w:w="6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Total cost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$186,955</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187,169</w:t>
            </w:r>
          </w:p>
        </w:tc>
        <w:tc>
          <w:tcPr>
            <w:tcW w:w="20" w:type="dxa"/>
            <w:vAlign w:val="bottom"/>
          </w:tcPr>
          <w:p>
            <w:pPr>
              <w:spacing w:after="0"/>
              <w:rPr>
                <w:sz w:val="18"/>
                <w:szCs w:val="18"/>
                <w:color w:val="auto"/>
              </w:rPr>
            </w:pPr>
          </w:p>
        </w:tc>
      </w:tr>
      <w:tr>
        <w:trPr>
          <w:trHeight w:val="222"/>
        </w:trPr>
        <w:tc>
          <w:tcPr>
            <w:tcW w:w="6920" w:type="dxa"/>
            <w:vAlign w:val="bottom"/>
          </w:tcPr>
          <w:p>
            <w:pPr>
              <w:spacing w:after="0"/>
              <w:rPr>
                <w:sz w:val="20"/>
                <w:szCs w:val="20"/>
                <w:color w:val="auto"/>
              </w:rPr>
            </w:pPr>
            <w:r>
              <w:rPr>
                <w:rFonts w:ascii="Arial" w:cs="Arial" w:eastAsia="Arial" w:hAnsi="Arial"/>
                <w:sz w:val="18"/>
                <w:szCs w:val="18"/>
                <w:color w:val="auto"/>
              </w:rPr>
              <w:t>Gross unrealized gains</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31,230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29,364</w:t>
            </w:r>
          </w:p>
        </w:tc>
        <w:tc>
          <w:tcPr>
            <w:tcW w:w="20" w:type="dxa"/>
            <w:vAlign w:val="bottom"/>
          </w:tcPr>
          <w:p>
            <w:pPr>
              <w:spacing w:after="0"/>
              <w:rPr>
                <w:sz w:val="19"/>
                <w:szCs w:val="19"/>
                <w:color w:val="auto"/>
              </w:rPr>
            </w:pPr>
          </w:p>
        </w:tc>
      </w:tr>
      <w:tr>
        <w:trPr>
          <w:trHeight w:val="102"/>
        </w:trPr>
        <w:tc>
          <w:tcPr>
            <w:tcW w:w="69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r>
      <w:tr>
        <w:trPr>
          <w:trHeight w:val="102"/>
        </w:trPr>
        <w:tc>
          <w:tcPr>
            <w:tcW w:w="6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Total fair value</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$218,185</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216,533</w:t>
            </w:r>
          </w:p>
        </w:tc>
        <w:tc>
          <w:tcPr>
            <w:tcW w:w="20" w:type="dxa"/>
            <w:vAlign w:val="bottom"/>
          </w:tcPr>
          <w:p>
            <w:pPr>
              <w:spacing w:after="0"/>
              <w:rPr>
                <w:sz w:val="18"/>
                <w:szCs w:val="18"/>
                <w:color w:val="auto"/>
              </w:rPr>
            </w:pPr>
          </w:p>
        </w:tc>
      </w:tr>
      <w:tr>
        <w:trPr>
          <w:trHeight w:val="129"/>
        </w:trPr>
        <w:tc>
          <w:tcPr>
            <w:tcW w:w="69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5311775</wp:posOffset>
            </wp:positionH>
            <wp:positionV relativeFrom="paragraph">
              <wp:posOffset>-27305</wp:posOffset>
            </wp:positionV>
            <wp:extent cx="1033145"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033145" cy="29845"/>
                    </a:xfrm>
                    <a:prstGeom prst="rect">
                      <a:avLst/>
                    </a:prstGeom>
                    <a:noFill/>
                  </pic:spPr>
                </pic:pic>
              </a:graphicData>
            </a:graphic>
          </wp:anchor>
        </w:drawing>
      </w:r>
    </w:p>
    <w:p>
      <w:pPr>
        <w:spacing w:after="0" w:line="228" w:lineRule="exact"/>
        <w:rPr>
          <w:sz w:val="20"/>
          <w:szCs w:val="20"/>
          <w:color w:val="auto"/>
        </w:rPr>
      </w:pPr>
    </w:p>
    <w:p>
      <w:pPr>
        <w:ind w:right="600"/>
        <w:spacing w:after="0" w:line="332" w:lineRule="auto"/>
        <w:rPr>
          <w:sz w:val="20"/>
          <w:szCs w:val="20"/>
          <w:color w:val="auto"/>
        </w:rPr>
      </w:pPr>
      <w:r>
        <w:rPr>
          <w:rFonts w:ascii="Arial" w:cs="Arial" w:eastAsia="Arial" w:hAnsi="Arial"/>
          <w:sz w:val="16"/>
          <w:szCs w:val="16"/>
          <w:color w:val="auto"/>
        </w:rPr>
        <w:t>There were no sales of marketable securities in the first six months of 2003. During the first quarter of 2002, the Company sold its shares of Ticketmaster, resulting in a pre-tax gain of $13.2 million. There were no sales of marketable equity securities in the second quarter of 2002.</w:t>
      </w:r>
    </w:p>
    <w:p>
      <w:pPr>
        <w:spacing w:after="0" w:line="72"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At June 29, 2003 and December 29, 2002, the carrying value of the Company’s cost method investments was $9.0 million and $9.5 million, respectively. There were no</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80"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investments in companies constituting cost method investments during the first six months of 2003 or 2002.</w:t>
      </w:r>
    </w:p>
    <w:p>
      <w:pPr>
        <w:spacing w:after="0" w:line="158"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The Company recorded charges of $0 million and $1.1 million during the second quarter and first six months of 2003, respectively, to write-down certain of its investments to estimated fair value; for the same periods of 2002, the Company recorded charges of $6.6 million and $16.7 million, respectively. The Company’s 2002 write-downs relate to several investments. Three of the investments were written down by an aggregate $11.1 million, primarily as a result of significant recurring losses in each of the underlying businesses, with the write-downs recorded based on the Company’s best estimate of the fair value of each of these investments. Another of the Company’s investments was written down by $2.8 million, due to the investee’s announced merger and the Company’s best estimate of anticipated proceeds.</w:t>
      </w:r>
    </w:p>
    <w:p>
      <w:pPr>
        <w:spacing w:after="0" w:line="131"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Note 3: Borrowings.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Long-term debt consists of the following (in millions):</w:t>
      </w:r>
    </w:p>
    <w:p>
      <w:pPr>
        <w:spacing w:after="0" w:line="141"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85"/>
              </w:rPr>
              <w:t>June 29,</w:t>
            </w:r>
          </w:p>
        </w:tc>
        <w:tc>
          <w:tcPr>
            <w:tcW w:w="860" w:type="dxa"/>
            <w:vAlign w:val="bottom"/>
            <w:gridSpan w:val="4"/>
          </w:tcPr>
          <w:p>
            <w:pPr>
              <w:spacing w:after="0"/>
              <w:rPr>
                <w:sz w:val="20"/>
                <w:szCs w:val="20"/>
                <w:color w:val="auto"/>
              </w:rPr>
            </w:pPr>
            <w:r>
              <w:rPr>
                <w:rFonts w:ascii="Arial" w:cs="Arial" w:eastAsia="Arial" w:hAnsi="Arial"/>
                <w:sz w:val="14"/>
                <w:szCs w:val="14"/>
                <w:b w:val="1"/>
                <w:bCs w:val="1"/>
                <w:color w:val="auto"/>
                <w:w w:val="92"/>
              </w:rPr>
              <w:t>December 30,</w:t>
            </w:r>
          </w:p>
        </w:tc>
      </w:tr>
      <w:tr>
        <w:trPr>
          <w:trHeight w:val="174"/>
        </w:trPr>
        <w:tc>
          <w:tcPr>
            <w:tcW w:w="6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ind w:right="177"/>
              <w:spacing w:after="0"/>
              <w:rPr>
                <w:sz w:val="20"/>
                <w:szCs w:val="20"/>
                <w:color w:val="auto"/>
              </w:rPr>
            </w:pPr>
            <w:r>
              <w:rPr>
                <w:rFonts w:ascii="Arial" w:cs="Arial" w:eastAsia="Arial" w:hAnsi="Arial"/>
                <w:sz w:val="14"/>
                <w:szCs w:val="14"/>
                <w:b w:val="1"/>
                <w:bCs w:val="1"/>
                <w:color w:val="auto"/>
              </w:rPr>
              <w:t>2003</w:t>
            </w: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jc w:val="right"/>
              <w:ind w:right="155"/>
              <w:spacing w:after="0"/>
              <w:rPr>
                <w:sz w:val="20"/>
                <w:szCs w:val="20"/>
                <w:color w:val="auto"/>
              </w:rPr>
            </w:pPr>
            <w:r>
              <w:rPr>
                <w:rFonts w:ascii="Arial" w:cs="Arial" w:eastAsia="Arial" w:hAnsi="Arial"/>
                <w:sz w:val="14"/>
                <w:szCs w:val="14"/>
                <w:b w:val="1"/>
                <w:bCs w:val="1"/>
                <w:color w:val="auto"/>
              </w:rPr>
              <w:t>2002</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95"/>
        </w:trPr>
        <w:tc>
          <w:tcPr>
            <w:tcW w:w="65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102"/>
        </w:trPr>
        <w:tc>
          <w:tcPr>
            <w:tcW w:w="6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Commercial paper borrowings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188.5</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259.3</w:t>
            </w:r>
          </w:p>
        </w:tc>
        <w:tc>
          <w:tcPr>
            <w:tcW w:w="60" w:type="dxa"/>
            <w:vAlign w:val="bottom"/>
            <w:shd w:val="clear" w:color="auto" w:fill="CCEEFF"/>
          </w:tcPr>
          <w:p>
            <w:pPr>
              <w:spacing w:after="0"/>
              <w:rPr>
                <w:sz w:val="18"/>
                <w:szCs w:val="18"/>
                <w:color w:val="auto"/>
              </w:rPr>
            </w:pPr>
          </w:p>
        </w:tc>
      </w:tr>
      <w:tr>
        <w:trPr>
          <w:trHeight w:val="216"/>
        </w:trPr>
        <w:tc>
          <w:tcPr>
            <w:tcW w:w="6580" w:type="dxa"/>
            <w:vAlign w:val="bottom"/>
          </w:tcPr>
          <w:p>
            <w:pPr>
              <w:spacing w:after="0"/>
              <w:rPr>
                <w:sz w:val="20"/>
                <w:szCs w:val="20"/>
                <w:color w:val="auto"/>
              </w:rPr>
            </w:pPr>
            <w:r>
              <w:rPr>
                <w:rFonts w:ascii="Arial" w:cs="Arial" w:eastAsia="Arial" w:hAnsi="Arial"/>
                <w:sz w:val="18"/>
                <w:szCs w:val="18"/>
                <w:color w:val="auto"/>
              </w:rPr>
              <w:t>5.5 percent unsecured notes due February 15, 2009</w:t>
            </w:r>
          </w:p>
        </w:tc>
        <w:tc>
          <w:tcPr>
            <w:tcW w:w="12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398.5</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398.4</w:t>
            </w:r>
          </w:p>
        </w:tc>
        <w:tc>
          <w:tcPr>
            <w:tcW w:w="60" w:type="dxa"/>
            <w:vAlign w:val="bottom"/>
          </w:tcPr>
          <w:p>
            <w:pPr>
              <w:spacing w:after="0"/>
              <w:rPr>
                <w:sz w:val="18"/>
                <w:szCs w:val="18"/>
                <w:color w:val="auto"/>
              </w:rPr>
            </w:pPr>
          </w:p>
        </w:tc>
      </w:tr>
      <w:tr>
        <w:trPr>
          <w:trHeight w:val="216"/>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4.0 percent notes due 2004-2006 (£16.7 million)</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26.5</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22"/>
        </w:trPr>
        <w:tc>
          <w:tcPr>
            <w:tcW w:w="6580" w:type="dxa"/>
            <w:vAlign w:val="bottom"/>
          </w:tcPr>
          <w:p>
            <w:pPr>
              <w:spacing w:after="0"/>
              <w:rPr>
                <w:sz w:val="20"/>
                <w:szCs w:val="20"/>
                <w:color w:val="auto"/>
              </w:rPr>
            </w:pPr>
            <w:r>
              <w:rPr>
                <w:rFonts w:ascii="Arial" w:cs="Arial" w:eastAsia="Arial" w:hAnsi="Arial"/>
                <w:sz w:val="18"/>
                <w:szCs w:val="18"/>
                <w:color w:val="auto"/>
              </w:rPr>
              <w:t>Other indebtedness</w:t>
            </w:r>
          </w:p>
        </w:tc>
        <w:tc>
          <w:tcPr>
            <w:tcW w:w="120" w:type="dxa"/>
            <w:vAlign w:val="bottom"/>
          </w:tcPr>
          <w:p>
            <w:pPr>
              <w:spacing w:after="0"/>
              <w:rPr>
                <w:sz w:val="19"/>
                <w:szCs w:val="19"/>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9.4</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7.1</w:t>
            </w:r>
          </w:p>
        </w:tc>
        <w:tc>
          <w:tcPr>
            <w:tcW w:w="60" w:type="dxa"/>
            <w:vAlign w:val="bottom"/>
          </w:tcPr>
          <w:p>
            <w:pPr>
              <w:spacing w:after="0"/>
              <w:rPr>
                <w:sz w:val="19"/>
                <w:szCs w:val="19"/>
                <w:color w:val="auto"/>
              </w:rPr>
            </w:pPr>
          </w:p>
        </w:tc>
      </w:tr>
      <w:tr>
        <w:trPr>
          <w:trHeight w:val="102"/>
        </w:trPr>
        <w:tc>
          <w:tcPr>
            <w:tcW w:w="65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102"/>
        </w:trPr>
        <w:tc>
          <w:tcPr>
            <w:tcW w:w="6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622.9</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664.8</w:t>
            </w:r>
          </w:p>
        </w:tc>
        <w:tc>
          <w:tcPr>
            <w:tcW w:w="60" w:type="dxa"/>
            <w:vAlign w:val="bottom"/>
            <w:shd w:val="clear" w:color="auto" w:fill="CCEEFF"/>
          </w:tcPr>
          <w:p>
            <w:pPr>
              <w:spacing w:after="0"/>
              <w:rPr>
                <w:sz w:val="18"/>
                <w:szCs w:val="18"/>
                <w:color w:val="auto"/>
              </w:rPr>
            </w:pPr>
          </w:p>
        </w:tc>
      </w:tr>
      <w:tr>
        <w:trPr>
          <w:trHeight w:val="222"/>
        </w:trPr>
        <w:tc>
          <w:tcPr>
            <w:tcW w:w="6580" w:type="dxa"/>
            <w:vAlign w:val="bottom"/>
          </w:tcPr>
          <w:p>
            <w:pPr>
              <w:spacing w:after="0"/>
              <w:rPr>
                <w:sz w:val="20"/>
                <w:szCs w:val="20"/>
                <w:color w:val="auto"/>
              </w:rPr>
            </w:pPr>
            <w:r>
              <w:rPr>
                <w:rFonts w:ascii="Arial" w:cs="Arial" w:eastAsia="Arial" w:hAnsi="Arial"/>
                <w:sz w:val="18"/>
                <w:szCs w:val="18"/>
                <w:color w:val="auto"/>
              </w:rPr>
              <w:t>Less current portion</w:t>
            </w:r>
          </w:p>
        </w:tc>
        <w:tc>
          <w:tcPr>
            <w:tcW w:w="120" w:type="dxa"/>
            <w:vAlign w:val="bottom"/>
          </w:tcPr>
          <w:p>
            <w:pPr>
              <w:spacing w:after="0"/>
              <w:rPr>
                <w:sz w:val="19"/>
                <w:szCs w:val="19"/>
                <w:color w:val="auto"/>
              </w:rPr>
            </w:pPr>
          </w:p>
        </w:tc>
        <w:tc>
          <w:tcPr>
            <w:tcW w:w="980" w:type="dxa"/>
            <w:vAlign w:val="bottom"/>
            <w:gridSpan w:val="3"/>
          </w:tcPr>
          <w:p>
            <w:pPr>
              <w:jc w:val="right"/>
              <w:ind w:right="240"/>
              <w:spacing w:after="0"/>
              <w:rPr>
                <w:sz w:val="20"/>
                <w:szCs w:val="20"/>
                <w:color w:val="auto"/>
              </w:rPr>
            </w:pPr>
            <w:r>
              <w:rPr>
                <w:rFonts w:ascii="Arial" w:cs="Arial" w:eastAsia="Arial" w:hAnsi="Arial"/>
                <w:sz w:val="18"/>
                <w:szCs w:val="18"/>
                <w:color w:val="auto"/>
              </w:rPr>
              <w:t>(195.1)</w:t>
            </w:r>
          </w:p>
        </w:tc>
        <w:tc>
          <w:tcPr>
            <w:tcW w:w="180" w:type="dxa"/>
            <w:vAlign w:val="bottom"/>
          </w:tcPr>
          <w:p>
            <w:pPr>
              <w:spacing w:after="0"/>
              <w:rPr>
                <w:sz w:val="19"/>
                <w:szCs w:val="19"/>
                <w:color w:val="auto"/>
              </w:rPr>
            </w:pPr>
          </w:p>
        </w:tc>
        <w:tc>
          <w:tcPr>
            <w:tcW w:w="680" w:type="dxa"/>
            <w:vAlign w:val="bottom"/>
            <w:gridSpan w:val="3"/>
          </w:tcPr>
          <w:p>
            <w:pPr>
              <w:jc w:val="right"/>
              <w:ind w:right="20"/>
              <w:spacing w:after="0"/>
              <w:rPr>
                <w:sz w:val="20"/>
                <w:szCs w:val="20"/>
                <w:color w:val="auto"/>
              </w:rPr>
            </w:pPr>
            <w:r>
              <w:rPr>
                <w:rFonts w:ascii="Arial" w:cs="Arial" w:eastAsia="Arial" w:hAnsi="Arial"/>
                <w:sz w:val="18"/>
                <w:szCs w:val="18"/>
                <w:color w:val="auto"/>
              </w:rPr>
              <w:t>(259.3)</w:t>
            </w:r>
          </w:p>
        </w:tc>
      </w:tr>
      <w:tr>
        <w:trPr>
          <w:trHeight w:val="102"/>
        </w:trPr>
        <w:tc>
          <w:tcPr>
            <w:tcW w:w="65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102"/>
        </w:trPr>
        <w:tc>
          <w:tcPr>
            <w:tcW w:w="6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Total long-term debt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427.8</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405.5</w:t>
            </w:r>
          </w:p>
        </w:tc>
        <w:tc>
          <w:tcPr>
            <w:tcW w:w="60" w:type="dxa"/>
            <w:vAlign w:val="bottom"/>
            <w:shd w:val="clear" w:color="auto" w:fill="CCEEFF"/>
          </w:tcPr>
          <w:p>
            <w:pPr>
              <w:spacing w:after="0"/>
              <w:rPr>
                <w:sz w:val="18"/>
                <w:szCs w:val="18"/>
                <w:color w:val="auto"/>
              </w:rPr>
            </w:pPr>
          </w:p>
        </w:tc>
      </w:tr>
      <w:tr>
        <w:trPr>
          <w:trHeight w:val="132"/>
        </w:trPr>
        <w:tc>
          <w:tcPr>
            <w:tcW w:w="65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5088255</wp:posOffset>
            </wp:positionH>
            <wp:positionV relativeFrom="paragraph">
              <wp:posOffset>-29210</wp:posOffset>
            </wp:positionV>
            <wp:extent cx="12700"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-29210</wp:posOffset>
            </wp:positionV>
            <wp:extent cx="21590"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-29210</wp:posOffset>
            </wp:positionV>
            <wp:extent cx="38735"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-29210</wp:posOffset>
            </wp:positionV>
            <wp:extent cx="12700"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5946140</wp:posOffset>
            </wp:positionH>
            <wp:positionV relativeFrom="paragraph">
              <wp:posOffset>-29210</wp:posOffset>
            </wp:positionV>
            <wp:extent cx="21590"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6280785</wp:posOffset>
            </wp:positionH>
            <wp:positionV relativeFrom="paragraph">
              <wp:posOffset>-29210</wp:posOffset>
            </wp:positionV>
            <wp:extent cx="38735"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The Company’s commercial paper borrowings at June 29, 2003 were at an average interest rate of 1.2 percent and mature through August 2003; the Company’s commercial paper borrowings at December 30, 2002 were at an average interest rate of 1.6 percent and matured through April 2003. The notes of £16.7 million were issued to current FTC employees who were former FTC shareholders in connection with the acquisition. The noteholders, at their discretion, may elect to receive 25 percent of their outstanding balance in January 2004. In August 2004, 50 percent of the original outstanding balance (less any amounts paid in January 2004) is due for payment. The remaining balance outstanding is due for repayment in August 2006. The Company’s other indebtedness at June 29, 2003 and December 30, 2002 is at interest rates of 6 percent to 7 percent and matures from 2004 to 2007.</w:t>
      </w:r>
    </w:p>
    <w:p>
      <w:pPr>
        <w:spacing w:after="0" w:line="10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second quarter of 2003 and 2002, the Company had average borrowings outstanding of approximately $633.2 million and $830.6 million, respectively, at average annual interest rates of approximately 4.1 percent and 3.7 percent, respectively. During the second quarter of 2003 and 2002, the Company incurred net interest expense on borrowings of $6.2 million and $8.7 million, respectively.</w:t>
      </w:r>
    </w:p>
    <w:p>
      <w:pPr>
        <w:spacing w:after="0" w:line="127" w:lineRule="exact"/>
        <w:rPr>
          <w:sz w:val="20"/>
          <w:szCs w:val="20"/>
          <w:color w:val="auto"/>
        </w:rPr>
      </w:pPr>
    </w:p>
    <w:p>
      <w:pPr>
        <w:ind w:right="620"/>
        <w:spacing w:after="0" w:line="306" w:lineRule="auto"/>
        <w:rPr>
          <w:sz w:val="20"/>
          <w:szCs w:val="20"/>
          <w:color w:val="auto"/>
        </w:rPr>
      </w:pPr>
      <w:r>
        <w:rPr>
          <w:rFonts w:ascii="Arial" w:cs="Arial" w:eastAsia="Arial" w:hAnsi="Arial"/>
          <w:sz w:val="16"/>
          <w:szCs w:val="16"/>
          <w:color w:val="auto"/>
        </w:rPr>
        <w:t>During the first six months of 2003 and 2002, the Company had average borrowings outstanding of approximately $617.4 million and $859.5 million, respectively, at average annual interest rates of approximately 4.1 percent and 3.6 percent, respectively. During the first six months of 2003 and 2002, the Company incurred net interest expense on borrowings of $13.3 million and $17.5 million, respectively.</w:t>
      </w:r>
    </w:p>
    <w:p>
      <w:pPr>
        <w:spacing w:after="0" w:line="93"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Note 4: Business Segments.</w:t>
      </w:r>
    </w:p>
    <w:p>
      <w:pPr>
        <w:spacing w:after="0" w:line="77"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The following table summarizes financial information related to each of the Company’s business segments. The 2003 and 2002 asset information is as of June 29, 2003 and December 29, 2002, respectively.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280" w:right="25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Second Quarter Period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4"/>
                <w:szCs w:val="14"/>
                <w:b w:val="1"/>
                <w:bCs w:val="1"/>
                <w:color w:val="auto"/>
                <w:w w:val="88"/>
              </w:rPr>
              <w:t>Newspaper</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1"/>
              </w:rPr>
              <w:t>Television</w:t>
            </w:r>
          </w:p>
        </w:tc>
        <w:tc>
          <w:tcPr>
            <w:tcW w:w="160" w:type="dxa"/>
            <w:vAlign w:val="bottom"/>
          </w:tcPr>
          <w:p>
            <w:pPr>
              <w:spacing w:after="0"/>
              <w:rPr>
                <w:sz w:val="14"/>
                <w:szCs w:val="14"/>
                <w:color w:val="auto"/>
              </w:rPr>
            </w:pPr>
          </w:p>
        </w:tc>
        <w:tc>
          <w:tcPr>
            <w:tcW w:w="100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88"/>
              </w:rPr>
              <w:t>Magazine</w:t>
            </w:r>
          </w:p>
        </w:tc>
        <w:tc>
          <w:tcPr>
            <w:tcW w:w="80" w:type="dxa"/>
            <w:vAlign w:val="bottom"/>
          </w:tcPr>
          <w:p>
            <w:pPr>
              <w:spacing w:after="0"/>
              <w:rPr>
                <w:sz w:val="14"/>
                <w:szCs w:val="14"/>
                <w:color w:val="auto"/>
              </w:rPr>
            </w:pPr>
          </w:p>
        </w:tc>
        <w:tc>
          <w:tcPr>
            <w:tcW w:w="114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9"/>
              </w:rPr>
              <w:t>Cable</w:t>
            </w: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6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89"/>
              </w:rPr>
              <w:t>Corporate</w:t>
            </w: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700" w:type="dxa"/>
            <w:vAlign w:val="bottom"/>
            <w:gridSpan w:val="2"/>
          </w:tcPr>
          <w:p>
            <w:pPr>
              <w:ind w:left="40"/>
              <w:spacing w:after="0"/>
              <w:rPr>
                <w:sz w:val="20"/>
                <w:szCs w:val="20"/>
                <w:color w:val="auto"/>
              </w:rPr>
            </w:pPr>
            <w:r>
              <w:rPr>
                <w:rFonts w:ascii="Arial" w:cs="Arial" w:eastAsia="Arial" w:hAnsi="Arial"/>
                <w:sz w:val="14"/>
                <w:szCs w:val="14"/>
                <w:b w:val="1"/>
                <w:bCs w:val="1"/>
                <w:color w:val="auto"/>
                <w:w w:val="89"/>
              </w:rPr>
              <w:t>Publishing</w:t>
            </w:r>
          </w:p>
        </w:tc>
        <w:tc>
          <w:tcPr>
            <w:tcW w:w="1220" w:type="dxa"/>
            <w:vAlign w:val="bottom"/>
            <w:gridSpan w:val="4"/>
          </w:tcPr>
          <w:p>
            <w:pPr>
              <w:ind w:left="300"/>
              <w:spacing w:after="0"/>
              <w:rPr>
                <w:sz w:val="20"/>
                <w:szCs w:val="20"/>
                <w:color w:val="auto"/>
              </w:rPr>
            </w:pPr>
            <w:r>
              <w:rPr>
                <w:rFonts w:ascii="Arial" w:cs="Arial" w:eastAsia="Arial" w:hAnsi="Arial"/>
                <w:sz w:val="14"/>
                <w:szCs w:val="14"/>
                <w:b w:val="1"/>
                <w:bCs w:val="1"/>
                <w:color w:val="auto"/>
              </w:rPr>
              <w:t>Broadcasting</w:t>
            </w:r>
          </w:p>
        </w:tc>
        <w:tc>
          <w:tcPr>
            <w:tcW w:w="160" w:type="dxa"/>
            <w:vAlign w:val="bottom"/>
          </w:tcPr>
          <w:p>
            <w:pPr>
              <w:spacing w:after="0"/>
              <w:rPr>
                <w:sz w:val="15"/>
                <w:szCs w:val="15"/>
                <w:color w:val="auto"/>
              </w:rPr>
            </w:pPr>
          </w:p>
        </w:tc>
        <w:tc>
          <w:tcPr>
            <w:tcW w:w="100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86"/>
              </w:rPr>
              <w:t>Publishing</w:t>
            </w:r>
          </w:p>
        </w:tc>
        <w:tc>
          <w:tcPr>
            <w:tcW w:w="80" w:type="dxa"/>
            <w:vAlign w:val="bottom"/>
          </w:tcPr>
          <w:p>
            <w:pPr>
              <w:spacing w:after="0"/>
              <w:rPr>
                <w:sz w:val="15"/>
                <w:szCs w:val="15"/>
                <w:color w:val="auto"/>
              </w:rPr>
            </w:pPr>
          </w:p>
        </w:tc>
        <w:tc>
          <w:tcPr>
            <w:tcW w:w="114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1"/>
              </w:rPr>
              <w:t>Television</w:t>
            </w:r>
          </w:p>
        </w:tc>
        <w:tc>
          <w:tcPr>
            <w:tcW w:w="110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w w:val="91"/>
              </w:rPr>
              <w:t>Education</w:t>
            </w:r>
          </w:p>
        </w:tc>
        <w:tc>
          <w:tcPr>
            <w:tcW w:w="120" w:type="dxa"/>
            <w:vAlign w:val="bottom"/>
          </w:tcPr>
          <w:p>
            <w:pPr>
              <w:spacing w:after="0"/>
              <w:rPr>
                <w:sz w:val="15"/>
                <w:szCs w:val="15"/>
                <w:color w:val="auto"/>
              </w:rPr>
            </w:pPr>
          </w:p>
        </w:tc>
        <w:tc>
          <w:tcPr>
            <w:tcW w:w="94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0"/>
              </w:rPr>
              <w:t>Office</w:t>
            </w:r>
          </w:p>
        </w:tc>
        <w:tc>
          <w:tcPr>
            <w:tcW w:w="92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85"/>
              </w:rPr>
              <w:t>Consolidated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36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40" w:type="dxa"/>
            <w:vAlign w:val="bottom"/>
          </w:tcPr>
          <w:p>
            <w:pPr>
              <w:spacing w:after="0"/>
              <w:rPr>
                <w:sz w:val="8"/>
                <w:szCs w:val="8"/>
                <w:color w:val="auto"/>
              </w:rPr>
            </w:pPr>
          </w:p>
        </w:tc>
        <w:tc>
          <w:tcPr>
            <w:tcW w:w="36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34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79"/>
              </w:rPr>
              <w:t>2003</w:t>
            </w:r>
          </w:p>
        </w:tc>
        <w:tc>
          <w:tcPr>
            <w:tcW w:w="36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tcPr>
          <w:p>
            <w:pPr>
              <w:spacing w:after="0"/>
              <w:rPr>
                <w:sz w:val="20"/>
                <w:szCs w:val="20"/>
                <w:color w:val="auto"/>
              </w:rPr>
            </w:pPr>
            <w:r>
              <w:rPr>
                <w:rFonts w:ascii="Arial" w:cs="Arial" w:eastAsia="Arial" w:hAnsi="Arial"/>
                <w:sz w:val="18"/>
                <w:szCs w:val="18"/>
                <w:color w:val="auto"/>
              </w:rPr>
              <w:t>Operating revenues</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84"/>
              </w:rPr>
              <w:t>$ 223,142</w:t>
            </w: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81,825</w:t>
            </w:r>
          </w:p>
        </w:tc>
        <w:tc>
          <w:tcPr>
            <w:tcW w:w="3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w w:val="94"/>
              </w:rPr>
              <w:t>91,861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114,552</w:t>
            </w:r>
          </w:p>
        </w:tc>
        <w:tc>
          <w:tcPr>
            <w:tcW w:w="1100" w:type="dxa"/>
            <w:vAlign w:val="bottom"/>
            <w:gridSpan w:val="3"/>
          </w:tcPr>
          <w:p>
            <w:pPr>
              <w:jc w:val="right"/>
              <w:ind w:right="420"/>
              <w:spacing w:after="0"/>
              <w:rPr>
                <w:sz w:val="20"/>
                <w:szCs w:val="20"/>
                <w:color w:val="auto"/>
              </w:rPr>
            </w:pPr>
            <w:r>
              <w:rPr>
                <w:rFonts w:ascii="Arial" w:cs="Arial" w:eastAsia="Arial" w:hAnsi="Arial"/>
                <w:sz w:val="18"/>
                <w:szCs w:val="18"/>
                <w:color w:val="auto"/>
                <w:w w:val="82"/>
              </w:rPr>
              <w:t>$ 195,560</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706,940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37,030</w:t>
            </w: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38,986</w:t>
            </w: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4"/>
              </w:rPr>
              <w:t>12,404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21,248</w:t>
            </w:r>
          </w:p>
        </w:tc>
        <w:tc>
          <w:tcPr>
            <w:tcW w:w="200" w:type="dxa"/>
            <w:vAlign w:val="bottom"/>
            <w:shd w:val="clear" w:color="auto" w:fill="CCEEFF"/>
          </w:tcPr>
          <w:p>
            <w:pPr>
              <w:jc w:val="right"/>
              <w:ind w:right="41"/>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3,527</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(6,297)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106,898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tcPr>
          <w:p>
            <w:pPr>
              <w:spacing w:after="0"/>
              <w:rPr>
                <w:sz w:val="20"/>
                <w:szCs w:val="20"/>
                <w:color w:val="auto"/>
              </w:rPr>
            </w:pPr>
            <w:r>
              <w:rPr>
                <w:rFonts w:ascii="Arial" w:cs="Arial" w:eastAsia="Arial" w:hAnsi="Arial"/>
                <w:sz w:val="18"/>
                <w:szCs w:val="18"/>
                <w:color w:val="auto"/>
              </w:rPr>
              <w:t>Equity in losses of affiliates</w:t>
            </w: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(5,524)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(6,200)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20" w:type="dxa"/>
            <w:vAlign w:val="bottom"/>
            <w:gridSpan w:val="2"/>
          </w:tcPr>
          <w:p>
            <w:pPr>
              <w:spacing w:after="0"/>
              <w:rPr>
                <w:sz w:val="20"/>
                <w:szCs w:val="20"/>
                <w:color w:val="auto"/>
              </w:rPr>
            </w:pPr>
            <w:r>
              <w:rPr>
                <w:rFonts w:ascii="Arial" w:cs="Arial" w:eastAsia="Arial" w:hAnsi="Arial"/>
                <w:sz w:val="18"/>
                <w:szCs w:val="18"/>
                <w:color w:val="auto"/>
              </w:rPr>
              <w:t>Other, net</w:t>
            </w: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2,274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36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40" w:type="dxa"/>
            <w:vAlign w:val="bottom"/>
          </w:tcPr>
          <w:p>
            <w:pPr>
              <w:spacing w:after="0"/>
              <w:rPr>
                <w:sz w:val="8"/>
                <w:szCs w:val="8"/>
                <w:color w:val="auto"/>
              </w:rPr>
            </w:pPr>
          </w:p>
        </w:tc>
        <w:tc>
          <w:tcPr>
            <w:tcW w:w="36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40" w:type="dxa"/>
            <w:vAlign w:val="bottom"/>
          </w:tcPr>
          <w:p>
            <w:pPr>
              <w:spacing w:after="0"/>
              <w:rPr>
                <w:sz w:val="9"/>
                <w:szCs w:val="9"/>
                <w:color w:val="auto"/>
              </w:rPr>
            </w:pPr>
          </w:p>
        </w:tc>
        <w:tc>
          <w:tcPr>
            <w:tcW w:w="3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expense</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10,451</w:t>
            </w: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2,774</w:t>
            </w: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929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22,964</w:t>
            </w:r>
          </w:p>
        </w:tc>
        <w:tc>
          <w:tcPr>
            <w:tcW w:w="200" w:type="dxa"/>
            <w:vAlign w:val="bottom"/>
            <w:shd w:val="clear" w:color="auto" w:fill="CCEEFF"/>
          </w:tcPr>
          <w:p>
            <w:pPr>
              <w:jc w:val="right"/>
              <w:ind w:right="41"/>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6,094</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tcPr>
          <w:p>
            <w:pPr>
              <w:spacing w:after="0"/>
              <w:rPr>
                <w:sz w:val="20"/>
                <w:szCs w:val="20"/>
                <w:color w:val="auto"/>
              </w:rPr>
            </w:pPr>
            <w:r>
              <w:rPr>
                <w:rFonts w:ascii="Arial" w:cs="Arial" w:eastAsia="Arial" w:hAnsi="Arial"/>
                <w:sz w:val="18"/>
                <w:szCs w:val="18"/>
                <w:color w:val="auto"/>
              </w:rPr>
              <w:t>Amortization expense</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4</w:t>
            </w: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37</w:t>
            </w:r>
          </w:p>
        </w:tc>
        <w:tc>
          <w:tcPr>
            <w:tcW w:w="200" w:type="dxa"/>
            <w:vAlign w:val="bottom"/>
          </w:tcPr>
          <w:p>
            <w:pPr>
              <w:jc w:val="right"/>
              <w:ind w:right="41"/>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322</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pension credit (expense)</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1,792</w:t>
            </w: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1,065</w:t>
            </w: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8,998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(243)</w:t>
            </w:r>
          </w:p>
        </w:tc>
        <w:tc>
          <w:tcPr>
            <w:tcW w:w="200" w:type="dxa"/>
            <w:vAlign w:val="bottom"/>
            <w:shd w:val="clear" w:color="auto" w:fill="CCEEFF"/>
          </w:tcPr>
          <w:p>
            <w:pPr>
              <w:jc w:val="right"/>
              <w:ind w:right="41"/>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(352)</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tcPr>
          <w:p>
            <w:pPr>
              <w:spacing w:after="0"/>
              <w:rPr>
                <w:sz w:val="20"/>
                <w:szCs w:val="20"/>
                <w:color w:val="auto"/>
              </w:rPr>
            </w:pPr>
            <w:r>
              <w:rPr>
                <w:rFonts w:ascii="Arial" w:cs="Arial" w:eastAsia="Arial" w:hAnsi="Arial"/>
                <w:sz w:val="18"/>
                <w:szCs w:val="18"/>
                <w:color w:val="auto"/>
              </w:rPr>
              <w:t>Identifiable assets</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84"/>
              </w:rPr>
              <w:t>$ 701,725</w:t>
            </w: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410,696</w:t>
            </w:r>
          </w:p>
        </w:tc>
        <w:tc>
          <w:tcPr>
            <w:tcW w:w="1160" w:type="dxa"/>
            <w:vAlign w:val="bottom"/>
            <w:gridSpan w:val="4"/>
          </w:tcPr>
          <w:p>
            <w:pPr>
              <w:ind w:left="160"/>
              <w:spacing w:after="0"/>
              <w:rPr>
                <w:sz w:val="20"/>
                <w:szCs w:val="20"/>
                <w:color w:val="auto"/>
              </w:rPr>
            </w:pPr>
            <w:r>
              <w:rPr>
                <w:rFonts w:ascii="Arial" w:cs="Arial" w:eastAsia="Arial" w:hAnsi="Arial"/>
                <w:sz w:val="18"/>
                <w:szCs w:val="18"/>
                <w:color w:val="auto"/>
              </w:rPr>
              <w:t>$ 497,092</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w w:val="87"/>
              </w:rPr>
              <w:t>1,134,182</w:t>
            </w:r>
          </w:p>
        </w:tc>
        <w:tc>
          <w:tcPr>
            <w:tcW w:w="1100" w:type="dxa"/>
            <w:vAlign w:val="bottom"/>
            <w:gridSpan w:val="3"/>
          </w:tcPr>
          <w:p>
            <w:pPr>
              <w:jc w:val="right"/>
              <w:ind w:right="420"/>
              <w:spacing w:after="0"/>
              <w:rPr>
                <w:sz w:val="20"/>
                <w:szCs w:val="20"/>
                <w:color w:val="auto"/>
              </w:rPr>
            </w:pPr>
            <w:r>
              <w:rPr>
                <w:rFonts w:ascii="Arial" w:cs="Arial" w:eastAsia="Arial" w:hAnsi="Arial"/>
                <w:sz w:val="18"/>
                <w:szCs w:val="18"/>
                <w:color w:val="auto"/>
                <w:w w:val="82"/>
              </w:rPr>
              <w:t>$ 675,640</w:t>
            </w:r>
          </w:p>
        </w:tc>
        <w:tc>
          <w:tcPr>
            <w:tcW w:w="1060" w:type="dxa"/>
            <w:vAlign w:val="bottom"/>
            <w:gridSpan w:val="3"/>
          </w:tcPr>
          <w:p>
            <w:pPr>
              <w:spacing w:after="0"/>
              <w:rPr>
                <w:sz w:val="20"/>
                <w:szCs w:val="20"/>
                <w:color w:val="auto"/>
              </w:rPr>
            </w:pPr>
            <w:r>
              <w:rPr>
                <w:rFonts w:ascii="Arial" w:cs="Arial" w:eastAsia="Arial" w:hAnsi="Arial"/>
                <w:sz w:val="18"/>
                <w:szCs w:val="18"/>
                <w:color w:val="auto"/>
              </w:rPr>
              <w:t>$ 16,251</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w w:val="84"/>
              </w:rPr>
              <w:t>$ 3,435,586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Investments in marketable equity securities</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218,185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20" w:type="dxa"/>
            <w:vAlign w:val="bottom"/>
            <w:gridSpan w:val="2"/>
          </w:tcPr>
          <w:p>
            <w:pPr>
              <w:spacing w:after="0"/>
              <w:rPr>
                <w:sz w:val="20"/>
                <w:szCs w:val="20"/>
                <w:color w:val="auto"/>
              </w:rPr>
            </w:pPr>
            <w:r>
              <w:rPr>
                <w:rFonts w:ascii="Arial" w:cs="Arial" w:eastAsia="Arial" w:hAnsi="Arial"/>
                <w:sz w:val="18"/>
                <w:szCs w:val="18"/>
                <w:color w:val="auto"/>
              </w:rPr>
              <w:t>Investments in affiliates</w:t>
            </w: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61,295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36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40" w:type="dxa"/>
            <w:vAlign w:val="bottom"/>
          </w:tcPr>
          <w:p>
            <w:pPr>
              <w:spacing w:after="0"/>
              <w:rPr>
                <w:sz w:val="8"/>
                <w:szCs w:val="8"/>
                <w:color w:val="auto"/>
              </w:rPr>
            </w:pPr>
          </w:p>
        </w:tc>
        <w:tc>
          <w:tcPr>
            <w:tcW w:w="36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4"/>
              </w:rPr>
              <w:t>$ 3,715,066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7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88"/>
              </w:rPr>
              <w:t>Newspaper</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81"/>
              </w:rPr>
              <w:t>Television</w:t>
            </w:r>
          </w:p>
        </w:tc>
        <w:tc>
          <w:tcPr>
            <w:tcW w:w="160" w:type="dxa"/>
            <w:vAlign w:val="bottom"/>
          </w:tcPr>
          <w:p>
            <w:pPr>
              <w:spacing w:after="0"/>
              <w:rPr>
                <w:sz w:val="11"/>
                <w:szCs w:val="11"/>
                <w:color w:val="auto"/>
              </w:rPr>
            </w:pPr>
          </w:p>
        </w:tc>
        <w:tc>
          <w:tcPr>
            <w:tcW w:w="1000" w:type="dxa"/>
            <w:vAlign w:val="bottom"/>
            <w:gridSpan w:val="3"/>
            <w:vMerge w:val="restart"/>
          </w:tcPr>
          <w:p>
            <w:pPr>
              <w:jc w:val="center"/>
              <w:ind w:right="320"/>
              <w:spacing w:after="0"/>
              <w:rPr>
                <w:sz w:val="20"/>
                <w:szCs w:val="20"/>
                <w:color w:val="auto"/>
              </w:rPr>
            </w:pPr>
            <w:r>
              <w:rPr>
                <w:rFonts w:ascii="Arial" w:cs="Arial" w:eastAsia="Arial" w:hAnsi="Arial"/>
                <w:sz w:val="14"/>
                <w:szCs w:val="14"/>
                <w:b w:val="1"/>
                <w:bCs w:val="1"/>
                <w:color w:val="auto"/>
                <w:w w:val="88"/>
              </w:rPr>
              <w:t>Magazine</w:t>
            </w:r>
          </w:p>
        </w:tc>
        <w:tc>
          <w:tcPr>
            <w:tcW w:w="80" w:type="dxa"/>
            <w:vAlign w:val="bottom"/>
          </w:tcPr>
          <w:p>
            <w:pPr>
              <w:spacing w:after="0"/>
              <w:rPr>
                <w:sz w:val="11"/>
                <w:szCs w:val="11"/>
                <w:color w:val="auto"/>
              </w:rPr>
            </w:pPr>
          </w:p>
        </w:tc>
        <w:tc>
          <w:tcPr>
            <w:tcW w:w="1140" w:type="dxa"/>
            <w:vAlign w:val="bottom"/>
            <w:gridSpan w:val="2"/>
            <w:vMerge w:val="restart"/>
          </w:tcPr>
          <w:p>
            <w:pPr>
              <w:jc w:val="center"/>
              <w:ind w:right="520"/>
              <w:spacing w:after="0"/>
              <w:rPr>
                <w:sz w:val="20"/>
                <w:szCs w:val="20"/>
                <w:color w:val="auto"/>
              </w:rPr>
            </w:pPr>
            <w:r>
              <w:rPr>
                <w:rFonts w:ascii="Arial" w:cs="Arial" w:eastAsia="Arial" w:hAnsi="Arial"/>
                <w:sz w:val="14"/>
                <w:szCs w:val="14"/>
                <w:b w:val="1"/>
                <w:bCs w:val="1"/>
                <w:color w:val="auto"/>
                <w:w w:val="89"/>
              </w:rPr>
              <w:t>Cable</w:t>
            </w: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60" w:type="dxa"/>
            <w:vAlign w:val="bottom"/>
            <w:gridSpan w:val="3"/>
            <w:vMerge w:val="restart"/>
          </w:tcPr>
          <w:p>
            <w:pPr>
              <w:jc w:val="center"/>
              <w:ind w:right="420"/>
              <w:spacing w:after="0"/>
              <w:rPr>
                <w:sz w:val="20"/>
                <w:szCs w:val="20"/>
                <w:color w:val="auto"/>
              </w:rPr>
            </w:pPr>
            <w:r>
              <w:rPr>
                <w:rFonts w:ascii="Arial" w:cs="Arial" w:eastAsia="Arial" w:hAnsi="Arial"/>
                <w:sz w:val="14"/>
                <w:szCs w:val="14"/>
                <w:b w:val="1"/>
                <w:bCs w:val="1"/>
                <w:color w:val="auto"/>
                <w:w w:val="89"/>
              </w:rPr>
              <w:t>Corporate</w:t>
            </w: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9"/>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70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gridSpan w:val="3"/>
            <w:vMerge w:val="continue"/>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gridSpan w:val="3"/>
            <w:vMerge w:val="continue"/>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700" w:type="dxa"/>
            <w:vAlign w:val="bottom"/>
            <w:gridSpan w:val="2"/>
          </w:tcPr>
          <w:p>
            <w:pPr>
              <w:ind w:left="40"/>
              <w:spacing w:after="0"/>
              <w:rPr>
                <w:sz w:val="20"/>
                <w:szCs w:val="20"/>
                <w:color w:val="auto"/>
              </w:rPr>
            </w:pPr>
            <w:r>
              <w:rPr>
                <w:rFonts w:ascii="Arial" w:cs="Arial" w:eastAsia="Arial" w:hAnsi="Arial"/>
                <w:sz w:val="14"/>
                <w:szCs w:val="14"/>
                <w:b w:val="1"/>
                <w:bCs w:val="1"/>
                <w:color w:val="auto"/>
                <w:w w:val="89"/>
              </w:rPr>
              <w:t>Publishing</w:t>
            </w:r>
          </w:p>
        </w:tc>
        <w:tc>
          <w:tcPr>
            <w:tcW w:w="1220" w:type="dxa"/>
            <w:vAlign w:val="bottom"/>
            <w:gridSpan w:val="4"/>
          </w:tcPr>
          <w:p>
            <w:pPr>
              <w:ind w:left="300"/>
              <w:spacing w:after="0"/>
              <w:rPr>
                <w:sz w:val="20"/>
                <w:szCs w:val="20"/>
                <w:color w:val="auto"/>
              </w:rPr>
            </w:pPr>
            <w:r>
              <w:rPr>
                <w:rFonts w:ascii="Arial" w:cs="Arial" w:eastAsia="Arial" w:hAnsi="Arial"/>
                <w:sz w:val="14"/>
                <w:szCs w:val="14"/>
                <w:b w:val="1"/>
                <w:bCs w:val="1"/>
                <w:color w:val="auto"/>
              </w:rPr>
              <w:t>Broadcasting</w:t>
            </w:r>
          </w:p>
        </w:tc>
        <w:tc>
          <w:tcPr>
            <w:tcW w:w="160" w:type="dxa"/>
            <w:vAlign w:val="bottom"/>
          </w:tcPr>
          <w:p>
            <w:pPr>
              <w:spacing w:after="0"/>
              <w:rPr>
                <w:sz w:val="15"/>
                <w:szCs w:val="15"/>
                <w:color w:val="auto"/>
              </w:rPr>
            </w:pPr>
          </w:p>
        </w:tc>
        <w:tc>
          <w:tcPr>
            <w:tcW w:w="100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86"/>
              </w:rPr>
              <w:t>Publishing</w:t>
            </w:r>
          </w:p>
        </w:tc>
        <w:tc>
          <w:tcPr>
            <w:tcW w:w="80" w:type="dxa"/>
            <w:vAlign w:val="bottom"/>
          </w:tcPr>
          <w:p>
            <w:pPr>
              <w:spacing w:after="0"/>
              <w:rPr>
                <w:sz w:val="15"/>
                <w:szCs w:val="15"/>
                <w:color w:val="auto"/>
              </w:rPr>
            </w:pPr>
          </w:p>
        </w:tc>
        <w:tc>
          <w:tcPr>
            <w:tcW w:w="114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1"/>
              </w:rPr>
              <w:t>Television</w:t>
            </w:r>
          </w:p>
        </w:tc>
        <w:tc>
          <w:tcPr>
            <w:tcW w:w="110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w w:val="91"/>
              </w:rPr>
              <w:t>Education</w:t>
            </w:r>
          </w:p>
        </w:tc>
        <w:tc>
          <w:tcPr>
            <w:tcW w:w="120" w:type="dxa"/>
            <w:vAlign w:val="bottom"/>
          </w:tcPr>
          <w:p>
            <w:pPr>
              <w:spacing w:after="0"/>
              <w:rPr>
                <w:sz w:val="15"/>
                <w:szCs w:val="15"/>
                <w:color w:val="auto"/>
              </w:rPr>
            </w:pPr>
          </w:p>
        </w:tc>
        <w:tc>
          <w:tcPr>
            <w:tcW w:w="94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0"/>
              </w:rPr>
              <w:t>Office</w:t>
            </w:r>
          </w:p>
        </w:tc>
        <w:tc>
          <w:tcPr>
            <w:tcW w:w="92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85"/>
              </w:rPr>
              <w:t>Consolidated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36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40" w:type="dxa"/>
            <w:vAlign w:val="bottom"/>
          </w:tcPr>
          <w:p>
            <w:pPr>
              <w:spacing w:after="0"/>
              <w:rPr>
                <w:sz w:val="8"/>
                <w:szCs w:val="8"/>
                <w:color w:val="auto"/>
              </w:rPr>
            </w:pPr>
          </w:p>
        </w:tc>
        <w:tc>
          <w:tcPr>
            <w:tcW w:w="36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34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79"/>
              </w:rPr>
              <w:t>2002</w:t>
            </w:r>
          </w:p>
        </w:tc>
        <w:tc>
          <w:tcPr>
            <w:tcW w:w="36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tcPr>
          <w:p>
            <w:pPr>
              <w:spacing w:after="0"/>
              <w:rPr>
                <w:sz w:val="20"/>
                <w:szCs w:val="20"/>
                <w:color w:val="auto"/>
              </w:rPr>
            </w:pPr>
            <w:r>
              <w:rPr>
                <w:rFonts w:ascii="Arial" w:cs="Arial" w:eastAsia="Arial" w:hAnsi="Arial"/>
                <w:sz w:val="18"/>
                <w:szCs w:val="18"/>
                <w:color w:val="auto"/>
              </w:rPr>
              <w:t>Operating revenues</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84"/>
              </w:rPr>
              <w:t>$ 215,067</w:t>
            </w: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86,092</w:t>
            </w:r>
          </w:p>
        </w:tc>
        <w:tc>
          <w:tcPr>
            <w:tcW w:w="3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w w:val="94"/>
              </w:rPr>
              <w:t>88,886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107,963</w:t>
            </w:r>
          </w:p>
        </w:tc>
        <w:tc>
          <w:tcPr>
            <w:tcW w:w="1100" w:type="dxa"/>
            <w:vAlign w:val="bottom"/>
            <w:gridSpan w:val="3"/>
          </w:tcPr>
          <w:p>
            <w:pPr>
              <w:jc w:val="right"/>
              <w:ind w:right="420"/>
              <w:spacing w:after="0"/>
              <w:rPr>
                <w:sz w:val="20"/>
                <w:szCs w:val="20"/>
                <w:color w:val="auto"/>
              </w:rPr>
            </w:pPr>
            <w:r>
              <w:rPr>
                <w:rFonts w:ascii="Arial" w:cs="Arial" w:eastAsia="Arial" w:hAnsi="Arial"/>
                <w:sz w:val="18"/>
                <w:szCs w:val="18"/>
                <w:color w:val="auto"/>
                <w:w w:val="82"/>
              </w:rPr>
              <w:t>$ 149,695</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647,703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37,811</w:t>
            </w: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43,459</w:t>
            </w: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4"/>
              </w:rPr>
              <w:t>13,272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21,766</w:t>
            </w:r>
          </w:p>
        </w:tc>
        <w:tc>
          <w:tcPr>
            <w:tcW w:w="200" w:type="dxa"/>
            <w:vAlign w:val="bottom"/>
            <w:shd w:val="clear" w:color="auto" w:fill="CCEEFF"/>
          </w:tcPr>
          <w:p>
            <w:pPr>
              <w:jc w:val="right"/>
              <w:ind w:right="41"/>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624</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(6,504)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110,428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tcPr>
          <w:p>
            <w:pPr>
              <w:spacing w:after="0"/>
              <w:rPr>
                <w:sz w:val="20"/>
                <w:szCs w:val="20"/>
                <w:color w:val="auto"/>
              </w:rPr>
            </w:pPr>
            <w:r>
              <w:rPr>
                <w:rFonts w:ascii="Arial" w:cs="Arial" w:eastAsia="Arial" w:hAnsi="Arial"/>
                <w:sz w:val="18"/>
                <w:szCs w:val="18"/>
                <w:color w:val="auto"/>
              </w:rPr>
              <w:t>Equity in losses of affiliates</w:t>
            </w: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(9,183)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(8,738)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20" w:type="dxa"/>
            <w:vAlign w:val="bottom"/>
            <w:gridSpan w:val="2"/>
          </w:tcPr>
          <w:p>
            <w:pPr>
              <w:spacing w:after="0"/>
              <w:rPr>
                <w:sz w:val="20"/>
                <w:szCs w:val="20"/>
                <w:color w:val="auto"/>
              </w:rPr>
            </w:pPr>
            <w:r>
              <w:rPr>
                <w:rFonts w:ascii="Arial" w:cs="Arial" w:eastAsia="Arial" w:hAnsi="Arial"/>
                <w:sz w:val="18"/>
                <w:szCs w:val="18"/>
                <w:color w:val="auto"/>
              </w:rPr>
              <w:t>Other, net</w:t>
            </w: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(5,963)</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36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40" w:type="dxa"/>
            <w:vAlign w:val="bottom"/>
          </w:tcPr>
          <w:p>
            <w:pPr>
              <w:spacing w:after="0"/>
              <w:rPr>
                <w:sz w:val="8"/>
                <w:szCs w:val="8"/>
                <w:color w:val="auto"/>
              </w:rPr>
            </w:pPr>
          </w:p>
        </w:tc>
        <w:tc>
          <w:tcPr>
            <w:tcW w:w="36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0" w:type="dxa"/>
            <w:vAlign w:val="bottom"/>
            <w:gridSpan w:val="2"/>
          </w:tcPr>
          <w:p>
            <w:pPr>
              <w:spacing w:after="0"/>
              <w:rPr>
                <w:sz w:val="11"/>
                <w:szCs w:val="11"/>
                <w:color w:val="auto"/>
              </w:rPr>
            </w:pPr>
          </w:p>
        </w:tc>
        <w:tc>
          <w:tcPr>
            <w:tcW w:w="820" w:type="dxa"/>
            <w:vAlign w:val="bottom"/>
            <w:gridSpan w:val="2"/>
          </w:tcPr>
          <w:p>
            <w:pPr>
              <w:spacing w:after="0"/>
              <w:rPr>
                <w:sz w:val="11"/>
                <w:szCs w:val="11"/>
                <w:color w:val="auto"/>
              </w:rPr>
            </w:pPr>
          </w:p>
        </w:tc>
        <w:tc>
          <w:tcPr>
            <w:tcW w:w="300" w:type="dxa"/>
            <w:vAlign w:val="bottom"/>
            <w:gridSpan w:val="2"/>
          </w:tcPr>
          <w:p>
            <w:pPr>
              <w:spacing w:after="0"/>
              <w:rPr>
                <w:sz w:val="11"/>
                <w:szCs w:val="11"/>
                <w:color w:val="auto"/>
              </w:rPr>
            </w:pPr>
          </w:p>
        </w:tc>
        <w:tc>
          <w:tcPr>
            <w:tcW w:w="860" w:type="dxa"/>
            <w:vAlign w:val="bottom"/>
            <w:gridSpan w:val="2"/>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gridSpan w:val="2"/>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gridSpan w:val="2"/>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40" w:type="dxa"/>
            <w:vAlign w:val="bottom"/>
          </w:tcPr>
          <w:p>
            <w:pPr>
              <w:spacing w:after="0"/>
              <w:rPr>
                <w:sz w:val="9"/>
                <w:szCs w:val="9"/>
                <w:color w:val="auto"/>
              </w:rPr>
            </w:pPr>
          </w:p>
        </w:tc>
        <w:tc>
          <w:tcPr>
            <w:tcW w:w="3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expense</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10,744</w:t>
            </w: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2,784</w:t>
            </w: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1,022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20,738</w:t>
            </w:r>
          </w:p>
        </w:tc>
        <w:tc>
          <w:tcPr>
            <w:tcW w:w="200" w:type="dxa"/>
            <w:vAlign w:val="bottom"/>
            <w:shd w:val="clear" w:color="auto" w:fill="CCEEFF"/>
          </w:tcPr>
          <w:p>
            <w:pPr>
              <w:jc w:val="right"/>
              <w:ind w:right="41"/>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5,998</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tcPr>
          <w:p>
            <w:pPr>
              <w:spacing w:after="0"/>
              <w:rPr>
                <w:sz w:val="20"/>
                <w:szCs w:val="20"/>
                <w:color w:val="auto"/>
              </w:rPr>
            </w:pPr>
            <w:r>
              <w:rPr>
                <w:rFonts w:ascii="Arial" w:cs="Arial" w:eastAsia="Arial" w:hAnsi="Arial"/>
                <w:sz w:val="18"/>
                <w:szCs w:val="18"/>
                <w:color w:val="auto"/>
              </w:rPr>
              <w:t>Amortization expense</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4</w:t>
            </w: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39</w:t>
            </w:r>
          </w:p>
        </w:tc>
        <w:tc>
          <w:tcPr>
            <w:tcW w:w="200" w:type="dxa"/>
            <w:vAlign w:val="bottom"/>
          </w:tcPr>
          <w:p>
            <w:pPr>
              <w:jc w:val="right"/>
              <w:ind w:right="41"/>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116</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pension credit (expense)</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5,492</w:t>
            </w: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1,220</w:t>
            </w: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7,221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(226)</w:t>
            </w:r>
          </w:p>
        </w:tc>
        <w:tc>
          <w:tcPr>
            <w:tcW w:w="200" w:type="dxa"/>
            <w:vAlign w:val="bottom"/>
            <w:shd w:val="clear" w:color="auto" w:fill="CCEEFF"/>
          </w:tcPr>
          <w:p>
            <w:pPr>
              <w:jc w:val="right"/>
              <w:ind w:right="41"/>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(298)</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tcPr>
          <w:p>
            <w:pPr>
              <w:spacing w:after="0"/>
              <w:rPr>
                <w:sz w:val="20"/>
                <w:szCs w:val="20"/>
                <w:color w:val="auto"/>
              </w:rPr>
            </w:pPr>
            <w:r>
              <w:rPr>
                <w:rFonts w:ascii="Arial" w:cs="Arial" w:eastAsia="Arial" w:hAnsi="Arial"/>
                <w:sz w:val="18"/>
                <w:szCs w:val="18"/>
                <w:color w:val="auto"/>
              </w:rPr>
              <w:t>Identifiable assets</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84"/>
              </w:rPr>
              <w:t>$ 690,197</w:t>
            </w: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413,663</w:t>
            </w:r>
          </w:p>
        </w:tc>
        <w:tc>
          <w:tcPr>
            <w:tcW w:w="1160" w:type="dxa"/>
            <w:vAlign w:val="bottom"/>
            <w:gridSpan w:val="4"/>
          </w:tcPr>
          <w:p>
            <w:pPr>
              <w:ind w:left="160"/>
              <w:spacing w:after="0"/>
              <w:rPr>
                <w:sz w:val="20"/>
                <w:szCs w:val="20"/>
                <w:color w:val="auto"/>
              </w:rPr>
            </w:pPr>
            <w:r>
              <w:rPr>
                <w:rFonts w:ascii="Arial" w:cs="Arial" w:eastAsia="Arial" w:hAnsi="Arial"/>
                <w:sz w:val="18"/>
                <w:szCs w:val="18"/>
                <w:color w:val="auto"/>
              </w:rPr>
              <w:t>$ 488,562</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w w:val="87"/>
              </w:rPr>
              <w:t>1,142,995</w:t>
            </w:r>
          </w:p>
        </w:tc>
        <w:tc>
          <w:tcPr>
            <w:tcW w:w="1100" w:type="dxa"/>
            <w:vAlign w:val="bottom"/>
            <w:gridSpan w:val="3"/>
          </w:tcPr>
          <w:p>
            <w:pPr>
              <w:jc w:val="right"/>
              <w:ind w:right="420"/>
              <w:spacing w:after="0"/>
              <w:rPr>
                <w:sz w:val="20"/>
                <w:szCs w:val="20"/>
                <w:color w:val="auto"/>
              </w:rPr>
            </w:pPr>
            <w:r>
              <w:rPr>
                <w:rFonts w:ascii="Arial" w:cs="Arial" w:eastAsia="Arial" w:hAnsi="Arial"/>
                <w:sz w:val="18"/>
                <w:szCs w:val="18"/>
                <w:color w:val="auto"/>
                <w:w w:val="82"/>
              </w:rPr>
              <w:t>$ 542,251</w:t>
            </w:r>
          </w:p>
        </w:tc>
        <w:tc>
          <w:tcPr>
            <w:tcW w:w="1060" w:type="dxa"/>
            <w:vAlign w:val="bottom"/>
            <w:gridSpan w:val="3"/>
          </w:tcPr>
          <w:p>
            <w:pPr>
              <w:spacing w:after="0"/>
              <w:rPr>
                <w:sz w:val="20"/>
                <w:szCs w:val="20"/>
                <w:color w:val="auto"/>
              </w:rPr>
            </w:pPr>
            <w:r>
              <w:rPr>
                <w:rFonts w:ascii="Arial" w:cs="Arial" w:eastAsia="Arial" w:hAnsi="Arial"/>
                <w:sz w:val="18"/>
                <w:szCs w:val="18"/>
                <w:color w:val="auto"/>
              </w:rPr>
              <w:t>$ 18,990</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w w:val="84"/>
              </w:rPr>
              <w:t>$ 3,296,658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Investments in marketable equity securities</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216,533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20" w:type="dxa"/>
            <w:vAlign w:val="bottom"/>
            <w:gridSpan w:val="2"/>
          </w:tcPr>
          <w:p>
            <w:pPr>
              <w:spacing w:after="0"/>
              <w:rPr>
                <w:sz w:val="20"/>
                <w:szCs w:val="20"/>
                <w:color w:val="auto"/>
              </w:rPr>
            </w:pPr>
            <w:r>
              <w:rPr>
                <w:rFonts w:ascii="Arial" w:cs="Arial" w:eastAsia="Arial" w:hAnsi="Arial"/>
                <w:sz w:val="18"/>
                <w:szCs w:val="18"/>
                <w:color w:val="auto"/>
              </w:rPr>
              <w:t>Investments in affiliates</w:t>
            </w: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70,703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36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20" w:type="dxa"/>
            <w:vAlign w:val="bottom"/>
          </w:tcPr>
          <w:p>
            <w:pPr>
              <w:spacing w:after="0"/>
              <w:rPr>
                <w:sz w:val="8"/>
                <w:szCs w:val="8"/>
                <w:color w:val="auto"/>
              </w:rPr>
            </w:pPr>
          </w:p>
        </w:tc>
        <w:tc>
          <w:tcPr>
            <w:tcW w:w="820" w:type="dxa"/>
            <w:vAlign w:val="bottom"/>
            <w:tcBorders>
              <w:bottom w:val="single" w:sz="8" w:color="auto"/>
            </w:tcBorders>
            <w:gridSpan w:val="2"/>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36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80" w:type="dxa"/>
            <w:vAlign w:val="bottom"/>
            <w:shd w:val="clear" w:color="auto" w:fill="CCEEFF"/>
          </w:tcPr>
          <w:p>
            <w:pPr>
              <w:ind w:left="80"/>
              <w:spacing w:after="0"/>
              <w:rPr>
                <w:sz w:val="20"/>
                <w:szCs w:val="20"/>
                <w:color w:val="auto"/>
              </w:rPr>
            </w:pPr>
            <w:r>
              <w:rPr>
                <w:rFonts w:ascii="Arial" w:cs="Arial" w:eastAsia="Arial" w:hAnsi="Arial"/>
                <w:sz w:val="18"/>
                <w:szCs w:val="18"/>
                <w:color w:val="auto"/>
              </w:rPr>
              <w:t>Total assets</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4"/>
              </w:rPr>
              <w:t>$ 3,583,894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16"/>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6666230</wp:posOffset>
            </wp:positionH>
            <wp:positionV relativeFrom="paragraph">
              <wp:posOffset>-4657090</wp:posOffset>
            </wp:positionV>
            <wp:extent cx="12700"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-4657090</wp:posOffset>
            </wp:positionV>
            <wp:extent cx="21590"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-4657090</wp:posOffset>
            </wp:positionV>
            <wp:extent cx="38735"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6666230</wp:posOffset>
            </wp:positionH>
            <wp:positionV relativeFrom="paragraph">
              <wp:posOffset>-3387725</wp:posOffset>
            </wp:positionV>
            <wp:extent cx="12700"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-3387725</wp:posOffset>
            </wp:positionV>
            <wp:extent cx="21590"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-3387725</wp:posOffset>
            </wp:positionV>
            <wp:extent cx="38735"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6666230</wp:posOffset>
            </wp:positionH>
            <wp:positionV relativeFrom="paragraph">
              <wp:posOffset>-1689735</wp:posOffset>
            </wp:positionV>
            <wp:extent cx="12700"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-1689735</wp:posOffset>
            </wp:positionV>
            <wp:extent cx="21590"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-1689735</wp:posOffset>
            </wp:positionV>
            <wp:extent cx="38735"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6666230</wp:posOffset>
            </wp:positionH>
            <wp:positionV relativeFrom="paragraph">
              <wp:posOffset>-420370</wp:posOffset>
            </wp:positionV>
            <wp:extent cx="12700"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-420370</wp:posOffset>
            </wp:positionV>
            <wp:extent cx="21590"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-420370</wp:posOffset>
            </wp:positionV>
            <wp:extent cx="38735"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280"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Six Month Period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80" w:type="dxa"/>
            <w:vAlign w:val="bottom"/>
            <w:gridSpan w:val="2"/>
          </w:tcPr>
          <w:p>
            <w:pPr>
              <w:ind w:left="20"/>
              <w:spacing w:after="0"/>
              <w:rPr>
                <w:sz w:val="20"/>
                <w:szCs w:val="20"/>
                <w:color w:val="auto"/>
              </w:rPr>
            </w:pPr>
            <w:r>
              <w:rPr>
                <w:rFonts w:ascii="Arial" w:cs="Arial" w:eastAsia="Arial" w:hAnsi="Arial"/>
                <w:sz w:val="14"/>
                <w:szCs w:val="14"/>
                <w:b w:val="1"/>
                <w:bCs w:val="1"/>
                <w:color w:val="auto"/>
                <w:w w:val="85"/>
              </w:rPr>
              <w:t>Newspaper</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ind w:left="20"/>
              <w:spacing w:after="0"/>
              <w:rPr>
                <w:sz w:val="20"/>
                <w:szCs w:val="20"/>
                <w:color w:val="auto"/>
              </w:rPr>
            </w:pPr>
            <w:r>
              <w:rPr>
                <w:rFonts w:ascii="Arial" w:cs="Arial" w:eastAsia="Arial" w:hAnsi="Arial"/>
                <w:sz w:val="14"/>
                <w:szCs w:val="14"/>
                <w:b w:val="1"/>
                <w:bCs w:val="1"/>
                <w:color w:val="auto"/>
              </w:rPr>
              <w:t>Television</w:t>
            </w:r>
          </w:p>
        </w:tc>
        <w:tc>
          <w:tcPr>
            <w:tcW w:w="100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8"/>
              </w:rPr>
              <w:t>Magazine</w:t>
            </w:r>
          </w:p>
        </w:tc>
        <w:tc>
          <w:tcPr>
            <w:tcW w:w="140" w:type="dxa"/>
            <w:vAlign w:val="bottom"/>
          </w:tcPr>
          <w:p>
            <w:pPr>
              <w:spacing w:after="0"/>
              <w:rPr>
                <w:sz w:val="14"/>
                <w:szCs w:val="14"/>
                <w:color w:val="auto"/>
              </w:rPr>
            </w:pPr>
          </w:p>
        </w:tc>
        <w:tc>
          <w:tcPr>
            <w:tcW w:w="98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9"/>
              </w:rPr>
              <w:t>Cable</w:t>
            </w: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8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89"/>
              </w:rPr>
              <w:t>Corporate</w:t>
            </w: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80" w:type="dxa"/>
            <w:vAlign w:val="bottom"/>
            <w:gridSpan w:val="2"/>
          </w:tcPr>
          <w:p>
            <w:pPr>
              <w:ind w:left="40"/>
              <w:spacing w:after="0"/>
              <w:rPr>
                <w:sz w:val="20"/>
                <w:szCs w:val="20"/>
                <w:color w:val="auto"/>
              </w:rPr>
            </w:pPr>
            <w:r>
              <w:rPr>
                <w:rFonts w:ascii="Arial" w:cs="Arial" w:eastAsia="Arial" w:hAnsi="Arial"/>
                <w:sz w:val="14"/>
                <w:szCs w:val="14"/>
                <w:b w:val="1"/>
                <w:bCs w:val="1"/>
                <w:color w:val="auto"/>
                <w:w w:val="86"/>
              </w:rPr>
              <w:t>Publishing</w:t>
            </w:r>
          </w:p>
        </w:tc>
        <w:tc>
          <w:tcPr>
            <w:tcW w:w="1380" w:type="dxa"/>
            <w:vAlign w:val="bottom"/>
            <w:gridSpan w:val="4"/>
          </w:tcPr>
          <w:p>
            <w:pPr>
              <w:ind w:left="320"/>
              <w:spacing w:after="0"/>
              <w:rPr>
                <w:sz w:val="20"/>
                <w:szCs w:val="20"/>
                <w:color w:val="auto"/>
              </w:rPr>
            </w:pPr>
            <w:r>
              <w:rPr>
                <w:rFonts w:ascii="Arial" w:cs="Arial" w:eastAsia="Arial" w:hAnsi="Arial"/>
                <w:sz w:val="14"/>
                <w:szCs w:val="14"/>
                <w:b w:val="1"/>
                <w:bCs w:val="1"/>
                <w:color w:val="auto"/>
              </w:rPr>
              <w:t>Broadcasting</w:t>
            </w:r>
          </w:p>
        </w:tc>
        <w:tc>
          <w:tcPr>
            <w:tcW w:w="100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86"/>
              </w:rPr>
              <w:t>Publishing</w:t>
            </w:r>
          </w:p>
        </w:tc>
        <w:tc>
          <w:tcPr>
            <w:tcW w:w="112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84"/>
              </w:rPr>
              <w:t>Television</w:t>
            </w:r>
          </w:p>
        </w:tc>
        <w:tc>
          <w:tcPr>
            <w:tcW w:w="110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w w:val="91"/>
              </w:rPr>
              <w:t>Education</w:t>
            </w:r>
          </w:p>
        </w:tc>
        <w:tc>
          <w:tcPr>
            <w:tcW w:w="120" w:type="dxa"/>
            <w:vAlign w:val="bottom"/>
          </w:tcPr>
          <w:p>
            <w:pPr>
              <w:spacing w:after="0"/>
              <w:rPr>
                <w:sz w:val="15"/>
                <w:szCs w:val="15"/>
                <w:color w:val="auto"/>
              </w:rPr>
            </w:pPr>
          </w:p>
        </w:tc>
        <w:tc>
          <w:tcPr>
            <w:tcW w:w="96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5"/>
              </w:rPr>
              <w:t>Office</w:t>
            </w:r>
          </w:p>
        </w:tc>
        <w:tc>
          <w:tcPr>
            <w:tcW w:w="92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85"/>
              </w:rPr>
              <w:t>Consolidated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7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40" w:type="dxa"/>
            <w:vAlign w:val="bottom"/>
          </w:tcPr>
          <w:p>
            <w:pPr>
              <w:spacing w:after="0"/>
              <w:rPr>
                <w:sz w:val="8"/>
                <w:szCs w:val="8"/>
                <w:color w:val="auto"/>
              </w:rPr>
            </w:pPr>
          </w:p>
        </w:tc>
        <w:tc>
          <w:tcPr>
            <w:tcW w:w="27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34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79"/>
              </w:rPr>
              <w:t>2003</w:t>
            </w:r>
          </w:p>
        </w:tc>
        <w:tc>
          <w:tcPr>
            <w:tcW w:w="278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gridSpan w:val="2"/>
          </w:tcPr>
          <w:p>
            <w:pPr>
              <w:spacing w:after="0"/>
              <w:rPr>
                <w:sz w:val="20"/>
                <w:szCs w:val="20"/>
                <w:color w:val="auto"/>
              </w:rPr>
            </w:pPr>
            <w:r>
              <w:rPr>
                <w:rFonts w:ascii="Arial" w:cs="Arial" w:eastAsia="Arial" w:hAnsi="Arial"/>
                <w:sz w:val="18"/>
                <w:szCs w:val="18"/>
                <w:color w:val="auto"/>
              </w:rPr>
              <w:t>Operating revenues</w:t>
            </w:r>
          </w:p>
        </w:tc>
        <w:tc>
          <w:tcPr>
            <w:tcW w:w="1680" w:type="dxa"/>
            <w:vAlign w:val="bottom"/>
            <w:gridSpan w:val="3"/>
          </w:tcPr>
          <w:p>
            <w:pPr>
              <w:jc w:val="right"/>
              <w:spacing w:after="0"/>
              <w:rPr>
                <w:sz w:val="20"/>
                <w:szCs w:val="20"/>
                <w:color w:val="auto"/>
              </w:rPr>
            </w:pPr>
            <w:r>
              <w:rPr>
                <w:rFonts w:ascii="Arial" w:cs="Arial" w:eastAsia="Arial" w:hAnsi="Arial"/>
                <w:sz w:val="18"/>
                <w:szCs w:val="18"/>
                <w:color w:val="auto"/>
              </w:rPr>
              <w:t>$ 427,182</w:t>
            </w:r>
          </w:p>
        </w:tc>
        <w:tc>
          <w:tcPr>
            <w:tcW w:w="400" w:type="dxa"/>
            <w:vAlign w:val="bottom"/>
            <w:gridSpan w:val="2"/>
          </w:tcPr>
          <w:p>
            <w:pPr>
              <w:ind w:left="320"/>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152,577</w:t>
            </w:r>
          </w:p>
        </w:tc>
        <w:tc>
          <w:tcPr>
            <w:tcW w:w="1000" w:type="dxa"/>
            <w:vAlign w:val="bottom"/>
            <w:gridSpan w:val="3"/>
          </w:tcPr>
          <w:p>
            <w:pPr>
              <w:spacing w:after="0"/>
              <w:rPr>
                <w:sz w:val="20"/>
                <w:szCs w:val="20"/>
                <w:color w:val="auto"/>
              </w:rPr>
            </w:pPr>
            <w:r>
              <w:rPr>
                <w:rFonts w:ascii="Arial" w:cs="Arial" w:eastAsia="Arial" w:hAnsi="Arial"/>
                <w:sz w:val="18"/>
                <w:szCs w:val="18"/>
                <w:color w:val="auto"/>
              </w:rPr>
              <w:t>$ 169,363</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84"/>
              </w:rPr>
              <w:t>$ 224,920</w:t>
            </w:r>
          </w:p>
        </w:tc>
        <w:tc>
          <w:tcPr>
            <w:tcW w:w="420" w:type="dxa"/>
            <w:vAlign w:val="bottom"/>
          </w:tcPr>
          <w:p>
            <w:pPr>
              <w:spacing w:after="0"/>
              <w:rPr>
                <w:sz w:val="18"/>
                <w:szCs w:val="18"/>
                <w:color w:val="auto"/>
              </w:rPr>
            </w:pPr>
          </w:p>
        </w:tc>
        <w:tc>
          <w:tcPr>
            <w:tcW w:w="1100" w:type="dxa"/>
            <w:vAlign w:val="bottom"/>
            <w:gridSpan w:val="3"/>
          </w:tcPr>
          <w:p>
            <w:pPr>
              <w:jc w:val="right"/>
              <w:ind w:right="420"/>
              <w:spacing w:after="0"/>
              <w:rPr>
                <w:sz w:val="20"/>
                <w:szCs w:val="20"/>
                <w:color w:val="auto"/>
              </w:rPr>
            </w:pPr>
            <w:r>
              <w:rPr>
                <w:rFonts w:ascii="Arial" w:cs="Arial" w:eastAsia="Arial" w:hAnsi="Arial"/>
                <w:sz w:val="18"/>
                <w:szCs w:val="18"/>
                <w:color w:val="auto"/>
                <w:w w:val="82"/>
              </w:rPr>
              <w:t>$ 373,338</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w w:val="84"/>
              </w:rPr>
              <w:t>$ 1,347,380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114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58,388</w:t>
            </w:r>
          </w:p>
        </w:tc>
        <w:tc>
          <w:tcPr>
            <w:tcW w:w="400" w:type="dxa"/>
            <w:vAlign w:val="bottom"/>
            <w:gridSpan w:val="2"/>
            <w:shd w:val="clear" w:color="auto" w:fill="CCEEFF"/>
          </w:tcPr>
          <w:p>
            <w:pPr>
              <w:ind w:left="320"/>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65,333</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4"/>
              </w:rPr>
              <w:t>13,241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42,010</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4"/>
              </w:rPr>
              <w:t>19,454</w:t>
            </w:r>
          </w:p>
        </w:tc>
        <w:tc>
          <w:tcPr>
            <w:tcW w:w="10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 (12,436)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185,990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gridSpan w:val="2"/>
          </w:tcPr>
          <w:p>
            <w:pPr>
              <w:spacing w:after="0"/>
              <w:rPr>
                <w:sz w:val="20"/>
                <w:szCs w:val="20"/>
                <w:color w:val="auto"/>
              </w:rPr>
            </w:pPr>
            <w:r>
              <w:rPr>
                <w:rFonts w:ascii="Arial" w:cs="Arial" w:eastAsia="Arial" w:hAnsi="Arial"/>
                <w:sz w:val="18"/>
                <w:szCs w:val="18"/>
                <w:color w:val="auto"/>
              </w:rPr>
              <w:t>Equity in losses of affiliates</w:t>
            </w: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(8,166)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(13,323)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120" w:type="dxa"/>
            <w:vAlign w:val="bottom"/>
            <w:gridSpan w:val="2"/>
          </w:tcPr>
          <w:p>
            <w:pPr>
              <w:spacing w:after="0"/>
              <w:rPr>
                <w:sz w:val="20"/>
                <w:szCs w:val="20"/>
                <w:color w:val="auto"/>
              </w:rPr>
            </w:pPr>
            <w:r>
              <w:rPr>
                <w:rFonts w:ascii="Arial" w:cs="Arial" w:eastAsia="Arial" w:hAnsi="Arial"/>
                <w:sz w:val="18"/>
                <w:szCs w:val="18"/>
                <w:color w:val="auto"/>
              </w:rPr>
              <w:t>Other, net</w:t>
            </w: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50,409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7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40" w:type="dxa"/>
            <w:vAlign w:val="bottom"/>
          </w:tcPr>
          <w:p>
            <w:pPr>
              <w:spacing w:after="0"/>
              <w:rPr>
                <w:sz w:val="8"/>
                <w:szCs w:val="8"/>
                <w:color w:val="auto"/>
              </w:rPr>
            </w:pPr>
          </w:p>
        </w:tc>
        <w:tc>
          <w:tcPr>
            <w:tcW w:w="27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214,910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7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340" w:type="dxa"/>
            <w:vAlign w:val="bottom"/>
          </w:tcPr>
          <w:p>
            <w:pPr>
              <w:spacing w:after="0"/>
              <w:rPr>
                <w:sz w:val="9"/>
                <w:szCs w:val="9"/>
                <w:color w:val="auto"/>
              </w:rPr>
            </w:pPr>
          </w:p>
        </w:tc>
        <w:tc>
          <w:tcPr>
            <w:tcW w:w="27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expense</w:t>
            </w:r>
          </w:p>
        </w:tc>
        <w:tc>
          <w:tcPr>
            <w:tcW w:w="114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21,748</w:t>
            </w:r>
          </w:p>
        </w:tc>
        <w:tc>
          <w:tcPr>
            <w:tcW w:w="400" w:type="dxa"/>
            <w:vAlign w:val="bottom"/>
            <w:gridSpan w:val="2"/>
            <w:shd w:val="clear" w:color="auto" w:fill="CCEEFF"/>
          </w:tcPr>
          <w:p>
            <w:pPr>
              <w:ind w:left="320"/>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5,520</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1,881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45,677</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4"/>
              </w:rPr>
              <w:t>11,781</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86,607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gridSpan w:val="2"/>
          </w:tcPr>
          <w:p>
            <w:pPr>
              <w:spacing w:after="0"/>
              <w:rPr>
                <w:sz w:val="20"/>
                <w:szCs w:val="20"/>
                <w:color w:val="auto"/>
              </w:rPr>
            </w:pPr>
            <w:r>
              <w:rPr>
                <w:rFonts w:ascii="Arial" w:cs="Arial" w:eastAsia="Arial" w:hAnsi="Arial"/>
                <w:sz w:val="18"/>
                <w:szCs w:val="18"/>
                <w:color w:val="auto"/>
              </w:rPr>
              <w:t>Amortization expense</w:t>
            </w:r>
          </w:p>
        </w:tc>
        <w:tc>
          <w:tcPr>
            <w:tcW w:w="114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8</w:t>
            </w:r>
          </w:p>
        </w:tc>
        <w:tc>
          <w:tcPr>
            <w:tcW w:w="400" w:type="dxa"/>
            <w:vAlign w:val="bottom"/>
            <w:gridSpan w:val="2"/>
          </w:tcPr>
          <w:p>
            <w:pPr>
              <w:ind w:left="320"/>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75</w:t>
            </w:r>
          </w:p>
        </w:tc>
        <w:tc>
          <w:tcPr>
            <w:tcW w:w="4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rPr>
              <w:t>429</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pension credit (expense)</w:t>
            </w:r>
          </w:p>
        </w:tc>
        <w:tc>
          <w:tcPr>
            <w:tcW w:w="114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5,749</w:t>
            </w:r>
          </w:p>
        </w:tc>
        <w:tc>
          <w:tcPr>
            <w:tcW w:w="400" w:type="dxa"/>
            <w:vAlign w:val="bottom"/>
            <w:gridSpan w:val="2"/>
            <w:shd w:val="clear" w:color="auto" w:fill="CCEEFF"/>
          </w:tcPr>
          <w:p>
            <w:pPr>
              <w:ind w:left="320"/>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2,130</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4"/>
              </w:rPr>
              <w:t>17,995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(485)</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(704)</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80" w:type="dxa"/>
            <w:vAlign w:val="bottom"/>
            <w:gridSpan w:val="2"/>
          </w:tcPr>
          <w:p>
            <w:pPr>
              <w:ind w:left="20"/>
              <w:spacing w:after="0"/>
              <w:rPr>
                <w:sz w:val="20"/>
                <w:szCs w:val="20"/>
                <w:color w:val="auto"/>
              </w:rPr>
            </w:pPr>
            <w:r>
              <w:rPr>
                <w:rFonts w:ascii="Arial" w:cs="Arial" w:eastAsia="Arial" w:hAnsi="Arial"/>
                <w:sz w:val="14"/>
                <w:szCs w:val="14"/>
                <w:b w:val="1"/>
                <w:bCs w:val="1"/>
                <w:color w:val="auto"/>
                <w:w w:val="85"/>
              </w:rPr>
              <w:t>Newspaper</w:t>
            </w: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gridSpan w:val="2"/>
          </w:tcPr>
          <w:p>
            <w:pPr>
              <w:ind w:left="20"/>
              <w:spacing w:after="0"/>
              <w:rPr>
                <w:sz w:val="20"/>
                <w:szCs w:val="20"/>
                <w:color w:val="auto"/>
              </w:rPr>
            </w:pPr>
            <w:r>
              <w:rPr>
                <w:rFonts w:ascii="Arial" w:cs="Arial" w:eastAsia="Arial" w:hAnsi="Arial"/>
                <w:sz w:val="14"/>
                <w:szCs w:val="14"/>
                <w:b w:val="1"/>
                <w:bCs w:val="1"/>
                <w:color w:val="auto"/>
              </w:rPr>
              <w:t>Television</w:t>
            </w:r>
          </w:p>
        </w:tc>
        <w:tc>
          <w:tcPr>
            <w:tcW w:w="100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8"/>
              </w:rPr>
              <w:t>Magazine</w:t>
            </w:r>
          </w:p>
        </w:tc>
        <w:tc>
          <w:tcPr>
            <w:tcW w:w="140" w:type="dxa"/>
            <w:vAlign w:val="bottom"/>
          </w:tcPr>
          <w:p>
            <w:pPr>
              <w:spacing w:after="0"/>
              <w:rPr>
                <w:sz w:val="24"/>
                <w:szCs w:val="24"/>
                <w:color w:val="auto"/>
              </w:rPr>
            </w:pPr>
          </w:p>
        </w:tc>
        <w:tc>
          <w:tcPr>
            <w:tcW w:w="98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9"/>
              </w:rPr>
              <w:t>Cable</w:t>
            </w: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8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89"/>
              </w:rPr>
              <w:t>Corporate</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80" w:type="dxa"/>
            <w:vAlign w:val="bottom"/>
            <w:gridSpan w:val="2"/>
          </w:tcPr>
          <w:p>
            <w:pPr>
              <w:ind w:left="40"/>
              <w:spacing w:after="0"/>
              <w:rPr>
                <w:sz w:val="20"/>
                <w:szCs w:val="20"/>
                <w:color w:val="auto"/>
              </w:rPr>
            </w:pPr>
            <w:r>
              <w:rPr>
                <w:rFonts w:ascii="Arial" w:cs="Arial" w:eastAsia="Arial" w:hAnsi="Arial"/>
                <w:sz w:val="14"/>
                <w:szCs w:val="14"/>
                <w:b w:val="1"/>
                <w:bCs w:val="1"/>
                <w:color w:val="auto"/>
                <w:w w:val="86"/>
              </w:rPr>
              <w:t>Publishing</w:t>
            </w:r>
          </w:p>
        </w:tc>
        <w:tc>
          <w:tcPr>
            <w:tcW w:w="1380" w:type="dxa"/>
            <w:vAlign w:val="bottom"/>
            <w:gridSpan w:val="4"/>
          </w:tcPr>
          <w:p>
            <w:pPr>
              <w:ind w:left="320"/>
              <w:spacing w:after="0"/>
              <w:rPr>
                <w:sz w:val="20"/>
                <w:szCs w:val="20"/>
                <w:color w:val="auto"/>
              </w:rPr>
            </w:pPr>
            <w:r>
              <w:rPr>
                <w:rFonts w:ascii="Arial" w:cs="Arial" w:eastAsia="Arial" w:hAnsi="Arial"/>
                <w:sz w:val="14"/>
                <w:szCs w:val="14"/>
                <w:b w:val="1"/>
                <w:bCs w:val="1"/>
                <w:color w:val="auto"/>
              </w:rPr>
              <w:t>Broadcasting</w:t>
            </w:r>
          </w:p>
        </w:tc>
        <w:tc>
          <w:tcPr>
            <w:tcW w:w="100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86"/>
              </w:rPr>
              <w:t>Publishing</w:t>
            </w:r>
          </w:p>
        </w:tc>
        <w:tc>
          <w:tcPr>
            <w:tcW w:w="112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84"/>
              </w:rPr>
              <w:t>Television</w:t>
            </w:r>
          </w:p>
        </w:tc>
        <w:tc>
          <w:tcPr>
            <w:tcW w:w="110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w w:val="91"/>
              </w:rPr>
              <w:t>Education</w:t>
            </w:r>
          </w:p>
        </w:tc>
        <w:tc>
          <w:tcPr>
            <w:tcW w:w="120" w:type="dxa"/>
            <w:vAlign w:val="bottom"/>
          </w:tcPr>
          <w:p>
            <w:pPr>
              <w:spacing w:after="0"/>
              <w:rPr>
                <w:sz w:val="15"/>
                <w:szCs w:val="15"/>
                <w:color w:val="auto"/>
              </w:rPr>
            </w:pPr>
          </w:p>
        </w:tc>
        <w:tc>
          <w:tcPr>
            <w:tcW w:w="96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5"/>
              </w:rPr>
              <w:t>Office</w:t>
            </w:r>
          </w:p>
        </w:tc>
        <w:tc>
          <w:tcPr>
            <w:tcW w:w="92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85"/>
              </w:rPr>
              <w:t>Consolidated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7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40" w:type="dxa"/>
            <w:vAlign w:val="bottom"/>
          </w:tcPr>
          <w:p>
            <w:pPr>
              <w:spacing w:after="0"/>
              <w:rPr>
                <w:sz w:val="8"/>
                <w:szCs w:val="8"/>
                <w:color w:val="auto"/>
              </w:rPr>
            </w:pPr>
          </w:p>
        </w:tc>
        <w:tc>
          <w:tcPr>
            <w:tcW w:w="27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34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79"/>
              </w:rPr>
              <w:t>2002</w:t>
            </w:r>
          </w:p>
        </w:tc>
        <w:tc>
          <w:tcPr>
            <w:tcW w:w="278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gridSpan w:val="2"/>
          </w:tcPr>
          <w:p>
            <w:pPr>
              <w:spacing w:after="0"/>
              <w:rPr>
                <w:sz w:val="20"/>
                <w:szCs w:val="20"/>
                <w:color w:val="auto"/>
              </w:rPr>
            </w:pPr>
            <w:r>
              <w:rPr>
                <w:rFonts w:ascii="Arial" w:cs="Arial" w:eastAsia="Arial" w:hAnsi="Arial"/>
                <w:sz w:val="18"/>
                <w:szCs w:val="18"/>
                <w:color w:val="auto"/>
              </w:rPr>
              <w:t>Operating revenues</w:t>
            </w:r>
          </w:p>
        </w:tc>
        <w:tc>
          <w:tcPr>
            <w:tcW w:w="1680" w:type="dxa"/>
            <w:vAlign w:val="bottom"/>
            <w:gridSpan w:val="3"/>
          </w:tcPr>
          <w:p>
            <w:pPr>
              <w:jc w:val="right"/>
              <w:spacing w:after="0"/>
              <w:rPr>
                <w:sz w:val="20"/>
                <w:szCs w:val="20"/>
                <w:color w:val="auto"/>
              </w:rPr>
            </w:pPr>
            <w:r>
              <w:rPr>
                <w:rFonts w:ascii="Arial" w:cs="Arial" w:eastAsia="Arial" w:hAnsi="Arial"/>
                <w:sz w:val="18"/>
                <w:szCs w:val="18"/>
                <w:color w:val="auto"/>
              </w:rPr>
              <w:t>$ 415,839</w:t>
            </w:r>
          </w:p>
        </w:tc>
        <w:tc>
          <w:tcPr>
            <w:tcW w:w="400" w:type="dxa"/>
            <w:vAlign w:val="bottom"/>
            <w:gridSpan w:val="2"/>
          </w:tcPr>
          <w:p>
            <w:pPr>
              <w:ind w:left="320"/>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161,510</w:t>
            </w:r>
          </w:p>
        </w:tc>
        <w:tc>
          <w:tcPr>
            <w:tcW w:w="1000" w:type="dxa"/>
            <w:vAlign w:val="bottom"/>
            <w:gridSpan w:val="3"/>
          </w:tcPr>
          <w:p>
            <w:pPr>
              <w:spacing w:after="0"/>
              <w:rPr>
                <w:sz w:val="20"/>
                <w:szCs w:val="20"/>
                <w:color w:val="auto"/>
              </w:rPr>
            </w:pPr>
            <w:r>
              <w:rPr>
                <w:rFonts w:ascii="Arial" w:cs="Arial" w:eastAsia="Arial" w:hAnsi="Arial"/>
                <w:sz w:val="18"/>
                <w:szCs w:val="18"/>
                <w:color w:val="auto"/>
              </w:rPr>
              <w:t>$ 163,904</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84"/>
              </w:rPr>
              <w:t>$ 209,996</w:t>
            </w:r>
          </w:p>
        </w:tc>
        <w:tc>
          <w:tcPr>
            <w:tcW w:w="420" w:type="dxa"/>
            <w:vAlign w:val="bottom"/>
          </w:tcPr>
          <w:p>
            <w:pPr>
              <w:spacing w:after="0"/>
              <w:rPr>
                <w:sz w:val="18"/>
                <w:szCs w:val="18"/>
                <w:color w:val="auto"/>
              </w:rPr>
            </w:pPr>
          </w:p>
        </w:tc>
        <w:tc>
          <w:tcPr>
            <w:tcW w:w="1100" w:type="dxa"/>
            <w:vAlign w:val="bottom"/>
            <w:gridSpan w:val="3"/>
          </w:tcPr>
          <w:p>
            <w:pPr>
              <w:jc w:val="right"/>
              <w:ind w:right="420"/>
              <w:spacing w:after="0"/>
              <w:rPr>
                <w:sz w:val="20"/>
                <w:szCs w:val="20"/>
                <w:color w:val="auto"/>
              </w:rPr>
            </w:pPr>
            <w:r>
              <w:rPr>
                <w:rFonts w:ascii="Arial" w:cs="Arial" w:eastAsia="Arial" w:hAnsi="Arial"/>
                <w:sz w:val="18"/>
                <w:szCs w:val="18"/>
                <w:color w:val="auto"/>
                <w:w w:val="82"/>
              </w:rPr>
              <w:t>$ 296,776</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w w:val="84"/>
              </w:rPr>
              <w:t>$ 1,248,025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114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55,354</w:t>
            </w:r>
          </w:p>
        </w:tc>
        <w:tc>
          <w:tcPr>
            <w:tcW w:w="400" w:type="dxa"/>
            <w:vAlign w:val="bottom"/>
            <w:gridSpan w:val="2"/>
            <w:shd w:val="clear" w:color="auto" w:fill="CCEEFF"/>
          </w:tcPr>
          <w:p>
            <w:pPr>
              <w:ind w:left="320"/>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77,010</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1,694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37,808</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74</w:t>
            </w:r>
          </w:p>
        </w:tc>
        <w:tc>
          <w:tcPr>
            <w:tcW w:w="10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 (12,620)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159,320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gridSpan w:val="2"/>
          </w:tcPr>
          <w:p>
            <w:pPr>
              <w:spacing w:after="0"/>
              <w:rPr>
                <w:sz w:val="20"/>
                <w:szCs w:val="20"/>
                <w:color w:val="auto"/>
              </w:rPr>
            </w:pPr>
            <w:r>
              <w:rPr>
                <w:rFonts w:ascii="Arial" w:cs="Arial" w:eastAsia="Arial" w:hAnsi="Arial"/>
                <w:sz w:val="18"/>
                <w:szCs w:val="18"/>
                <w:color w:val="auto"/>
              </w:rPr>
              <w:t>Equity in losses of affiliates</w:t>
            </w: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(15,689)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(17,472)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120" w:type="dxa"/>
            <w:vAlign w:val="bottom"/>
            <w:gridSpan w:val="2"/>
          </w:tcPr>
          <w:p>
            <w:pPr>
              <w:spacing w:after="0"/>
              <w:rPr>
                <w:sz w:val="20"/>
                <w:szCs w:val="20"/>
                <w:color w:val="auto"/>
              </w:rPr>
            </w:pPr>
            <w:r>
              <w:rPr>
                <w:rFonts w:ascii="Arial" w:cs="Arial" w:eastAsia="Arial" w:hAnsi="Arial"/>
                <w:sz w:val="18"/>
                <w:szCs w:val="18"/>
                <w:color w:val="auto"/>
              </w:rPr>
              <w:t>Other, net</w:t>
            </w: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7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40" w:type="dxa"/>
            <w:vAlign w:val="bottom"/>
          </w:tcPr>
          <w:p>
            <w:pPr>
              <w:spacing w:after="0"/>
              <w:rPr>
                <w:sz w:val="8"/>
                <w:szCs w:val="8"/>
                <w:color w:val="auto"/>
              </w:rPr>
            </w:pPr>
          </w:p>
        </w:tc>
        <w:tc>
          <w:tcPr>
            <w:tcW w:w="27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126,650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780" w:type="dxa"/>
            <w:vAlign w:val="bottom"/>
          </w:tcPr>
          <w:p>
            <w:pPr>
              <w:spacing w:after="0"/>
              <w:rPr>
                <w:sz w:val="11"/>
                <w:szCs w:val="11"/>
                <w:color w:val="auto"/>
              </w:rPr>
            </w:pPr>
          </w:p>
        </w:tc>
        <w:tc>
          <w:tcPr>
            <w:tcW w:w="1140" w:type="dxa"/>
            <w:vAlign w:val="bottom"/>
            <w:gridSpan w:val="2"/>
          </w:tcPr>
          <w:p>
            <w:pPr>
              <w:spacing w:after="0"/>
              <w:rPr>
                <w:sz w:val="11"/>
                <w:szCs w:val="11"/>
                <w:color w:val="auto"/>
              </w:rPr>
            </w:pPr>
          </w:p>
        </w:tc>
        <w:tc>
          <w:tcPr>
            <w:tcW w:w="540" w:type="dxa"/>
            <w:vAlign w:val="bottom"/>
          </w:tcPr>
          <w:p>
            <w:pPr>
              <w:spacing w:after="0"/>
              <w:rPr>
                <w:sz w:val="11"/>
                <w:szCs w:val="11"/>
                <w:color w:val="auto"/>
              </w:rPr>
            </w:pPr>
          </w:p>
        </w:tc>
        <w:tc>
          <w:tcPr>
            <w:tcW w:w="400" w:type="dxa"/>
            <w:vAlign w:val="bottom"/>
            <w:gridSpan w:val="2"/>
          </w:tcPr>
          <w:p>
            <w:pPr>
              <w:spacing w:after="0"/>
              <w:rPr>
                <w:sz w:val="11"/>
                <w:szCs w:val="11"/>
                <w:color w:val="auto"/>
              </w:rPr>
            </w:pPr>
          </w:p>
        </w:tc>
        <w:tc>
          <w:tcPr>
            <w:tcW w:w="980" w:type="dxa"/>
            <w:vAlign w:val="bottom"/>
            <w:gridSpan w:val="2"/>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gridSpan w:val="2"/>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gridSpan w:val="2"/>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40" w:type="dxa"/>
            <w:vAlign w:val="bottom"/>
          </w:tcPr>
          <w:p>
            <w:pPr>
              <w:spacing w:after="0"/>
              <w:rPr>
                <w:sz w:val="9"/>
                <w:szCs w:val="9"/>
                <w:color w:val="auto"/>
              </w:rPr>
            </w:pPr>
          </w:p>
        </w:tc>
        <w:tc>
          <w:tcPr>
            <w:tcW w:w="27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expense</w:t>
            </w:r>
          </w:p>
        </w:tc>
        <w:tc>
          <w:tcPr>
            <w:tcW w:w="114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21,623</w:t>
            </w:r>
          </w:p>
        </w:tc>
        <w:tc>
          <w:tcPr>
            <w:tcW w:w="400" w:type="dxa"/>
            <w:vAlign w:val="bottom"/>
            <w:gridSpan w:val="2"/>
            <w:shd w:val="clear" w:color="auto" w:fill="CCEEFF"/>
          </w:tcPr>
          <w:p>
            <w:pPr>
              <w:ind w:left="320"/>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5,549</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2,072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41,217</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4"/>
              </w:rPr>
              <w:t>11,998</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82,459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gridSpan w:val="2"/>
          </w:tcPr>
          <w:p>
            <w:pPr>
              <w:spacing w:after="0"/>
              <w:rPr>
                <w:sz w:val="20"/>
                <w:szCs w:val="20"/>
                <w:color w:val="auto"/>
              </w:rPr>
            </w:pPr>
            <w:r>
              <w:rPr>
                <w:rFonts w:ascii="Arial" w:cs="Arial" w:eastAsia="Arial" w:hAnsi="Arial"/>
                <w:sz w:val="18"/>
                <w:szCs w:val="18"/>
                <w:color w:val="auto"/>
              </w:rPr>
              <w:t>Amortization expense</w:t>
            </w:r>
          </w:p>
        </w:tc>
        <w:tc>
          <w:tcPr>
            <w:tcW w:w="114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8</w:t>
            </w:r>
          </w:p>
        </w:tc>
        <w:tc>
          <w:tcPr>
            <w:tcW w:w="400" w:type="dxa"/>
            <w:vAlign w:val="bottom"/>
            <w:gridSpan w:val="2"/>
          </w:tcPr>
          <w:p>
            <w:pPr>
              <w:ind w:left="320"/>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78</w:t>
            </w:r>
          </w:p>
        </w:tc>
        <w:tc>
          <w:tcPr>
            <w:tcW w:w="4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rPr>
              <w:t>225</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pension credit (expense)</w:t>
            </w:r>
          </w:p>
        </w:tc>
        <w:tc>
          <w:tcPr>
            <w:tcW w:w="114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10,983</w:t>
            </w:r>
          </w:p>
        </w:tc>
        <w:tc>
          <w:tcPr>
            <w:tcW w:w="400" w:type="dxa"/>
            <w:vAlign w:val="bottom"/>
            <w:gridSpan w:val="2"/>
            <w:shd w:val="clear" w:color="auto" w:fill="CCEEFF"/>
          </w:tcPr>
          <w:p>
            <w:pPr>
              <w:ind w:left="320"/>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2,440</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6,803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(451)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(597)</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511"/>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ind w:left="400"/>
              <w:spacing w:after="0"/>
              <w:rPr>
                <w:sz w:val="20"/>
                <w:szCs w:val="20"/>
                <w:color w:val="auto"/>
              </w:rPr>
            </w:pPr>
            <w:r>
              <w:rPr>
                <w:rFonts w:ascii="Arial" w:cs="Arial" w:eastAsia="Arial" w:hAnsi="Arial"/>
                <w:sz w:val="18"/>
                <w:szCs w:val="18"/>
                <w:color w:val="auto"/>
              </w:rPr>
              <w:t>11</w:t>
            </w: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6666230</wp:posOffset>
            </wp:positionH>
            <wp:positionV relativeFrom="paragraph">
              <wp:posOffset>-2941955</wp:posOffset>
            </wp:positionV>
            <wp:extent cx="544195"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44195" cy="29845"/>
                    </a:xfrm>
                    <a:prstGeom prst="rect">
                      <a:avLst/>
                    </a:prstGeom>
                    <a:noFill/>
                  </pic:spPr>
                </pic:pic>
              </a:graphicData>
            </a:graphic>
          </wp:anchor>
        </w:drawing>
        <w:drawing>
          <wp:anchor simplePos="0" relativeHeight="251657728" behindDoc="1" locked="0" layoutInCell="0" allowOverlap="1">
            <wp:simplePos x="0" y="0"/>
            <wp:positionH relativeFrom="column">
              <wp:posOffset>6666230</wp:posOffset>
            </wp:positionH>
            <wp:positionV relativeFrom="paragraph">
              <wp:posOffset>-831850</wp:posOffset>
            </wp:positionV>
            <wp:extent cx="12700" cy="29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-831850</wp:posOffset>
            </wp:positionV>
            <wp:extent cx="21590" cy="298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-831850</wp:posOffset>
            </wp:positionV>
            <wp:extent cx="38735" cy="298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280" w:right="239" w:bottom="1440" w:gutter="0" w:footer="0" w:header="0"/>
        </w:sectPr>
      </w:pPr>
    </w:p>
    <w:bookmarkStart w:id="11" w:name="page12"/>
    <w:bookmarkEnd w:id="11"/>
    <w:p>
      <w:pPr>
        <w:ind w:right="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Newspaper publishing includes the publication of newspapers in the Washington, D.C. area (</w:t>
      </w:r>
      <w:r>
        <w:rPr>
          <w:rFonts w:ascii="Arial" w:cs="Arial" w:eastAsia="Arial" w:hAnsi="Arial"/>
          <w:sz w:val="18"/>
          <w:szCs w:val="18"/>
          <w:i w:val="1"/>
          <w:iCs w:val="1"/>
          <w:color w:val="auto"/>
        </w:rPr>
        <w:t>The Washington Post</w:t>
      </w:r>
      <w:r>
        <w:rPr>
          <w:rFonts w:ascii="Arial" w:cs="Arial" w:eastAsia="Arial" w:hAnsi="Arial"/>
          <w:sz w:val="18"/>
          <w:szCs w:val="18"/>
          <w:color w:val="auto"/>
        </w:rPr>
        <w:t xml:space="preserve">, the </w:t>
      </w:r>
      <w:r>
        <w:rPr>
          <w:rFonts w:ascii="Arial" w:cs="Arial" w:eastAsia="Arial" w:hAnsi="Arial"/>
          <w:sz w:val="18"/>
          <w:szCs w:val="18"/>
          <w:i w:val="1"/>
          <w:iCs w:val="1"/>
          <w:color w:val="auto"/>
        </w:rPr>
        <w:t>Gazette</w:t>
      </w:r>
      <w:r>
        <w:rPr>
          <w:rFonts w:ascii="Arial" w:cs="Arial" w:eastAsia="Arial" w:hAnsi="Arial"/>
          <w:sz w:val="18"/>
          <w:szCs w:val="18"/>
          <w:color w:val="auto"/>
        </w:rPr>
        <w:t xml:space="preserve"> community newspapers, and Southern Maryland newspapers) and Everett, Washington (</w:t>
      </w:r>
      <w:r>
        <w:rPr>
          <w:rFonts w:ascii="Arial" w:cs="Arial" w:eastAsia="Arial" w:hAnsi="Arial"/>
          <w:sz w:val="18"/>
          <w:szCs w:val="18"/>
          <w:i w:val="1"/>
          <w:iCs w:val="1"/>
          <w:color w:val="auto"/>
        </w:rPr>
        <w:t>The Everett Herald)</w:t>
      </w:r>
      <w:r>
        <w:rPr>
          <w:rFonts w:ascii="Arial" w:cs="Arial" w:eastAsia="Arial" w:hAnsi="Arial"/>
          <w:sz w:val="18"/>
          <w:szCs w:val="18"/>
          <w:color w:val="auto"/>
        </w:rPr>
        <w:t>. This business division also includes newsprint warehousing, recycling operations and the Company’s electronic media publishing business (primarily washingtonpost.com).</w:t>
      </w:r>
    </w:p>
    <w:p>
      <w:pPr>
        <w:spacing w:after="0" w:line="127" w:lineRule="exact"/>
        <w:rPr>
          <w:sz w:val="20"/>
          <w:szCs w:val="20"/>
          <w:color w:val="auto"/>
        </w:rPr>
      </w:pPr>
    </w:p>
    <w:p>
      <w:pPr>
        <w:ind w:right="840"/>
        <w:spacing w:after="0" w:line="268" w:lineRule="auto"/>
        <w:rPr>
          <w:sz w:val="20"/>
          <w:szCs w:val="20"/>
          <w:color w:val="auto"/>
        </w:rPr>
      </w:pPr>
      <w:r>
        <w:rPr>
          <w:rFonts w:ascii="Arial" w:cs="Arial" w:eastAsia="Arial" w:hAnsi="Arial"/>
          <w:sz w:val="18"/>
          <w:szCs w:val="18"/>
          <w:color w:val="auto"/>
        </w:rPr>
        <w:t>Television broadcasting operations are conducted through six VHF, television stations serving the Detroit, Houston, Miami, San Antonio, Orlando and Jacksonville television markets. All stations are network-affiliated (except for WJXT in Jacksonville).</w:t>
      </w:r>
    </w:p>
    <w:p>
      <w:pPr>
        <w:spacing w:after="0" w:line="11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magazine publishing division consists of the publication of a weekly news magazine, Newsweek, which has one domestic and three international editions, the publication of Arthur Frommer’s Budget Travel, and the publication of business periodicals for the computer services industry and the Washington-area technology community.</w:t>
      </w:r>
    </w:p>
    <w:p>
      <w:pPr>
        <w:spacing w:after="0" w:line="127"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Cable television operations consist of cable systems offering basic cable, digital cable, pay television, cable modem and other services to approximately 715,000 subscribers in midwestern, western, and southern states.</w:t>
      </w:r>
    </w:p>
    <w:p>
      <w:pPr>
        <w:spacing w:after="0" w:line="118"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Education products and services are provided through the Company’s wholly-owned subsidiary Kaplan, Inc. Kaplan’s businesses include supplemental education services, which is made up of test preparation and admissions, providing test preparation services for college and graduate school entrance exams; Kaplan Professional, providing education and career services to business people and other professionals; and Score!, offering multi-media learning and private tutoring to children and educational resources to parents. Kaplan’s businesses also include higher education services, which includes all of Kaplan’s post-secondary education businesses, including the fixed facility colleges that were formerly part of Quest Education, which offers bachelor’s degrees, associate’s degrees and diploma programs primarily in the fields of healthcare, business and information technology; and online post-secondary and career programs (various distance-learning businesses, including kaplancollege.com).</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color w:val="auto"/>
        </w:rPr>
        <w:t>Corporate office includes the expenses of the Company’s corporate office.</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Note 5: Goodwill and Other Intangible Assets.</w:t>
      </w:r>
    </w:p>
    <w:p>
      <w:pPr>
        <w:spacing w:after="0" w:line="77" w:lineRule="exact"/>
        <w:rPr>
          <w:sz w:val="20"/>
          <w:szCs w:val="20"/>
          <w:color w:val="auto"/>
        </w:rPr>
      </w:pPr>
    </w:p>
    <w:p>
      <w:pPr>
        <w:jc w:val="both"/>
        <w:ind w:right="300"/>
        <w:spacing w:after="0" w:line="256" w:lineRule="auto"/>
        <w:rPr>
          <w:sz w:val="20"/>
          <w:szCs w:val="20"/>
          <w:color w:val="auto"/>
        </w:rPr>
      </w:pPr>
      <w:r>
        <w:rPr>
          <w:rFonts w:ascii="Arial" w:cs="Arial" w:eastAsia="Arial" w:hAnsi="Arial"/>
          <w:sz w:val="18"/>
          <w:szCs w:val="18"/>
          <w:color w:val="auto"/>
        </w:rPr>
        <w:t>In accordance with Statement of Financial Accounting Standards No. 142(SFAS 142), “Goodwill and Other Intangible Assets,” the Company has reviewed its goodwill and other intangible assets and classified them in three categories (goodwill, indefinite-lived intangible assets, and amortized intangible assets). The Company’s intangible assets with an indefinite life are from franchise agreements at its cable division. Amortized intangible assets are primarily non-compete agreements, with amortization periods up to five years.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The Company’s goodwill and other intangible assets as of June 29, 2003 and December 29, 2002 were as follows (in thousands):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80" w:right="2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gridSpan w:val="2"/>
          </w:tcPr>
          <w:p>
            <w:pPr>
              <w:spacing w:after="0"/>
              <w:rPr>
                <w:sz w:val="20"/>
                <w:szCs w:val="20"/>
                <w:color w:val="auto"/>
              </w:rPr>
            </w:pPr>
            <w:r>
              <w:rPr>
                <w:rFonts w:ascii="Arial" w:cs="Arial" w:eastAsia="Arial" w:hAnsi="Arial"/>
                <w:sz w:val="14"/>
                <w:szCs w:val="14"/>
                <w:b w:val="1"/>
                <w:bCs w:val="1"/>
                <w:color w:val="auto"/>
                <w:w w:val="86"/>
              </w:rPr>
              <w:t>Accumulated</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340" w:type="dxa"/>
            <w:vAlign w:val="bottom"/>
          </w:tcPr>
          <w:p>
            <w:pPr>
              <w:spacing w:after="0"/>
              <w:rPr>
                <w:sz w:val="15"/>
                <w:szCs w:val="15"/>
                <w:color w:val="auto"/>
              </w:rPr>
            </w:pPr>
          </w:p>
        </w:tc>
        <w:tc>
          <w:tcPr>
            <w:tcW w:w="800" w:type="dxa"/>
            <w:vAlign w:val="bottom"/>
          </w:tcPr>
          <w:p>
            <w:pPr>
              <w:jc w:val="right"/>
              <w:ind w:right="154"/>
              <w:spacing w:after="0"/>
              <w:rPr>
                <w:sz w:val="20"/>
                <w:szCs w:val="20"/>
                <w:color w:val="auto"/>
              </w:rPr>
            </w:pPr>
            <w:r>
              <w:rPr>
                <w:rFonts w:ascii="Arial" w:cs="Arial" w:eastAsia="Arial" w:hAnsi="Arial"/>
                <w:sz w:val="14"/>
                <w:szCs w:val="14"/>
                <w:b w:val="1"/>
                <w:bCs w:val="1"/>
                <w:color w:val="auto"/>
              </w:rPr>
              <w:t>Gross</w:t>
            </w:r>
          </w:p>
        </w:tc>
        <w:tc>
          <w:tcPr>
            <w:tcW w:w="340" w:type="dxa"/>
            <w:vAlign w:val="bottom"/>
          </w:tcPr>
          <w:p>
            <w:pPr>
              <w:spacing w:after="0"/>
              <w:rPr>
                <w:sz w:val="15"/>
                <w:szCs w:val="15"/>
                <w:color w:val="auto"/>
              </w:rPr>
            </w:pPr>
          </w:p>
        </w:tc>
        <w:tc>
          <w:tcPr>
            <w:tcW w:w="780" w:type="dxa"/>
            <w:vAlign w:val="bottom"/>
            <w:gridSpan w:val="2"/>
          </w:tcPr>
          <w:p>
            <w:pPr>
              <w:spacing w:after="0"/>
              <w:rPr>
                <w:sz w:val="20"/>
                <w:szCs w:val="20"/>
                <w:color w:val="auto"/>
              </w:rPr>
            </w:pPr>
            <w:r>
              <w:rPr>
                <w:rFonts w:ascii="Arial" w:cs="Arial" w:eastAsia="Arial" w:hAnsi="Arial"/>
                <w:sz w:val="14"/>
                <w:szCs w:val="14"/>
                <w:b w:val="1"/>
                <w:bCs w:val="1"/>
                <w:color w:val="auto"/>
                <w:w w:val="88"/>
              </w:rPr>
              <w:t>Amortization</w:t>
            </w: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gridSpan w:val="2"/>
          </w:tcPr>
          <w:p>
            <w:pPr>
              <w:ind w:left="20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34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340" w:type="dxa"/>
            <w:vAlign w:val="bottom"/>
          </w:tcPr>
          <w:p>
            <w:pPr>
              <w:spacing w:after="0"/>
              <w:rPr>
                <w:sz w:val="8"/>
                <w:szCs w:val="8"/>
                <w:color w:val="auto"/>
              </w:rPr>
            </w:pPr>
          </w:p>
        </w:tc>
        <w:tc>
          <w:tcPr>
            <w:tcW w:w="8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2003</w:t>
            </w: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420"/>
              <w:spacing w:after="0"/>
              <w:rPr>
                <w:sz w:val="20"/>
                <w:szCs w:val="20"/>
                <w:color w:val="auto"/>
              </w:rPr>
            </w:pPr>
            <w:r>
              <w:rPr>
                <w:rFonts w:ascii="Arial" w:cs="Arial" w:eastAsia="Arial" w:hAnsi="Arial"/>
                <w:sz w:val="18"/>
                <w:szCs w:val="18"/>
                <w:color w:val="auto"/>
              </w:rPr>
              <w:t>Goodwill</w:t>
            </w:r>
          </w:p>
        </w:tc>
        <w:tc>
          <w:tcPr>
            <w:tcW w:w="800" w:type="dxa"/>
            <w:vAlign w:val="bottom"/>
          </w:tcPr>
          <w:p>
            <w:pPr>
              <w:jc w:val="right"/>
              <w:spacing w:after="0"/>
              <w:rPr>
                <w:sz w:val="20"/>
                <w:szCs w:val="20"/>
                <w:color w:val="auto"/>
              </w:rPr>
            </w:pPr>
            <w:r>
              <w:rPr>
                <w:rFonts w:ascii="Arial" w:cs="Arial" w:eastAsia="Arial" w:hAnsi="Arial"/>
                <w:sz w:val="18"/>
                <w:szCs w:val="18"/>
                <w:color w:val="auto"/>
                <w:w w:val="81"/>
              </w:rPr>
              <w:t>$ 1,173,350</w:t>
            </w:r>
          </w:p>
        </w:tc>
        <w:tc>
          <w:tcPr>
            <w:tcW w:w="460" w:type="dxa"/>
            <w:vAlign w:val="bottom"/>
            <w:gridSpan w:val="2"/>
          </w:tcPr>
          <w:p>
            <w:pPr>
              <w:ind w:left="34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298,402</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874,948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Indefinite-lived intangible assets</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647,725</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163,806</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483,919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340" w:type="dxa"/>
            <w:vAlign w:val="bottom"/>
          </w:tcPr>
          <w:p>
            <w:pPr>
              <w:ind w:left="420"/>
              <w:spacing w:after="0"/>
              <w:rPr>
                <w:sz w:val="20"/>
                <w:szCs w:val="20"/>
                <w:color w:val="auto"/>
              </w:rPr>
            </w:pPr>
            <w:r>
              <w:rPr>
                <w:rFonts w:ascii="Arial" w:cs="Arial" w:eastAsia="Arial" w:hAnsi="Arial"/>
                <w:sz w:val="18"/>
                <w:szCs w:val="18"/>
                <w:color w:val="auto"/>
              </w:rPr>
              <w:t>Amortized intangible assets</w:t>
            </w:r>
          </w:p>
        </w:tc>
        <w:tc>
          <w:tcPr>
            <w:tcW w:w="800" w:type="dxa"/>
            <w:vAlign w:val="bottom"/>
          </w:tcPr>
          <w:p>
            <w:pPr>
              <w:jc w:val="right"/>
              <w:spacing w:after="0"/>
              <w:rPr>
                <w:sz w:val="20"/>
                <w:szCs w:val="20"/>
                <w:color w:val="auto"/>
              </w:rPr>
            </w:pPr>
            <w:r>
              <w:rPr>
                <w:rFonts w:ascii="Arial" w:cs="Arial" w:eastAsia="Arial" w:hAnsi="Arial"/>
                <w:sz w:val="18"/>
                <w:szCs w:val="18"/>
                <w:color w:val="auto"/>
              </w:rPr>
              <w:t>7,916</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1,884</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6,032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34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340" w:type="dxa"/>
            <w:vAlign w:val="bottom"/>
          </w:tcPr>
          <w:p>
            <w:pPr>
              <w:spacing w:after="0"/>
              <w:rPr>
                <w:sz w:val="8"/>
                <w:szCs w:val="8"/>
                <w:color w:val="auto"/>
              </w:rPr>
            </w:pPr>
          </w:p>
        </w:tc>
        <w:tc>
          <w:tcPr>
            <w:tcW w:w="8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1"/>
              </w:rPr>
              <w:t>$ 1,828,991</w:t>
            </w:r>
          </w:p>
        </w:tc>
        <w:tc>
          <w:tcPr>
            <w:tcW w:w="4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464,092</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1,364,899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340" w:type="dxa"/>
            <w:vAlign w:val="bottom"/>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340" w:type="dxa"/>
            <w:vAlign w:val="bottom"/>
          </w:tcPr>
          <w:p>
            <w:pPr>
              <w:spacing w:after="0"/>
              <w:rPr>
                <w:sz w:val="9"/>
                <w:szCs w:val="9"/>
                <w:color w:val="auto"/>
              </w:rPr>
            </w:pPr>
          </w:p>
        </w:tc>
        <w:tc>
          <w:tcPr>
            <w:tcW w:w="8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2002</w:t>
            </w: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420"/>
              <w:spacing w:after="0"/>
              <w:rPr>
                <w:sz w:val="20"/>
                <w:szCs w:val="20"/>
                <w:color w:val="auto"/>
              </w:rPr>
            </w:pPr>
            <w:r>
              <w:rPr>
                <w:rFonts w:ascii="Arial" w:cs="Arial" w:eastAsia="Arial" w:hAnsi="Arial"/>
                <w:sz w:val="18"/>
                <w:szCs w:val="18"/>
                <w:color w:val="auto"/>
              </w:rPr>
              <w:t>Goodwill</w:t>
            </w:r>
          </w:p>
        </w:tc>
        <w:tc>
          <w:tcPr>
            <w:tcW w:w="800" w:type="dxa"/>
            <w:vAlign w:val="bottom"/>
          </w:tcPr>
          <w:p>
            <w:pPr>
              <w:jc w:val="right"/>
              <w:spacing w:after="0"/>
              <w:rPr>
                <w:sz w:val="20"/>
                <w:szCs w:val="20"/>
                <w:color w:val="auto"/>
              </w:rPr>
            </w:pPr>
            <w:r>
              <w:rPr>
                <w:rFonts w:ascii="Arial" w:cs="Arial" w:eastAsia="Arial" w:hAnsi="Arial"/>
                <w:sz w:val="18"/>
                <w:szCs w:val="18"/>
                <w:color w:val="auto"/>
                <w:w w:val="81"/>
              </w:rPr>
              <w:t>$ 1,069,263</w:t>
            </w:r>
          </w:p>
        </w:tc>
        <w:tc>
          <w:tcPr>
            <w:tcW w:w="460" w:type="dxa"/>
            <w:vAlign w:val="bottom"/>
            <w:gridSpan w:val="2"/>
          </w:tcPr>
          <w:p>
            <w:pPr>
              <w:ind w:left="34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298,402</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770,861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Indefinite-lived intangible assets</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646,225</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163,806</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482,419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340" w:type="dxa"/>
            <w:vAlign w:val="bottom"/>
          </w:tcPr>
          <w:p>
            <w:pPr>
              <w:ind w:left="420"/>
              <w:spacing w:after="0"/>
              <w:rPr>
                <w:sz w:val="20"/>
                <w:szCs w:val="20"/>
                <w:color w:val="auto"/>
              </w:rPr>
            </w:pPr>
            <w:r>
              <w:rPr>
                <w:rFonts w:ascii="Arial" w:cs="Arial" w:eastAsia="Arial" w:hAnsi="Arial"/>
                <w:sz w:val="18"/>
                <w:szCs w:val="18"/>
                <w:color w:val="auto"/>
              </w:rPr>
              <w:t>Amortized intangible assets</w:t>
            </w:r>
          </w:p>
        </w:tc>
        <w:tc>
          <w:tcPr>
            <w:tcW w:w="800" w:type="dxa"/>
            <w:vAlign w:val="bottom"/>
          </w:tcPr>
          <w:p>
            <w:pPr>
              <w:jc w:val="right"/>
              <w:spacing w:after="0"/>
              <w:rPr>
                <w:sz w:val="20"/>
                <w:szCs w:val="20"/>
                <w:color w:val="auto"/>
              </w:rPr>
            </w:pPr>
            <w:r>
              <w:rPr>
                <w:rFonts w:ascii="Arial" w:cs="Arial" w:eastAsia="Arial" w:hAnsi="Arial"/>
                <w:sz w:val="18"/>
                <w:szCs w:val="18"/>
                <w:color w:val="auto"/>
              </w:rPr>
              <w:t>3,525</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1,372</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2,153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34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340" w:type="dxa"/>
            <w:vAlign w:val="bottom"/>
          </w:tcPr>
          <w:p>
            <w:pPr>
              <w:spacing w:after="0"/>
              <w:rPr>
                <w:sz w:val="8"/>
                <w:szCs w:val="8"/>
                <w:color w:val="auto"/>
              </w:rPr>
            </w:pPr>
          </w:p>
        </w:tc>
        <w:tc>
          <w:tcPr>
            <w:tcW w:w="8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1"/>
              </w:rPr>
              <w:t>$ 1,719,013</w:t>
            </w:r>
          </w:p>
        </w:tc>
        <w:tc>
          <w:tcPr>
            <w:tcW w:w="4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463,580</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1,255,433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340" w:type="dxa"/>
            <w:vAlign w:val="bottom"/>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-1024255</wp:posOffset>
            </wp:positionV>
            <wp:extent cx="12700" cy="298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5808980</wp:posOffset>
            </wp:positionH>
            <wp:positionV relativeFrom="paragraph">
              <wp:posOffset>-1024255</wp:posOffset>
            </wp:positionV>
            <wp:extent cx="12700" cy="298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5363210</wp:posOffset>
            </wp:positionH>
            <wp:positionV relativeFrom="paragraph">
              <wp:posOffset>-1024255</wp:posOffset>
            </wp:positionV>
            <wp:extent cx="21590" cy="298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-1024255</wp:posOffset>
            </wp:positionV>
            <wp:extent cx="12700" cy="298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-1024255</wp:posOffset>
            </wp:positionV>
            <wp:extent cx="12700" cy="298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6100445</wp:posOffset>
            </wp:positionH>
            <wp:positionV relativeFrom="paragraph">
              <wp:posOffset>-1024255</wp:posOffset>
            </wp:positionV>
            <wp:extent cx="21590" cy="298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6734810</wp:posOffset>
            </wp:positionH>
            <wp:positionV relativeFrom="paragraph">
              <wp:posOffset>-1024255</wp:posOffset>
            </wp:positionV>
            <wp:extent cx="518795" cy="298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18795" cy="2984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-29210</wp:posOffset>
            </wp:positionV>
            <wp:extent cx="12700" cy="298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5808980</wp:posOffset>
            </wp:positionH>
            <wp:positionV relativeFrom="paragraph">
              <wp:posOffset>-29210</wp:posOffset>
            </wp:positionV>
            <wp:extent cx="12700" cy="298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5363210</wp:posOffset>
            </wp:positionH>
            <wp:positionV relativeFrom="paragraph">
              <wp:posOffset>-29210</wp:posOffset>
            </wp:positionV>
            <wp:extent cx="21590" cy="298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-29210</wp:posOffset>
            </wp:positionV>
            <wp:extent cx="492760" cy="298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492760" cy="29845"/>
                    </a:xfrm>
                    <a:prstGeom prst="rect">
                      <a:avLst/>
                    </a:prstGeom>
                    <a:noFill/>
                  </pic:spPr>
                </pic:pic>
              </a:graphicData>
            </a:graphic>
          </wp:anchor>
        </w:drawing>
        <w:drawing>
          <wp:anchor simplePos="0" relativeHeight="251657728" behindDoc="1" locked="0" layoutInCell="0" allowOverlap="1">
            <wp:simplePos x="0" y="0"/>
            <wp:positionH relativeFrom="column">
              <wp:posOffset>6734810</wp:posOffset>
            </wp:positionH>
            <wp:positionV relativeFrom="paragraph">
              <wp:posOffset>-29210</wp:posOffset>
            </wp:positionV>
            <wp:extent cx="12700" cy="298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-29210</wp:posOffset>
            </wp:positionV>
            <wp:extent cx="21590" cy="298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Activity related to the Company’s goodwill and amortized intangible assets during the six months ended June 29, 2003 was as follows (in thousands):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Newspaper</w:t>
            </w:r>
          </w:p>
        </w:tc>
        <w:tc>
          <w:tcPr>
            <w:tcW w:w="80" w:type="dxa"/>
            <w:vAlign w:val="bottom"/>
          </w:tcPr>
          <w:p>
            <w:pPr>
              <w:spacing w:after="0"/>
              <w:rPr>
                <w:sz w:val="14"/>
                <w:szCs w:val="14"/>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81"/>
              </w:rPr>
              <w:t>Television</w:t>
            </w:r>
          </w:p>
        </w:tc>
        <w:tc>
          <w:tcPr>
            <w:tcW w:w="9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8"/>
              </w:rPr>
              <w:t>Magazine</w:t>
            </w:r>
          </w:p>
        </w:tc>
        <w:tc>
          <w:tcPr>
            <w:tcW w:w="120" w:type="dxa"/>
            <w:vAlign w:val="bottom"/>
          </w:tcPr>
          <w:p>
            <w:pPr>
              <w:spacing w:after="0"/>
              <w:rPr>
                <w:sz w:val="14"/>
                <w:szCs w:val="14"/>
                <w:color w:val="auto"/>
              </w:rPr>
            </w:pPr>
          </w:p>
        </w:tc>
        <w:tc>
          <w:tcPr>
            <w:tcW w:w="90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83"/>
              </w:rPr>
              <w:t>Cable</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Publishing</w:t>
            </w: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Broadcasting</w:t>
            </w:r>
          </w:p>
        </w:tc>
        <w:tc>
          <w:tcPr>
            <w:tcW w:w="9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6"/>
              </w:rPr>
              <w:t>Publishing</w:t>
            </w:r>
          </w:p>
        </w:tc>
        <w:tc>
          <w:tcPr>
            <w:tcW w:w="1020" w:type="dxa"/>
            <w:vAlign w:val="bottom"/>
            <w:gridSpan w:val="3"/>
          </w:tcPr>
          <w:p>
            <w:pPr>
              <w:ind w:left="20"/>
              <w:spacing w:after="0"/>
              <w:rPr>
                <w:sz w:val="20"/>
                <w:szCs w:val="20"/>
                <w:color w:val="auto"/>
              </w:rPr>
            </w:pPr>
            <w:r>
              <w:rPr>
                <w:rFonts w:ascii="Arial" w:cs="Arial" w:eastAsia="Arial" w:hAnsi="Arial"/>
                <w:sz w:val="14"/>
                <w:szCs w:val="14"/>
                <w:b w:val="1"/>
                <w:bCs w:val="1"/>
                <w:color w:val="auto"/>
              </w:rPr>
              <w:t>Television</w:t>
            </w:r>
          </w:p>
        </w:tc>
        <w:tc>
          <w:tcPr>
            <w:tcW w:w="110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w w:val="91"/>
              </w:rPr>
              <w:t>Education</w:t>
            </w:r>
          </w:p>
        </w:tc>
        <w:tc>
          <w:tcPr>
            <w:tcW w:w="100" w:type="dxa"/>
            <w:vAlign w:val="bottom"/>
          </w:tcPr>
          <w:p>
            <w:pPr>
              <w:spacing w:after="0"/>
              <w:rPr>
                <w:sz w:val="15"/>
                <w:szCs w:val="15"/>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420" w:type="dxa"/>
            <w:vAlign w:val="bottom"/>
          </w:tcPr>
          <w:p>
            <w:pPr>
              <w:spacing w:after="0"/>
              <w:rPr>
                <w:sz w:val="8"/>
                <w:szCs w:val="8"/>
                <w:color w:val="auto"/>
              </w:rPr>
            </w:pPr>
          </w:p>
        </w:tc>
        <w:tc>
          <w:tcPr>
            <w:tcW w:w="20" w:type="dxa"/>
            <w:vAlign w:val="bottom"/>
          </w:tcPr>
          <w:p>
            <w:pPr>
              <w:spacing w:after="0"/>
              <w:rPr>
                <w:sz w:val="8"/>
                <w:szCs w:val="8"/>
                <w:color w:val="auto"/>
              </w:rPr>
            </w:pPr>
          </w:p>
        </w:tc>
        <w:tc>
          <w:tcPr>
            <w:tcW w:w="150" w:type="dxa"/>
            <w:vAlign w:val="bottom"/>
            <w:tcBorders>
              <w:bottom w:val="single" w:sz="8" w:color="auto"/>
            </w:tcBorders>
          </w:tcPr>
          <w:p>
            <w:pPr>
              <w:spacing w:after="0"/>
              <w:rPr>
                <w:sz w:val="8"/>
                <w:szCs w:val="8"/>
                <w:color w:val="auto"/>
              </w:rPr>
            </w:pPr>
          </w:p>
        </w:tc>
        <w:tc>
          <w:tcPr>
            <w:tcW w:w="49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420" w:type="dxa"/>
            <w:vAlign w:val="bottom"/>
          </w:tcPr>
          <w:p>
            <w:pPr>
              <w:spacing w:after="0"/>
              <w:rPr>
                <w:sz w:val="8"/>
                <w:szCs w:val="8"/>
                <w:color w:val="auto"/>
              </w:rPr>
            </w:pPr>
          </w:p>
        </w:tc>
        <w:tc>
          <w:tcPr>
            <w:tcW w:w="20" w:type="dxa"/>
            <w:vAlign w:val="bottom"/>
          </w:tcPr>
          <w:p>
            <w:pPr>
              <w:spacing w:after="0"/>
              <w:rPr>
                <w:sz w:val="8"/>
                <w:szCs w:val="8"/>
                <w:color w:val="auto"/>
              </w:rPr>
            </w:pPr>
          </w:p>
        </w:tc>
        <w:tc>
          <w:tcPr>
            <w:tcW w:w="150" w:type="dxa"/>
            <w:vAlign w:val="bottom"/>
          </w:tcPr>
          <w:p>
            <w:pPr>
              <w:spacing w:after="0"/>
              <w:rPr>
                <w:sz w:val="8"/>
                <w:szCs w:val="8"/>
                <w:color w:val="auto"/>
              </w:rPr>
            </w:pPr>
          </w:p>
        </w:tc>
        <w:tc>
          <w:tcPr>
            <w:tcW w:w="49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Goodwill, net</w:t>
            </w:r>
          </w:p>
        </w:tc>
        <w:tc>
          <w:tcPr>
            <w:tcW w:w="20" w:type="dxa"/>
            <w:vAlign w:val="bottom"/>
            <w:shd w:val="clear" w:color="auto" w:fill="CCEEFF"/>
          </w:tcPr>
          <w:p>
            <w:pPr>
              <w:spacing w:after="0"/>
              <w:rPr>
                <w:sz w:val="18"/>
                <w:szCs w:val="18"/>
                <w:color w:val="auto"/>
              </w:rPr>
            </w:pPr>
          </w:p>
        </w:tc>
        <w:tc>
          <w:tcPr>
            <w:tcW w:w="150" w:type="dxa"/>
            <w:vAlign w:val="bottom"/>
            <w:shd w:val="clear" w:color="auto" w:fill="CCEEFF"/>
          </w:tcPr>
          <w:p>
            <w:pPr>
              <w:spacing w:after="0"/>
              <w:rPr>
                <w:sz w:val="18"/>
                <w:szCs w:val="18"/>
                <w:color w:val="auto"/>
              </w:rPr>
            </w:pPr>
          </w:p>
        </w:tc>
        <w:tc>
          <w:tcPr>
            <w:tcW w:w="49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420"/>
              <w:spacing w:after="0"/>
              <w:rPr>
                <w:sz w:val="20"/>
                <w:szCs w:val="20"/>
                <w:color w:val="auto"/>
              </w:rPr>
            </w:pPr>
            <w:r>
              <w:rPr>
                <w:rFonts w:ascii="Arial" w:cs="Arial" w:eastAsia="Arial" w:hAnsi="Arial"/>
                <w:sz w:val="18"/>
                <w:szCs w:val="18"/>
                <w:color w:val="auto"/>
              </w:rPr>
              <w:t>Beginning of year</w:t>
            </w:r>
          </w:p>
        </w:tc>
        <w:tc>
          <w:tcPr>
            <w:tcW w:w="660" w:type="dxa"/>
            <w:vAlign w:val="bottom"/>
            <w:gridSpan w:val="3"/>
          </w:tcPr>
          <w:p>
            <w:pPr>
              <w:jc w:val="right"/>
              <w:spacing w:after="0"/>
              <w:rPr>
                <w:sz w:val="20"/>
                <w:szCs w:val="20"/>
                <w:color w:val="auto"/>
              </w:rPr>
            </w:pPr>
            <w:r>
              <w:rPr>
                <w:rFonts w:ascii="Arial" w:cs="Arial" w:eastAsia="Arial" w:hAnsi="Arial"/>
                <w:sz w:val="18"/>
                <w:szCs w:val="18"/>
                <w:color w:val="auto"/>
                <w:w w:val="91"/>
              </w:rPr>
              <w:t>$ 72,738</w:t>
            </w:r>
          </w:p>
        </w:tc>
        <w:tc>
          <w:tcPr>
            <w:tcW w:w="42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203,165</w:t>
            </w:r>
          </w:p>
        </w:tc>
        <w:tc>
          <w:tcPr>
            <w:tcW w:w="300" w:type="dxa"/>
            <w:vAlign w:val="bottom"/>
          </w:tcPr>
          <w:p>
            <w:pPr>
              <w:spacing w:after="0"/>
              <w:rPr>
                <w:sz w:val="18"/>
                <w:szCs w:val="18"/>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88"/>
              </w:rPr>
              <w:t>$ 69,556</w:t>
            </w:r>
          </w:p>
        </w:tc>
        <w:tc>
          <w:tcPr>
            <w:tcW w:w="30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w w:val="82"/>
              </w:rPr>
              <w:t>$ 85,666</w:t>
            </w:r>
          </w:p>
        </w:tc>
        <w:tc>
          <w:tcPr>
            <w:tcW w:w="42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82"/>
              </w:rPr>
              <w:t>$ 339,736</w:t>
            </w:r>
          </w:p>
        </w:tc>
        <w:tc>
          <w:tcPr>
            <w:tcW w:w="4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770,861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Acquisitions</w:t>
            </w:r>
          </w:p>
        </w:tc>
        <w:tc>
          <w:tcPr>
            <w:tcW w:w="20" w:type="dxa"/>
            <w:vAlign w:val="bottom"/>
            <w:shd w:val="clear" w:color="auto" w:fill="CCEEFF"/>
          </w:tcPr>
          <w:p>
            <w:pPr>
              <w:spacing w:after="0"/>
              <w:rPr>
                <w:sz w:val="18"/>
                <w:szCs w:val="18"/>
                <w:color w:val="auto"/>
              </w:rPr>
            </w:pPr>
          </w:p>
        </w:tc>
        <w:tc>
          <w:tcPr>
            <w:tcW w:w="150" w:type="dxa"/>
            <w:vAlign w:val="bottom"/>
            <w:shd w:val="clear" w:color="auto" w:fill="CCEEFF"/>
          </w:tcPr>
          <w:p>
            <w:pPr>
              <w:spacing w:after="0"/>
              <w:rPr>
                <w:sz w:val="18"/>
                <w:szCs w:val="18"/>
                <w:color w:val="auto"/>
              </w:rPr>
            </w:pPr>
          </w:p>
        </w:tc>
        <w:tc>
          <w:tcPr>
            <w:tcW w:w="49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101,719</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101,719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420"/>
              <w:spacing w:after="0"/>
              <w:rPr>
                <w:sz w:val="20"/>
                <w:szCs w:val="20"/>
                <w:color w:val="auto"/>
              </w:rPr>
            </w:pPr>
            <w:r>
              <w:rPr>
                <w:rFonts w:ascii="Arial" w:cs="Arial" w:eastAsia="Arial" w:hAnsi="Arial"/>
                <w:sz w:val="18"/>
                <w:szCs w:val="18"/>
                <w:color w:val="auto"/>
              </w:rPr>
              <w:t>Disposition</w:t>
            </w:r>
          </w:p>
        </w:tc>
        <w:tc>
          <w:tcPr>
            <w:tcW w:w="20" w:type="dxa"/>
            <w:vAlign w:val="bottom"/>
          </w:tcPr>
          <w:p>
            <w:pPr>
              <w:spacing w:after="0"/>
              <w:rPr>
                <w:sz w:val="18"/>
                <w:szCs w:val="18"/>
                <w:color w:val="auto"/>
              </w:rPr>
            </w:pPr>
          </w:p>
        </w:tc>
        <w:tc>
          <w:tcPr>
            <w:tcW w:w="150" w:type="dxa"/>
            <w:vAlign w:val="bottom"/>
          </w:tcPr>
          <w:p>
            <w:pPr>
              <w:spacing w:after="0"/>
              <w:rPr>
                <w:sz w:val="18"/>
                <w:szCs w:val="18"/>
                <w:color w:val="auto"/>
              </w:rPr>
            </w:pPr>
          </w:p>
        </w:tc>
        <w:tc>
          <w:tcPr>
            <w:tcW w:w="910" w:type="dxa"/>
            <w:vAlign w:val="bottom"/>
            <w:gridSpan w:val="2"/>
          </w:tcPr>
          <w:p>
            <w:pPr>
              <w:jc w:val="right"/>
              <w:ind w:right="360"/>
              <w:spacing w:after="0"/>
              <w:rPr>
                <w:sz w:val="20"/>
                <w:szCs w:val="20"/>
                <w:color w:val="auto"/>
              </w:rPr>
            </w:pPr>
            <w:r>
              <w:rPr>
                <w:rFonts w:ascii="Arial" w:cs="Arial" w:eastAsia="Arial" w:hAnsi="Arial"/>
                <w:sz w:val="18"/>
                <w:szCs w:val="18"/>
                <w:color w:val="auto"/>
                <w:w w:val="91"/>
              </w:rPr>
              <w:t>(1,461)</w:t>
            </w:r>
          </w:p>
        </w:tc>
        <w:tc>
          <w:tcPr>
            <w:tcW w:w="8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9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(1,461)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Foreign currency exchange rate changes</w:t>
            </w:r>
          </w:p>
        </w:tc>
        <w:tc>
          <w:tcPr>
            <w:tcW w:w="20" w:type="dxa"/>
            <w:vAlign w:val="bottom"/>
            <w:shd w:val="clear" w:color="auto" w:fill="CCEEFF"/>
          </w:tcPr>
          <w:p>
            <w:pPr>
              <w:spacing w:after="0"/>
              <w:rPr>
                <w:sz w:val="18"/>
                <w:szCs w:val="18"/>
                <w:color w:val="auto"/>
              </w:rPr>
            </w:pPr>
          </w:p>
        </w:tc>
        <w:tc>
          <w:tcPr>
            <w:tcW w:w="150" w:type="dxa"/>
            <w:vAlign w:val="bottom"/>
            <w:shd w:val="clear" w:color="auto" w:fill="CCEEFF"/>
          </w:tcPr>
          <w:p>
            <w:pPr>
              <w:spacing w:after="0"/>
              <w:rPr>
                <w:sz w:val="18"/>
                <w:szCs w:val="18"/>
                <w:color w:val="auto"/>
              </w:rPr>
            </w:pPr>
          </w:p>
        </w:tc>
        <w:tc>
          <w:tcPr>
            <w:tcW w:w="91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3,829</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420" w:type="dxa"/>
            <w:vAlign w:val="bottom"/>
          </w:tcPr>
          <w:p>
            <w:pPr>
              <w:spacing w:after="0"/>
              <w:rPr>
                <w:sz w:val="9"/>
                <w:szCs w:val="9"/>
                <w:color w:val="auto"/>
              </w:rPr>
            </w:pPr>
          </w:p>
        </w:tc>
        <w:tc>
          <w:tcPr>
            <w:tcW w:w="20" w:type="dxa"/>
            <w:vAlign w:val="bottom"/>
          </w:tcPr>
          <w:p>
            <w:pPr>
              <w:spacing w:after="0"/>
              <w:rPr>
                <w:sz w:val="9"/>
                <w:szCs w:val="9"/>
                <w:color w:val="auto"/>
              </w:rPr>
            </w:pPr>
          </w:p>
        </w:tc>
        <w:tc>
          <w:tcPr>
            <w:tcW w:w="150" w:type="dxa"/>
            <w:vAlign w:val="bottom"/>
            <w:tcBorders>
              <w:bottom w:val="single" w:sz="8" w:color="auto"/>
            </w:tcBorders>
          </w:tcPr>
          <w:p>
            <w:pPr>
              <w:spacing w:after="0"/>
              <w:rPr>
                <w:sz w:val="9"/>
                <w:szCs w:val="9"/>
                <w:color w:val="auto"/>
              </w:rPr>
            </w:pPr>
          </w:p>
        </w:tc>
        <w:tc>
          <w:tcPr>
            <w:tcW w:w="49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600" w:type="dxa"/>
            <w:vAlign w:val="bottom"/>
            <w:tcBorders>
              <w:bottom w:val="single" w:sz="8" w:color="auto"/>
            </w:tcBorders>
            <w:gridSpan w:val="2"/>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Borders>
              <w:bottom w:val="single" w:sz="8" w:color="auto"/>
            </w:tcBorders>
            <w:gridSpan w:val="2"/>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420" w:type="dxa"/>
            <w:vAlign w:val="bottom"/>
          </w:tcPr>
          <w:p>
            <w:pPr>
              <w:spacing w:after="0"/>
              <w:rPr>
                <w:sz w:val="8"/>
                <w:szCs w:val="8"/>
                <w:color w:val="auto"/>
              </w:rPr>
            </w:pPr>
          </w:p>
        </w:tc>
        <w:tc>
          <w:tcPr>
            <w:tcW w:w="20" w:type="dxa"/>
            <w:vAlign w:val="bottom"/>
          </w:tcPr>
          <w:p>
            <w:pPr>
              <w:spacing w:after="0"/>
              <w:rPr>
                <w:sz w:val="8"/>
                <w:szCs w:val="8"/>
                <w:color w:val="auto"/>
              </w:rPr>
            </w:pPr>
          </w:p>
        </w:tc>
        <w:tc>
          <w:tcPr>
            <w:tcW w:w="150" w:type="dxa"/>
            <w:vAlign w:val="bottom"/>
          </w:tcPr>
          <w:p>
            <w:pPr>
              <w:spacing w:after="0"/>
              <w:rPr>
                <w:sz w:val="8"/>
                <w:szCs w:val="8"/>
                <w:color w:val="auto"/>
              </w:rPr>
            </w:pPr>
          </w:p>
        </w:tc>
        <w:tc>
          <w:tcPr>
            <w:tcW w:w="49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Balance at June 29, 2003</w:t>
            </w: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1"/>
              </w:rPr>
              <w:t>$ 71,277</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203,165</w:t>
            </w: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$ 69,556</w:t>
            </w:r>
          </w:p>
        </w:tc>
        <w:tc>
          <w:tcPr>
            <w:tcW w:w="3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2"/>
              </w:rPr>
              <w:t>$ 85,666</w:t>
            </w:r>
          </w:p>
        </w:tc>
        <w:tc>
          <w:tcPr>
            <w:tcW w:w="4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2"/>
              </w:rPr>
              <w:t>$ 445,284</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874,948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4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50" w:type="dxa"/>
            <w:vAlign w:val="bottom"/>
            <w:tcBorders>
              <w:bottom w:val="single" w:sz="8" w:color="auto"/>
            </w:tcBorders>
          </w:tcPr>
          <w:p>
            <w:pPr>
              <w:spacing w:after="0"/>
              <w:rPr>
                <w:sz w:val="11"/>
                <w:szCs w:val="11"/>
                <w:color w:val="auto"/>
              </w:rPr>
            </w:pPr>
          </w:p>
        </w:tc>
        <w:tc>
          <w:tcPr>
            <w:tcW w:w="49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57"/>
        </w:trPr>
        <w:tc>
          <w:tcPr>
            <w:tcW w:w="2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Newspaper</w:t>
            </w:r>
          </w:p>
        </w:tc>
        <w:tc>
          <w:tcPr>
            <w:tcW w:w="80" w:type="dxa"/>
            <w:vAlign w:val="bottom"/>
          </w:tcPr>
          <w:p>
            <w:pPr>
              <w:spacing w:after="0"/>
              <w:rPr>
                <w:sz w:val="24"/>
                <w:szCs w:val="24"/>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81"/>
              </w:rPr>
              <w:t>Television</w:t>
            </w:r>
          </w:p>
        </w:tc>
        <w:tc>
          <w:tcPr>
            <w:tcW w:w="9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8"/>
              </w:rPr>
              <w:t>Magazine</w:t>
            </w:r>
          </w:p>
        </w:tc>
        <w:tc>
          <w:tcPr>
            <w:tcW w:w="120" w:type="dxa"/>
            <w:vAlign w:val="bottom"/>
          </w:tcPr>
          <w:p>
            <w:pPr>
              <w:spacing w:after="0"/>
              <w:rPr>
                <w:sz w:val="24"/>
                <w:szCs w:val="24"/>
                <w:color w:val="auto"/>
              </w:rPr>
            </w:pPr>
          </w:p>
        </w:tc>
        <w:tc>
          <w:tcPr>
            <w:tcW w:w="90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83"/>
              </w:rPr>
              <w:t>Cable</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Publishing</w:t>
            </w: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Broadcasting</w:t>
            </w:r>
          </w:p>
        </w:tc>
        <w:tc>
          <w:tcPr>
            <w:tcW w:w="9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6"/>
              </w:rPr>
              <w:t>Publishing</w:t>
            </w:r>
          </w:p>
        </w:tc>
        <w:tc>
          <w:tcPr>
            <w:tcW w:w="1020" w:type="dxa"/>
            <w:vAlign w:val="bottom"/>
            <w:gridSpan w:val="3"/>
          </w:tcPr>
          <w:p>
            <w:pPr>
              <w:ind w:left="20"/>
              <w:spacing w:after="0"/>
              <w:rPr>
                <w:sz w:val="20"/>
                <w:szCs w:val="20"/>
                <w:color w:val="auto"/>
              </w:rPr>
            </w:pPr>
            <w:r>
              <w:rPr>
                <w:rFonts w:ascii="Arial" w:cs="Arial" w:eastAsia="Arial" w:hAnsi="Arial"/>
                <w:sz w:val="14"/>
                <w:szCs w:val="14"/>
                <w:b w:val="1"/>
                <w:bCs w:val="1"/>
                <w:color w:val="auto"/>
              </w:rPr>
              <w:t>Television</w:t>
            </w:r>
          </w:p>
        </w:tc>
        <w:tc>
          <w:tcPr>
            <w:tcW w:w="110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w w:val="91"/>
              </w:rPr>
              <w:t>Education</w:t>
            </w:r>
          </w:p>
        </w:tc>
        <w:tc>
          <w:tcPr>
            <w:tcW w:w="100" w:type="dxa"/>
            <w:vAlign w:val="bottom"/>
          </w:tcPr>
          <w:p>
            <w:pPr>
              <w:spacing w:after="0"/>
              <w:rPr>
                <w:sz w:val="15"/>
                <w:szCs w:val="15"/>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420" w:type="dxa"/>
            <w:vAlign w:val="bottom"/>
          </w:tcPr>
          <w:p>
            <w:pPr>
              <w:spacing w:after="0"/>
              <w:rPr>
                <w:sz w:val="8"/>
                <w:szCs w:val="8"/>
                <w:color w:val="auto"/>
              </w:rPr>
            </w:pPr>
          </w:p>
        </w:tc>
        <w:tc>
          <w:tcPr>
            <w:tcW w:w="20" w:type="dxa"/>
            <w:vAlign w:val="bottom"/>
          </w:tcPr>
          <w:p>
            <w:pPr>
              <w:spacing w:after="0"/>
              <w:rPr>
                <w:sz w:val="8"/>
                <w:szCs w:val="8"/>
                <w:color w:val="auto"/>
              </w:rPr>
            </w:pPr>
          </w:p>
        </w:tc>
        <w:tc>
          <w:tcPr>
            <w:tcW w:w="150" w:type="dxa"/>
            <w:vAlign w:val="bottom"/>
            <w:tcBorders>
              <w:bottom w:val="single" w:sz="8" w:color="auto"/>
            </w:tcBorders>
          </w:tcPr>
          <w:p>
            <w:pPr>
              <w:spacing w:after="0"/>
              <w:rPr>
                <w:sz w:val="8"/>
                <w:szCs w:val="8"/>
                <w:color w:val="auto"/>
              </w:rPr>
            </w:pPr>
          </w:p>
        </w:tc>
        <w:tc>
          <w:tcPr>
            <w:tcW w:w="49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420" w:type="dxa"/>
            <w:vAlign w:val="bottom"/>
          </w:tcPr>
          <w:p>
            <w:pPr>
              <w:spacing w:after="0"/>
              <w:rPr>
                <w:sz w:val="8"/>
                <w:szCs w:val="8"/>
                <w:color w:val="auto"/>
              </w:rPr>
            </w:pPr>
          </w:p>
        </w:tc>
        <w:tc>
          <w:tcPr>
            <w:tcW w:w="20" w:type="dxa"/>
            <w:vAlign w:val="bottom"/>
          </w:tcPr>
          <w:p>
            <w:pPr>
              <w:spacing w:after="0"/>
              <w:rPr>
                <w:sz w:val="8"/>
                <w:szCs w:val="8"/>
                <w:color w:val="auto"/>
              </w:rPr>
            </w:pPr>
          </w:p>
        </w:tc>
        <w:tc>
          <w:tcPr>
            <w:tcW w:w="150" w:type="dxa"/>
            <w:vAlign w:val="bottom"/>
          </w:tcPr>
          <w:p>
            <w:pPr>
              <w:spacing w:after="0"/>
              <w:rPr>
                <w:sz w:val="8"/>
                <w:szCs w:val="8"/>
                <w:color w:val="auto"/>
              </w:rPr>
            </w:pPr>
          </w:p>
        </w:tc>
        <w:tc>
          <w:tcPr>
            <w:tcW w:w="49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Amortized intangible assets, net</w:t>
            </w:r>
          </w:p>
        </w:tc>
        <w:tc>
          <w:tcPr>
            <w:tcW w:w="20" w:type="dxa"/>
            <w:vAlign w:val="bottom"/>
            <w:shd w:val="clear" w:color="auto" w:fill="CCEEFF"/>
          </w:tcPr>
          <w:p>
            <w:pPr>
              <w:spacing w:after="0"/>
              <w:rPr>
                <w:sz w:val="18"/>
                <w:szCs w:val="18"/>
                <w:color w:val="auto"/>
              </w:rPr>
            </w:pPr>
          </w:p>
        </w:tc>
        <w:tc>
          <w:tcPr>
            <w:tcW w:w="150" w:type="dxa"/>
            <w:vAlign w:val="bottom"/>
            <w:shd w:val="clear" w:color="auto" w:fill="CCEEFF"/>
          </w:tcPr>
          <w:p>
            <w:pPr>
              <w:spacing w:after="0"/>
              <w:rPr>
                <w:sz w:val="18"/>
                <w:szCs w:val="18"/>
                <w:color w:val="auto"/>
              </w:rPr>
            </w:pPr>
          </w:p>
        </w:tc>
        <w:tc>
          <w:tcPr>
            <w:tcW w:w="49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420"/>
              <w:spacing w:after="0"/>
              <w:rPr>
                <w:sz w:val="20"/>
                <w:szCs w:val="20"/>
                <w:color w:val="auto"/>
              </w:rPr>
            </w:pPr>
            <w:r>
              <w:rPr>
                <w:rFonts w:ascii="Arial" w:cs="Arial" w:eastAsia="Arial" w:hAnsi="Arial"/>
                <w:sz w:val="18"/>
                <w:szCs w:val="18"/>
                <w:color w:val="auto"/>
              </w:rPr>
              <w:t>Beginning of year</w:t>
            </w:r>
          </w:p>
        </w:tc>
        <w:tc>
          <w:tcPr>
            <w:tcW w:w="17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490" w:type="dxa"/>
            <w:vAlign w:val="bottom"/>
          </w:tcPr>
          <w:p>
            <w:pPr>
              <w:jc w:val="right"/>
              <w:spacing w:after="0"/>
              <w:rPr>
                <w:sz w:val="20"/>
                <w:szCs w:val="20"/>
                <w:color w:val="auto"/>
              </w:rPr>
            </w:pPr>
            <w:r>
              <w:rPr>
                <w:rFonts w:ascii="Arial" w:cs="Arial" w:eastAsia="Arial" w:hAnsi="Arial"/>
                <w:sz w:val="18"/>
                <w:szCs w:val="18"/>
                <w:color w:val="auto"/>
              </w:rPr>
              <w:t>45</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9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1,232</w:t>
            </w:r>
          </w:p>
        </w:tc>
        <w:tc>
          <w:tcPr>
            <w:tcW w:w="4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876</w:t>
            </w:r>
          </w:p>
        </w:tc>
        <w:tc>
          <w:tcPr>
            <w:tcW w:w="4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2,153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Acquisitions</w:t>
            </w:r>
          </w:p>
        </w:tc>
        <w:tc>
          <w:tcPr>
            <w:tcW w:w="20" w:type="dxa"/>
            <w:vAlign w:val="bottom"/>
            <w:shd w:val="clear" w:color="auto" w:fill="CCEEFF"/>
          </w:tcPr>
          <w:p>
            <w:pPr>
              <w:spacing w:after="0"/>
              <w:rPr>
                <w:sz w:val="18"/>
                <w:szCs w:val="18"/>
                <w:color w:val="auto"/>
              </w:rPr>
            </w:pPr>
          </w:p>
        </w:tc>
        <w:tc>
          <w:tcPr>
            <w:tcW w:w="150" w:type="dxa"/>
            <w:vAlign w:val="bottom"/>
            <w:shd w:val="clear" w:color="auto" w:fill="CCEEFF"/>
          </w:tcPr>
          <w:p>
            <w:pPr>
              <w:spacing w:after="0"/>
              <w:rPr>
                <w:sz w:val="18"/>
                <w:szCs w:val="18"/>
                <w:color w:val="auto"/>
              </w:rPr>
            </w:pPr>
          </w:p>
        </w:tc>
        <w:tc>
          <w:tcPr>
            <w:tcW w:w="49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4,391</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20" w:type="dxa"/>
            <w:vAlign w:val="bottom"/>
          </w:tcPr>
          <w:p>
            <w:pPr>
              <w:ind w:left="420"/>
              <w:spacing w:after="0"/>
              <w:rPr>
                <w:sz w:val="20"/>
                <w:szCs w:val="20"/>
                <w:color w:val="auto"/>
              </w:rPr>
            </w:pPr>
            <w:r>
              <w:rPr>
                <w:rFonts w:ascii="Arial" w:cs="Arial" w:eastAsia="Arial" w:hAnsi="Arial"/>
                <w:sz w:val="18"/>
                <w:szCs w:val="18"/>
                <w:color w:val="auto"/>
              </w:rPr>
              <w:t>Amortization</w:t>
            </w:r>
          </w:p>
        </w:tc>
        <w:tc>
          <w:tcPr>
            <w:tcW w:w="20" w:type="dxa"/>
            <w:vAlign w:val="bottom"/>
          </w:tcPr>
          <w:p>
            <w:pPr>
              <w:spacing w:after="0"/>
              <w:rPr>
                <w:sz w:val="19"/>
                <w:szCs w:val="19"/>
                <w:color w:val="auto"/>
              </w:rPr>
            </w:pPr>
          </w:p>
        </w:tc>
        <w:tc>
          <w:tcPr>
            <w:tcW w:w="150" w:type="dxa"/>
            <w:vAlign w:val="bottom"/>
          </w:tcPr>
          <w:p>
            <w:pPr>
              <w:spacing w:after="0"/>
              <w:rPr>
                <w:sz w:val="19"/>
                <w:szCs w:val="19"/>
                <w:color w:val="auto"/>
              </w:rPr>
            </w:pPr>
          </w:p>
        </w:tc>
        <w:tc>
          <w:tcPr>
            <w:tcW w:w="910" w:type="dxa"/>
            <w:vAlign w:val="bottom"/>
            <w:gridSpan w:val="2"/>
          </w:tcPr>
          <w:p>
            <w:pPr>
              <w:jc w:val="right"/>
              <w:ind w:right="360"/>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19"/>
                <w:szCs w:val="19"/>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(429)</w:t>
            </w:r>
          </w:p>
        </w:tc>
        <w:tc>
          <w:tcPr>
            <w:tcW w:w="10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(512)</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420" w:type="dxa"/>
            <w:vAlign w:val="bottom"/>
          </w:tcPr>
          <w:p>
            <w:pPr>
              <w:spacing w:after="0"/>
              <w:rPr>
                <w:sz w:val="8"/>
                <w:szCs w:val="8"/>
                <w:color w:val="auto"/>
              </w:rPr>
            </w:pPr>
          </w:p>
        </w:tc>
        <w:tc>
          <w:tcPr>
            <w:tcW w:w="20" w:type="dxa"/>
            <w:vAlign w:val="bottom"/>
          </w:tcPr>
          <w:p>
            <w:pPr>
              <w:spacing w:after="0"/>
              <w:rPr>
                <w:sz w:val="8"/>
                <w:szCs w:val="8"/>
                <w:color w:val="auto"/>
              </w:rPr>
            </w:pPr>
          </w:p>
        </w:tc>
        <w:tc>
          <w:tcPr>
            <w:tcW w:w="150" w:type="dxa"/>
            <w:vAlign w:val="bottom"/>
            <w:tcBorders>
              <w:bottom w:val="single" w:sz="8" w:color="auto"/>
            </w:tcBorders>
          </w:tcPr>
          <w:p>
            <w:pPr>
              <w:spacing w:after="0"/>
              <w:rPr>
                <w:sz w:val="8"/>
                <w:szCs w:val="8"/>
                <w:color w:val="auto"/>
              </w:rPr>
            </w:pPr>
          </w:p>
        </w:tc>
        <w:tc>
          <w:tcPr>
            <w:tcW w:w="49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420" w:type="dxa"/>
            <w:vAlign w:val="bottom"/>
          </w:tcPr>
          <w:p>
            <w:pPr>
              <w:spacing w:after="0"/>
              <w:rPr>
                <w:sz w:val="8"/>
                <w:szCs w:val="8"/>
                <w:color w:val="auto"/>
              </w:rPr>
            </w:pPr>
          </w:p>
        </w:tc>
        <w:tc>
          <w:tcPr>
            <w:tcW w:w="20" w:type="dxa"/>
            <w:vAlign w:val="bottom"/>
          </w:tcPr>
          <w:p>
            <w:pPr>
              <w:spacing w:after="0"/>
              <w:rPr>
                <w:sz w:val="8"/>
                <w:szCs w:val="8"/>
                <w:color w:val="auto"/>
              </w:rPr>
            </w:pPr>
          </w:p>
        </w:tc>
        <w:tc>
          <w:tcPr>
            <w:tcW w:w="150" w:type="dxa"/>
            <w:vAlign w:val="bottom"/>
          </w:tcPr>
          <w:p>
            <w:pPr>
              <w:spacing w:after="0"/>
              <w:rPr>
                <w:sz w:val="8"/>
                <w:szCs w:val="8"/>
                <w:color w:val="auto"/>
              </w:rPr>
            </w:pPr>
          </w:p>
        </w:tc>
        <w:tc>
          <w:tcPr>
            <w:tcW w:w="49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Balance at June 29, 2003</w:t>
            </w:r>
          </w:p>
        </w:tc>
        <w:tc>
          <w:tcPr>
            <w:tcW w:w="17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4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1,157</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4,838</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4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50" w:type="dxa"/>
            <w:vAlign w:val="bottom"/>
            <w:tcBorders>
              <w:bottom w:val="single" w:sz="8" w:color="auto"/>
            </w:tcBorders>
          </w:tcPr>
          <w:p>
            <w:pPr>
              <w:spacing w:after="0"/>
              <w:rPr>
                <w:sz w:val="11"/>
                <w:szCs w:val="11"/>
                <w:color w:val="auto"/>
              </w:rPr>
            </w:pPr>
          </w:p>
        </w:tc>
        <w:tc>
          <w:tcPr>
            <w:tcW w:w="49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3458845</wp:posOffset>
            </wp:positionH>
            <wp:positionV relativeFrom="paragraph">
              <wp:posOffset>-1495425</wp:posOffset>
            </wp:positionV>
            <wp:extent cx="12700" cy="298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3553460</wp:posOffset>
            </wp:positionH>
            <wp:positionV relativeFrom="paragraph">
              <wp:posOffset>-1495425</wp:posOffset>
            </wp:positionV>
            <wp:extent cx="21590" cy="298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3862070</wp:posOffset>
            </wp:positionH>
            <wp:positionV relativeFrom="paragraph">
              <wp:posOffset>-1495425</wp:posOffset>
            </wp:positionV>
            <wp:extent cx="38735" cy="298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-1495425</wp:posOffset>
            </wp:positionV>
            <wp:extent cx="12700" cy="298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-1495425</wp:posOffset>
            </wp:positionV>
            <wp:extent cx="12700" cy="298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4204970</wp:posOffset>
            </wp:positionH>
            <wp:positionV relativeFrom="paragraph">
              <wp:posOffset>-1495425</wp:posOffset>
            </wp:positionV>
            <wp:extent cx="21590" cy="298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-1495425</wp:posOffset>
            </wp:positionV>
            <wp:extent cx="12700" cy="298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-1495425</wp:posOffset>
            </wp:positionV>
            <wp:extent cx="12700" cy="298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-1495425</wp:posOffset>
            </wp:positionV>
            <wp:extent cx="21590" cy="298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-1495425</wp:posOffset>
            </wp:positionV>
            <wp:extent cx="12700" cy="298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-1495425</wp:posOffset>
            </wp:positionV>
            <wp:extent cx="21590" cy="298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-1495425</wp:posOffset>
            </wp:positionV>
            <wp:extent cx="38735" cy="298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-1495425</wp:posOffset>
            </wp:positionV>
            <wp:extent cx="12700" cy="298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6100445</wp:posOffset>
            </wp:positionH>
            <wp:positionV relativeFrom="paragraph">
              <wp:posOffset>-1495425</wp:posOffset>
            </wp:positionV>
            <wp:extent cx="21590" cy="298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-1495425</wp:posOffset>
            </wp:positionV>
            <wp:extent cx="38735" cy="298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-1495425</wp:posOffset>
            </wp:positionV>
            <wp:extent cx="12700" cy="298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6803390</wp:posOffset>
            </wp:positionH>
            <wp:positionV relativeFrom="paragraph">
              <wp:posOffset>-1495425</wp:posOffset>
            </wp:positionV>
            <wp:extent cx="21590" cy="298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-1495425</wp:posOffset>
            </wp:positionV>
            <wp:extent cx="38735" cy="298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3458845</wp:posOffset>
            </wp:positionH>
            <wp:positionV relativeFrom="paragraph">
              <wp:posOffset>-29210</wp:posOffset>
            </wp:positionV>
            <wp:extent cx="12700" cy="298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3553460</wp:posOffset>
            </wp:positionH>
            <wp:positionV relativeFrom="paragraph">
              <wp:posOffset>-29210</wp:posOffset>
            </wp:positionV>
            <wp:extent cx="21590" cy="298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3862070</wp:posOffset>
            </wp:positionH>
            <wp:positionV relativeFrom="paragraph">
              <wp:posOffset>-29210</wp:posOffset>
            </wp:positionV>
            <wp:extent cx="38735" cy="298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-29210</wp:posOffset>
            </wp:positionV>
            <wp:extent cx="12700" cy="298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-29210</wp:posOffset>
            </wp:positionV>
            <wp:extent cx="12700" cy="298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4204970</wp:posOffset>
            </wp:positionH>
            <wp:positionV relativeFrom="paragraph">
              <wp:posOffset>-29210</wp:posOffset>
            </wp:positionV>
            <wp:extent cx="21590" cy="298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-29210</wp:posOffset>
            </wp:positionV>
            <wp:extent cx="12700" cy="298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-29210</wp:posOffset>
            </wp:positionV>
            <wp:extent cx="12700" cy="298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-29210</wp:posOffset>
            </wp:positionV>
            <wp:extent cx="21590" cy="298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-29210</wp:posOffset>
            </wp:positionV>
            <wp:extent cx="12700" cy="298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-29210</wp:posOffset>
            </wp:positionV>
            <wp:extent cx="21590" cy="298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-29210</wp:posOffset>
            </wp:positionV>
            <wp:extent cx="38735" cy="298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-29210</wp:posOffset>
            </wp:positionV>
            <wp:extent cx="12700" cy="298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6100445</wp:posOffset>
            </wp:positionH>
            <wp:positionV relativeFrom="paragraph">
              <wp:posOffset>-29210</wp:posOffset>
            </wp:positionV>
            <wp:extent cx="21590" cy="298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-29210</wp:posOffset>
            </wp:positionV>
            <wp:extent cx="38735" cy="298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-29210</wp:posOffset>
            </wp:positionV>
            <wp:extent cx="12700" cy="298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6803390</wp:posOffset>
            </wp:positionH>
            <wp:positionV relativeFrom="paragraph">
              <wp:posOffset>-29210</wp:posOffset>
            </wp:positionV>
            <wp:extent cx="21590" cy="298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-29210</wp:posOffset>
            </wp:positionV>
            <wp:extent cx="38735" cy="298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Company’s indefinite-lived intangible assets increased $1.5 million during the first six months of 2003 due to an acquisition by the cable division.</w:t>
      </w:r>
    </w:p>
    <w:p>
      <w:pPr>
        <w:spacing w:after="0" w:line="181"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As required under SFAS 142, the Company completed its transitional impairment review of indefinite-lived intangible assets and goodwill in 2002. The expected future cash flows for PostNewsweek Tech Media (part of the magazine publishing segment), on a discounted basis, did not support the net carrying value of the related goodwill. Accordingly, an after-tax goodwill impairment loss of $12.1 million, or $1.27 per share was recorded. The loss is included in the Company’s 2002 year-to-date results as a cumulative effect of change in accounting principle</w:t>
      </w:r>
    </w:p>
    <w:p>
      <w:pPr>
        <w:spacing w:after="0" w:line="1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Note 6: Change in Accounting Method—Stock Options</w:t>
      </w:r>
    </w:p>
    <w:p>
      <w:pPr>
        <w:spacing w:after="0" w:line="77"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Effective the first day of the Company’s 2002 fiscal year, the Company adopted the fair-value-based method of accounting for Company stock options as outlined in Statement of Financial Accounting Standards No. 123, “Accounting for Stock-Based Compensation” (SFAS 123). This change in accounting method was applied prospectively to all awards granted from the beginning of the Company’s fiscal year 2002 and thereafter. Stock options awarded prior to fiscal 2002 are accounted for under the intrinsic value method under Accounting Principles Board Opinion No. 25, “Accounting for Stock Issued to Employees.” The following table presents what the Company’s results would have been had the fair values of options granted after 1995, but prior to 2002, been recognized as compensation expense in the second quarter and first six-months of 2003 and 2002 (in thousands, except per share amounts).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63" w:right="2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920" w:type="dxa"/>
            <w:vAlign w:val="bottom"/>
          </w:tcPr>
          <w:p>
            <w:pPr>
              <w:spacing w:after="0"/>
              <w:rPr>
                <w:sz w:val="15"/>
                <w:szCs w:val="15"/>
                <w:color w:val="auto"/>
              </w:rPr>
            </w:pPr>
          </w:p>
        </w:tc>
        <w:tc>
          <w:tcPr>
            <w:tcW w:w="90" w:type="dxa"/>
            <w:vAlign w:val="bottom"/>
          </w:tcPr>
          <w:p>
            <w:pPr>
              <w:spacing w:after="0"/>
              <w:rPr>
                <w:sz w:val="15"/>
                <w:szCs w:val="15"/>
                <w:color w:val="auto"/>
              </w:rPr>
            </w:pPr>
          </w:p>
        </w:tc>
        <w:tc>
          <w:tcPr>
            <w:tcW w:w="1430" w:type="dxa"/>
            <w:vAlign w:val="bottom"/>
            <w:gridSpan w:val="5"/>
          </w:tcPr>
          <w:p>
            <w:pPr>
              <w:jc w:val="right"/>
              <w:ind w:right="254"/>
              <w:spacing w:after="0"/>
              <w:rPr>
                <w:sz w:val="20"/>
                <w:szCs w:val="20"/>
                <w:color w:val="auto"/>
              </w:rPr>
            </w:pPr>
            <w:r>
              <w:rPr>
                <w:rFonts w:ascii="Arial" w:cs="Arial" w:eastAsia="Arial" w:hAnsi="Arial"/>
                <w:sz w:val="14"/>
                <w:szCs w:val="14"/>
                <w:b w:val="1"/>
                <w:bCs w:val="1"/>
                <w:color w:val="auto"/>
              </w:rPr>
              <w:t>Quarter ended</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gridSpan w:val="6"/>
          </w:tcPr>
          <w:p>
            <w:pPr>
              <w:ind w:left="200"/>
              <w:spacing w:after="0"/>
              <w:rPr>
                <w:sz w:val="20"/>
                <w:szCs w:val="20"/>
                <w:color w:val="auto"/>
              </w:rPr>
            </w:pPr>
            <w:r>
              <w:rPr>
                <w:rFonts w:ascii="Arial" w:cs="Arial" w:eastAsia="Arial" w:hAnsi="Arial"/>
                <w:sz w:val="14"/>
                <w:szCs w:val="14"/>
                <w:b w:val="1"/>
                <w:bCs w:val="1"/>
                <w:color w:val="auto"/>
              </w:rPr>
              <w:t>Six-months ended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920" w:type="dxa"/>
            <w:vAlign w:val="bottom"/>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49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gridSpan w:val="2"/>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920" w:type="dxa"/>
            <w:vAlign w:val="bottom"/>
          </w:tcPr>
          <w:p>
            <w:pPr>
              <w:spacing w:after="0"/>
              <w:rPr>
                <w:sz w:val="20"/>
                <w:szCs w:val="20"/>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b w:val="1"/>
                <w:bCs w:val="1"/>
                <w:color w:val="auto"/>
                <w:w w:val="92"/>
              </w:rPr>
              <w:t>June 29,</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gridSpan w:val="2"/>
          </w:tcPr>
          <w:p>
            <w:pPr>
              <w:jc w:val="right"/>
              <w:spacing w:after="0"/>
              <w:rPr>
                <w:sz w:val="20"/>
                <w:szCs w:val="20"/>
                <w:color w:val="auto"/>
              </w:rPr>
            </w:pPr>
            <w:r>
              <w:rPr>
                <w:rFonts w:ascii="Arial" w:cs="Arial" w:eastAsia="Arial" w:hAnsi="Arial"/>
                <w:sz w:val="14"/>
                <w:szCs w:val="14"/>
                <w:b w:val="1"/>
                <w:bCs w:val="1"/>
                <w:color w:val="auto"/>
                <w:w w:val="92"/>
              </w:rPr>
              <w:t>June 30,</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ind w:right="18"/>
              <w:spacing w:after="0"/>
              <w:rPr>
                <w:sz w:val="20"/>
                <w:szCs w:val="20"/>
                <w:color w:val="auto"/>
              </w:rPr>
            </w:pPr>
            <w:r>
              <w:rPr>
                <w:rFonts w:ascii="Arial" w:cs="Arial" w:eastAsia="Arial" w:hAnsi="Arial"/>
                <w:sz w:val="14"/>
                <w:szCs w:val="14"/>
                <w:b w:val="1"/>
                <w:bCs w:val="1"/>
                <w:color w:val="auto"/>
                <w:w w:val="82"/>
              </w:rPr>
              <w:t>June 29,</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20" w:type="dxa"/>
            <w:vAlign w:val="bottom"/>
            <w:gridSpan w:val="3"/>
          </w:tcPr>
          <w:p>
            <w:pPr>
              <w:ind w:left="60"/>
              <w:spacing w:after="0"/>
              <w:rPr>
                <w:sz w:val="20"/>
                <w:szCs w:val="20"/>
                <w:color w:val="auto"/>
              </w:rPr>
            </w:pPr>
            <w:r>
              <w:rPr>
                <w:rFonts w:ascii="Arial" w:cs="Arial" w:eastAsia="Arial" w:hAnsi="Arial"/>
                <w:sz w:val="14"/>
                <w:szCs w:val="14"/>
                <w:b w:val="1"/>
                <w:bCs w:val="1"/>
                <w:color w:val="auto"/>
                <w:w w:val="96"/>
              </w:rPr>
              <w:t>June 30,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920" w:type="dxa"/>
            <w:vAlign w:val="bottom"/>
          </w:tcPr>
          <w:p>
            <w:pPr>
              <w:spacing w:after="0"/>
              <w:rPr>
                <w:sz w:val="15"/>
                <w:szCs w:val="15"/>
                <w:color w:val="auto"/>
              </w:rPr>
            </w:pPr>
          </w:p>
        </w:tc>
        <w:tc>
          <w:tcPr>
            <w:tcW w:w="90" w:type="dxa"/>
            <w:vAlign w:val="bottom"/>
          </w:tcPr>
          <w:p>
            <w:pPr>
              <w:spacing w:after="0"/>
              <w:rPr>
                <w:sz w:val="15"/>
                <w:szCs w:val="15"/>
                <w:color w:val="auto"/>
              </w:rPr>
            </w:pPr>
          </w:p>
        </w:tc>
        <w:tc>
          <w:tcPr>
            <w:tcW w:w="490" w:type="dxa"/>
            <w:vAlign w:val="bottom"/>
          </w:tcPr>
          <w:p>
            <w:pPr>
              <w:jc w:val="right"/>
              <w:ind w:right="76"/>
              <w:spacing w:after="0"/>
              <w:rPr>
                <w:sz w:val="20"/>
                <w:szCs w:val="20"/>
                <w:color w:val="auto"/>
              </w:rPr>
            </w:pPr>
            <w:r>
              <w:rPr>
                <w:rFonts w:ascii="Arial" w:cs="Arial" w:eastAsia="Arial" w:hAnsi="Arial"/>
                <w:sz w:val="14"/>
                <w:szCs w:val="14"/>
                <w:b w:val="1"/>
                <w:bCs w:val="1"/>
                <w:color w:val="auto"/>
                <w:w w:val="96"/>
              </w:rPr>
              <w:t>2003</w:t>
            </w: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jc w:val="right"/>
              <w:ind w:right="74"/>
              <w:spacing w:after="0"/>
              <w:rPr>
                <w:sz w:val="20"/>
                <w:szCs w:val="20"/>
                <w:color w:val="auto"/>
              </w:rPr>
            </w:pPr>
            <w:r>
              <w:rPr>
                <w:rFonts w:ascii="Arial" w:cs="Arial" w:eastAsia="Arial" w:hAnsi="Arial"/>
                <w:sz w:val="14"/>
                <w:szCs w:val="14"/>
                <w:b w:val="1"/>
                <w:bCs w:val="1"/>
                <w:color w:val="auto"/>
                <w:w w:val="96"/>
              </w:rPr>
              <w:t>2002</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ind w:right="118"/>
              <w:spacing w:after="0"/>
              <w:rPr>
                <w:sz w:val="20"/>
                <w:szCs w:val="20"/>
                <w:color w:val="auto"/>
              </w:rPr>
            </w:pPr>
            <w:r>
              <w:rPr>
                <w:rFonts w:ascii="Arial" w:cs="Arial" w:eastAsia="Arial" w:hAnsi="Arial"/>
                <w:sz w:val="14"/>
                <w:szCs w:val="14"/>
                <w:b w:val="1"/>
                <w:bCs w:val="1"/>
                <w:color w:val="auto"/>
              </w:rPr>
              <w:t>2003</w:t>
            </w: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jc w:val="right"/>
              <w:ind w:right="74"/>
              <w:spacing w:after="0"/>
              <w:rPr>
                <w:sz w:val="20"/>
                <w:szCs w:val="20"/>
                <w:color w:val="auto"/>
              </w:rPr>
            </w:pPr>
            <w:r>
              <w:rPr>
                <w:rFonts w:ascii="Arial" w:cs="Arial" w:eastAsia="Arial" w:hAnsi="Arial"/>
                <w:sz w:val="14"/>
                <w:szCs w:val="14"/>
                <w:b w:val="1"/>
                <w:bCs w:val="1"/>
                <w:color w:val="auto"/>
                <w:w w:val="96"/>
              </w:rPr>
              <w:t>2002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920" w:type="dxa"/>
            <w:vAlign w:val="bottom"/>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49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920" w:type="dxa"/>
            <w:vAlign w:val="bottom"/>
          </w:tcPr>
          <w:p>
            <w:pPr>
              <w:spacing w:after="0"/>
              <w:rPr>
                <w:sz w:val="8"/>
                <w:szCs w:val="8"/>
                <w:color w:val="auto"/>
              </w:rPr>
            </w:pPr>
          </w:p>
        </w:tc>
        <w:tc>
          <w:tcPr>
            <w:tcW w:w="90" w:type="dxa"/>
            <w:vAlign w:val="bottom"/>
          </w:tcPr>
          <w:p>
            <w:pPr>
              <w:spacing w:after="0"/>
              <w:rPr>
                <w:sz w:val="8"/>
                <w:szCs w:val="8"/>
                <w:color w:val="auto"/>
              </w:rPr>
            </w:pPr>
          </w:p>
        </w:tc>
        <w:tc>
          <w:tcPr>
            <w:tcW w:w="49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Company stock-based compensation expense included in net income (pre-tax)</w:t>
            </w:r>
          </w:p>
        </w:tc>
        <w:tc>
          <w:tcPr>
            <w:tcW w:w="9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92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49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920" w:type="dxa"/>
            <w:vAlign w:val="bottom"/>
          </w:tcPr>
          <w:p>
            <w:pPr>
              <w:spacing w:after="0"/>
              <w:rPr>
                <w:sz w:val="8"/>
                <w:szCs w:val="8"/>
                <w:color w:val="auto"/>
              </w:rPr>
            </w:pPr>
          </w:p>
        </w:tc>
        <w:tc>
          <w:tcPr>
            <w:tcW w:w="90" w:type="dxa"/>
            <w:vAlign w:val="bottom"/>
          </w:tcPr>
          <w:p>
            <w:pPr>
              <w:spacing w:after="0"/>
              <w:rPr>
                <w:sz w:val="8"/>
                <w:szCs w:val="8"/>
                <w:color w:val="auto"/>
              </w:rPr>
            </w:pPr>
          </w:p>
        </w:tc>
        <w:tc>
          <w:tcPr>
            <w:tcW w:w="49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Net income available for common shares, as reported</w:t>
            </w:r>
          </w:p>
        </w:tc>
        <w:tc>
          <w:tcPr>
            <w:tcW w:w="9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9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60,390</w:t>
            </w:r>
          </w:p>
        </w:tc>
        <w:tc>
          <w:tcPr>
            <w:tcW w:w="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50,885</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132,935</w:t>
            </w:r>
          </w:p>
        </w:tc>
        <w:tc>
          <w:tcPr>
            <w:tcW w:w="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61,966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Stock-based compensation expense not included in net income (after-tax)</w:t>
            </w:r>
          </w:p>
        </w:tc>
        <w:tc>
          <w:tcPr>
            <w:tcW w:w="90" w:type="dxa"/>
            <w:vAlign w:val="bottom"/>
          </w:tcPr>
          <w:p>
            <w:pPr>
              <w:spacing w:after="0"/>
              <w:rPr>
                <w:sz w:val="19"/>
                <w:szCs w:val="19"/>
                <w:color w:val="auto"/>
              </w:rPr>
            </w:pPr>
          </w:p>
        </w:tc>
        <w:tc>
          <w:tcPr>
            <w:tcW w:w="490" w:type="dxa"/>
            <w:vAlign w:val="bottom"/>
          </w:tcPr>
          <w:p>
            <w:pPr>
              <w:jc w:val="right"/>
              <w:spacing w:after="0"/>
              <w:rPr>
                <w:sz w:val="20"/>
                <w:szCs w:val="20"/>
                <w:color w:val="auto"/>
              </w:rPr>
            </w:pPr>
            <w:r>
              <w:rPr>
                <w:rFonts w:ascii="Arial" w:cs="Arial" w:eastAsia="Arial" w:hAnsi="Arial"/>
                <w:sz w:val="18"/>
                <w:szCs w:val="18"/>
                <w:color w:val="auto"/>
              </w:rPr>
              <w:t>790</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904</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1,580</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1,809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920" w:type="dxa"/>
            <w:vAlign w:val="bottom"/>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49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920" w:type="dxa"/>
            <w:vAlign w:val="bottom"/>
          </w:tcPr>
          <w:p>
            <w:pPr>
              <w:spacing w:after="0"/>
              <w:rPr>
                <w:sz w:val="8"/>
                <w:szCs w:val="8"/>
                <w:color w:val="auto"/>
              </w:rPr>
            </w:pPr>
          </w:p>
        </w:tc>
        <w:tc>
          <w:tcPr>
            <w:tcW w:w="90" w:type="dxa"/>
            <w:vAlign w:val="bottom"/>
          </w:tcPr>
          <w:p>
            <w:pPr>
              <w:spacing w:after="0"/>
              <w:rPr>
                <w:sz w:val="8"/>
                <w:szCs w:val="8"/>
                <w:color w:val="auto"/>
              </w:rPr>
            </w:pPr>
          </w:p>
        </w:tc>
        <w:tc>
          <w:tcPr>
            <w:tcW w:w="49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Pro forma net income available for common shares</w:t>
            </w:r>
          </w:p>
        </w:tc>
        <w:tc>
          <w:tcPr>
            <w:tcW w:w="9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9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59,600</w:t>
            </w:r>
          </w:p>
        </w:tc>
        <w:tc>
          <w:tcPr>
            <w:tcW w:w="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49,981</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131,355</w:t>
            </w:r>
          </w:p>
        </w:tc>
        <w:tc>
          <w:tcPr>
            <w:tcW w:w="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60,157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920" w:type="dxa"/>
            <w:vAlign w:val="bottom"/>
          </w:tcPr>
          <w:p>
            <w:pPr>
              <w:spacing w:after="0"/>
              <w:rPr>
                <w:sz w:val="11"/>
                <w:szCs w:val="11"/>
                <w:color w:val="auto"/>
              </w:rPr>
            </w:pPr>
          </w:p>
        </w:tc>
        <w:tc>
          <w:tcPr>
            <w:tcW w:w="90" w:type="dxa"/>
            <w:vAlign w:val="bottom"/>
            <w:tcBorders>
              <w:bottom w:val="single" w:sz="8" w:color="auto"/>
            </w:tcBorders>
          </w:tcPr>
          <w:p>
            <w:pPr>
              <w:spacing w:after="0"/>
              <w:rPr>
                <w:sz w:val="11"/>
                <w:szCs w:val="11"/>
                <w:color w:val="auto"/>
              </w:rPr>
            </w:pPr>
          </w:p>
        </w:tc>
        <w:tc>
          <w:tcPr>
            <w:tcW w:w="49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920" w:type="dxa"/>
            <w:vAlign w:val="bottom"/>
          </w:tcPr>
          <w:p>
            <w:pPr>
              <w:spacing w:after="0"/>
              <w:rPr>
                <w:sz w:val="9"/>
                <w:szCs w:val="9"/>
                <w:color w:val="auto"/>
              </w:rPr>
            </w:pPr>
          </w:p>
        </w:tc>
        <w:tc>
          <w:tcPr>
            <w:tcW w:w="90" w:type="dxa"/>
            <w:vAlign w:val="bottom"/>
          </w:tcPr>
          <w:p>
            <w:pPr>
              <w:spacing w:after="0"/>
              <w:rPr>
                <w:sz w:val="9"/>
                <w:szCs w:val="9"/>
                <w:color w:val="auto"/>
              </w:rPr>
            </w:pPr>
          </w:p>
        </w:tc>
        <w:tc>
          <w:tcPr>
            <w:tcW w:w="490" w:type="dxa"/>
            <w:vAlign w:val="bottom"/>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 as reported</w:t>
            </w:r>
          </w:p>
        </w:tc>
        <w:tc>
          <w:tcPr>
            <w:tcW w:w="9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w:t>
            </w:r>
          </w:p>
        </w:tc>
        <w:tc>
          <w:tcPr>
            <w:tcW w:w="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13.95</w:t>
            </w:r>
          </w:p>
        </w:tc>
        <w:tc>
          <w:tcPr>
            <w:tcW w:w="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Pro forma basic earnings per share</w:t>
            </w:r>
          </w:p>
        </w:tc>
        <w:tc>
          <w:tcPr>
            <w:tcW w:w="9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90" w:type="dxa"/>
            <w:vAlign w:val="bottom"/>
          </w:tcPr>
          <w:p>
            <w:pPr>
              <w:jc w:val="right"/>
              <w:spacing w:after="0"/>
              <w:rPr>
                <w:sz w:val="20"/>
                <w:szCs w:val="20"/>
                <w:color w:val="auto"/>
              </w:rPr>
            </w:pPr>
            <w:r>
              <w:rPr>
                <w:rFonts w:ascii="Arial" w:cs="Arial" w:eastAsia="Arial" w:hAnsi="Arial"/>
                <w:sz w:val="18"/>
                <w:szCs w:val="18"/>
                <w:color w:val="auto"/>
              </w:rPr>
              <w:t>6.26</w:t>
            </w:r>
          </w:p>
        </w:tc>
        <w:tc>
          <w:tcPr>
            <w:tcW w:w="4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5.26</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13.79</w:t>
            </w:r>
          </w:p>
        </w:tc>
        <w:tc>
          <w:tcPr>
            <w:tcW w:w="4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6.33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share, as reported</w:t>
            </w:r>
          </w:p>
        </w:tc>
        <w:tc>
          <w:tcPr>
            <w:tcW w:w="9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w:t>
            </w:r>
          </w:p>
        </w:tc>
        <w:tc>
          <w:tcPr>
            <w:tcW w:w="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13.91</w:t>
            </w:r>
          </w:p>
        </w:tc>
        <w:tc>
          <w:tcPr>
            <w:tcW w:w="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Pro forma diluted earnings per share</w:t>
            </w:r>
          </w:p>
        </w:tc>
        <w:tc>
          <w:tcPr>
            <w:tcW w:w="9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90" w:type="dxa"/>
            <w:vAlign w:val="bottom"/>
          </w:tcPr>
          <w:p>
            <w:pPr>
              <w:jc w:val="right"/>
              <w:spacing w:after="0"/>
              <w:rPr>
                <w:sz w:val="20"/>
                <w:szCs w:val="20"/>
                <w:color w:val="auto"/>
              </w:rPr>
            </w:pPr>
            <w:r>
              <w:rPr>
                <w:rFonts w:ascii="Arial" w:cs="Arial" w:eastAsia="Arial" w:hAnsi="Arial"/>
                <w:sz w:val="18"/>
                <w:szCs w:val="18"/>
                <w:color w:val="auto"/>
              </w:rPr>
              <w:t>6.24</w:t>
            </w:r>
          </w:p>
        </w:tc>
        <w:tc>
          <w:tcPr>
            <w:tcW w:w="4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5.25</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13.75</w:t>
            </w:r>
          </w:p>
        </w:tc>
        <w:tc>
          <w:tcPr>
            <w:tcW w:w="4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6.32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-648335</wp:posOffset>
            </wp:positionV>
            <wp:extent cx="12700" cy="298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-648335</wp:posOffset>
            </wp:positionV>
            <wp:extent cx="12700" cy="298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-648335</wp:posOffset>
            </wp:positionV>
            <wp:extent cx="21590" cy="298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-648335</wp:posOffset>
            </wp:positionV>
            <wp:extent cx="381635" cy="298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381635" cy="29845"/>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-648335</wp:posOffset>
            </wp:positionV>
            <wp:extent cx="12700" cy="298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6649085</wp:posOffset>
            </wp:positionH>
            <wp:positionV relativeFrom="paragraph">
              <wp:posOffset>-648335</wp:posOffset>
            </wp:positionV>
            <wp:extent cx="12700" cy="298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6280785</wp:posOffset>
            </wp:positionH>
            <wp:positionV relativeFrom="paragraph">
              <wp:posOffset>-648335</wp:posOffset>
            </wp:positionV>
            <wp:extent cx="21590" cy="298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6871970</wp:posOffset>
            </wp:positionH>
            <wp:positionV relativeFrom="paragraph">
              <wp:posOffset>-648335</wp:posOffset>
            </wp:positionV>
            <wp:extent cx="381635" cy="298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381635" cy="29845"/>
                    </a:xfrm>
                    <a:prstGeom prst="rect">
                      <a:avLst/>
                    </a:prstGeom>
                    <a:noFill/>
                  </pic:spPr>
                </pic:pic>
              </a:graphicData>
            </a:graphic>
          </wp:anchor>
        </w:drawing>
      </w:r>
    </w:p>
    <w:p>
      <w:pPr>
        <w:spacing w:after="0" w:line="114"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Note 7: Antidilutive Securities</w:t>
      </w:r>
    </w:p>
    <w:p>
      <w:pPr>
        <w:spacing w:after="0" w:line="77" w:lineRule="exact"/>
        <w:rPr>
          <w:sz w:val="20"/>
          <w:szCs w:val="20"/>
          <w:color w:val="auto"/>
        </w:rPr>
      </w:pPr>
    </w:p>
    <w:p>
      <w:pPr>
        <w:jc w:val="both"/>
        <w:ind w:right="40"/>
        <w:spacing w:after="0" w:line="268" w:lineRule="auto"/>
        <w:rPr>
          <w:sz w:val="20"/>
          <w:szCs w:val="20"/>
          <w:color w:val="auto"/>
        </w:rPr>
      </w:pPr>
      <w:r>
        <w:rPr>
          <w:rFonts w:ascii="Arial" w:cs="Arial" w:eastAsia="Arial" w:hAnsi="Arial"/>
          <w:sz w:val="18"/>
          <w:szCs w:val="18"/>
          <w:color w:val="auto"/>
        </w:rPr>
        <w:t>The second quarter 2003 diluted earnings per share amount excludes the effects of 11,500 stock options outstanding as their inclusion would be antidilutive (there were no antidilutive stock options outstanding during the second quarter of 2002).</w:t>
      </w:r>
    </w:p>
    <w:p>
      <w:pPr>
        <w:spacing w:after="0" w:line="118"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The year-to-date 2003 and 2002 diluted earnings per share amounts exclude the effects of 11,500 and 1,000 stock options outstanding, respectively, as their inclusion would be antidilutive.</w:t>
      </w:r>
    </w:p>
    <w:p>
      <w:pPr>
        <w:spacing w:after="0" w:line="118"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Note 8: Pension Plan Amendment</w:t>
      </w:r>
    </w:p>
    <w:p>
      <w:pPr>
        <w:spacing w:after="0" w:line="77" w:lineRule="exact"/>
        <w:rPr>
          <w:sz w:val="20"/>
          <w:szCs w:val="20"/>
          <w:color w:val="auto"/>
        </w:rPr>
      </w:pPr>
    </w:p>
    <w:p>
      <w:pPr>
        <w:ind w:right="280"/>
        <w:spacing w:after="0" w:line="332" w:lineRule="auto"/>
        <w:rPr>
          <w:sz w:val="20"/>
          <w:szCs w:val="20"/>
          <w:color w:val="auto"/>
        </w:rPr>
      </w:pPr>
      <w:r>
        <w:rPr>
          <w:rFonts w:ascii="Arial" w:cs="Arial" w:eastAsia="Arial" w:hAnsi="Arial"/>
          <w:sz w:val="16"/>
          <w:szCs w:val="16"/>
          <w:color w:val="auto"/>
        </w:rPr>
        <w:t>Effective June 1, 2003, the retirement pension program for certain employees at the Post was amended and provides for increased annuity payments for vested employees retiring after this date. This plan amendment was not significant to the newspaper division results for the second quarter of 2003.</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75" w:right="239" w:bottom="1440" w:gutter="0" w:footer="0" w:header="0"/>
        </w:sectPr>
      </w:pPr>
    </w:p>
    <w:bookmarkStart w:id="14" w:name="page15"/>
    <w:bookmarkEnd w:id="14"/>
    <w:p>
      <w:pPr>
        <w:ind w:right="3780"/>
        <w:spacing w:after="0" w:line="455" w:lineRule="auto"/>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Item 2. Management’s Discussion and Analysis of Results of Operations and Financial Condition </w:t>
      </w:r>
      <w:r>
        <w:rPr>
          <w:rFonts w:ascii="Arial" w:cs="Arial" w:eastAsia="Arial" w:hAnsi="Arial"/>
          <w:sz w:val="15"/>
          <w:szCs w:val="15"/>
          <w:color w:val="auto"/>
        </w:rPr>
        <w:t>This analysis should be read in conjunction with the consolidated financial statements and the notes thereto.</w:t>
      </w:r>
    </w:p>
    <w:p>
      <w:pPr>
        <w:ind w:right="740"/>
        <w:spacing w:after="0" w:line="268" w:lineRule="auto"/>
        <w:rPr>
          <w:sz w:val="20"/>
          <w:szCs w:val="20"/>
          <w:color w:val="auto"/>
        </w:rPr>
      </w:pPr>
      <w:r>
        <w:rPr>
          <w:rFonts w:ascii="Arial" w:cs="Arial" w:eastAsia="Arial" w:hAnsi="Arial"/>
          <w:sz w:val="18"/>
          <w:szCs w:val="18"/>
          <w:color w:val="auto"/>
        </w:rPr>
        <w:t>Revenues and expenses in the first and third quarters are customarily lower than those in the second and fourth quarters because of significant seasonal fluctuations in advertising volume.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83"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Net income for the second quarter of 2003 was $60.6 million ($6.32 per share), up from net income of $51.1 million ($5.34 per share) for the second quarter of last year.</w:t>
      </w:r>
    </w:p>
    <w:p>
      <w:pPr>
        <w:spacing w:after="0" w:line="118"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Results for the second quarter of 2003 include an early retirement program charge at The Washington Post newspaper (after-tax impact of $1.3 million, or $0.14 per share). Results for the second quarter of 2002 included net losses on the write-down of certain investments (after-tax impact of $3.3 million, or $0.34 per share) and an early retirement program charge at Newsweek (after-tax impact of $1.6 million, or $0.17 per share).</w:t>
      </w:r>
    </w:p>
    <w:p>
      <w:pPr>
        <w:spacing w:after="0" w:line="93"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Revenue for the second quarter of 2003 was $706.9 million, up 9 percent from $647.7 million in 2002. The increase in revenue is due mostly to significant revenue growth at the education division. Revenues at the Company’s cable, newspaper publishing, and magazine publishing divisions also increased for the second quarter of 2003, while revenues were down at the broadcast division.</w:t>
      </w:r>
    </w:p>
    <w:p>
      <w:pPr>
        <w:spacing w:after="0" w:line="127" w:lineRule="exact"/>
        <w:rPr>
          <w:sz w:val="20"/>
          <w:szCs w:val="20"/>
          <w:color w:val="auto"/>
        </w:rPr>
      </w:pPr>
    </w:p>
    <w:p>
      <w:pPr>
        <w:spacing w:after="0" w:line="335" w:lineRule="auto"/>
        <w:rPr>
          <w:sz w:val="20"/>
          <w:szCs w:val="20"/>
          <w:color w:val="auto"/>
        </w:rPr>
      </w:pPr>
      <w:r>
        <w:rPr>
          <w:rFonts w:ascii="Arial" w:cs="Arial" w:eastAsia="Arial" w:hAnsi="Arial"/>
          <w:sz w:val="15"/>
          <w:szCs w:val="15"/>
          <w:color w:val="auto"/>
        </w:rPr>
        <w:t>Operating income for the quarter was down 3 percent for the second quarter of 2003 to $106.9 million, from $110.4 million in 2002. The Company’s results were adversely impacted by the sluggish economy, certain incremental costs due to the war in Iraq, increased depreciation expense, higher stock-based compensation expense accruals at the education division, and a reduced net pension credit, partially offset by improved operating results at the education division.</w:t>
      </w:r>
    </w:p>
    <w:p>
      <w:pPr>
        <w:spacing w:after="0" w:line="7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For the first six months of 2003, net income totaled $133.7 million ($13.91 per share), compared with net income of $62.8 million ($6.51 per share) for the same period of 2002. Results for the first six months of 2003 include an after-tax non-operating gain from the sale of the Company’s 50 percent interest in the International Herald Tribune (after-tax impact of $32.3 million, or $3.38 per share) and an early retirement program charge at The Washington Post newspaper (after-tax impact of $1.3 million, or $0.14 per share). Results for the first six months of 2002 included a transitional goodwill impairment loss (after-tax impact of $12.1 million, or $1.27 per share), charges from early retirement programs at Newsweek (after-tax impact of $7.7 million, or $0.81 per share), and a net non-operating gain from the sale of marketable securities (after-tax impact of $0.6 million, or $0.06 per share).</w:t>
      </w:r>
    </w:p>
    <w:p>
      <w:pPr>
        <w:spacing w:after="0" w:line="107"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Revenue for the first half of 2003 was $1,347.4 million, up 8 percent over revenue of $1,248.0 million for the first six months of 2002. Operating income increased 17 percent to $186.0 million, from $159.3 million in 2002. Consistent with the Company’s results for the second quarter of 2003, the Company’s year-to-date results benefited from improved operating results at the education division. Year-to-date results also benefited from improved operating results at the cable, newspaper publishing, and magazine publishing divisions. These factors were offset in part by certain incremental costs due to the war in Iraq, a reduction in operating income at the broadcast division, increased depreciation expense, higher stock-based compensation expense accruals at the education division and a reduced net pension credit.</w:t>
      </w:r>
    </w:p>
    <w:p>
      <w:pPr>
        <w:spacing w:after="0" w:line="1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60"/>
          </w:cols>
          <w:pgMar w:left="240" w:top="274" w:right="299" w:bottom="1440" w:gutter="0" w:footer="0" w:header="0"/>
        </w:sectPr>
      </w:pPr>
    </w:p>
    <w:bookmarkStart w:id="15" w:name="page16"/>
    <w:bookmarkEnd w:id="15"/>
    <w:p>
      <w:pPr>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Company’s operating income for the second quarter and first six months of 2003 includes $13.4 million and $26.9 million of net pension credits, respectively, compared to $16.1 million and $32.2 million for the same periods of 2002. At December 29, 2002, the Company reduced its assumption on discount rate from 7.0 percent to 6.75 percent. Due to the reduction in the discount rate and lower than expected investment returns in 2002, the net pension credit for 2003 is expected to be down by about $10 million compared to 2002, excluding charges related to early retirement programs.</w:t>
      </w:r>
    </w:p>
    <w:p>
      <w:pPr>
        <w:spacing w:after="0" w:line="93" w:lineRule="exact"/>
        <w:rPr>
          <w:sz w:val="20"/>
          <w:szCs w:val="20"/>
          <w:color w:val="auto"/>
        </w:rPr>
      </w:pPr>
    </w:p>
    <w:p>
      <w:pPr>
        <w:ind w:right="220"/>
        <w:spacing w:after="0" w:line="289" w:lineRule="auto"/>
        <w:rPr>
          <w:sz w:val="20"/>
          <w:szCs w:val="20"/>
          <w:color w:val="auto"/>
        </w:rPr>
      </w:pPr>
      <w:r>
        <w:rPr>
          <w:rFonts w:ascii="Arial" w:cs="Arial" w:eastAsia="Arial" w:hAnsi="Arial"/>
          <w:sz w:val="16"/>
          <w:szCs w:val="16"/>
          <w:b w:val="1"/>
          <w:bCs w:val="1"/>
          <w:color w:val="auto"/>
        </w:rPr>
        <w:t>Newspaper Publishing Division</w:t>
      </w:r>
      <w:r>
        <w:rPr>
          <w:rFonts w:ascii="Arial" w:cs="Arial" w:eastAsia="Arial" w:hAnsi="Arial"/>
          <w:sz w:val="16"/>
          <w:szCs w:val="16"/>
          <w:color w:val="auto"/>
        </w:rPr>
        <w:t>. Newspaper publishing division revenue totaled $223.1 million for the second quarter of 2003, an increase of 4 percent from</w:t>
      </w:r>
      <w:r>
        <w:rPr>
          <w:rFonts w:ascii="Arial" w:cs="Arial" w:eastAsia="Arial" w:hAnsi="Arial"/>
          <w:sz w:val="16"/>
          <w:szCs w:val="16"/>
          <w:b w:val="1"/>
          <w:bCs w:val="1"/>
          <w:color w:val="auto"/>
        </w:rPr>
        <w:t xml:space="preserve"> </w:t>
      </w:r>
      <w:r>
        <w:rPr>
          <w:rFonts w:ascii="Arial" w:cs="Arial" w:eastAsia="Arial" w:hAnsi="Arial"/>
          <w:sz w:val="16"/>
          <w:szCs w:val="16"/>
          <w:color w:val="auto"/>
        </w:rPr>
        <w:t>revenue of $215.1 million in the second quarter of 2002; division revenue increased 3 percent to $427.2 million for the first six months of 2003, from $415.8 million for the first six months of 2002. Division operating income for the second quarter declined 2 percent to $37.0 million, from operating income of $37.8 million in the second quarter of 2002; operating income increased 5 percent to $58.4 million for the first six months of 2003, compared to operating income of $55.4 million for the first six months of 2002. The decrease in division operating income for the second quarter is due to a $2.2 million pre-tax early retirement charge at The Washington Post newspaper, a 10 percent increase in newsprint expense, incremental costs associated with the war in Iraq, and a reduced net pension credit, offset by increases in print and online advertising revenue. The increase in operating income for the first six months of 2003 is due to increased advertising revenue and cost control initiatives employed throughout the division, offset by the early retirement charge noted above and a reduced net pension credit.</w:t>
      </w:r>
    </w:p>
    <w:p>
      <w:pPr>
        <w:spacing w:after="0" w:line="105" w:lineRule="exact"/>
        <w:rPr>
          <w:sz w:val="20"/>
          <w:szCs w:val="20"/>
          <w:color w:val="auto"/>
        </w:rPr>
      </w:pPr>
    </w:p>
    <w:p>
      <w:pPr>
        <w:ind w:right="480"/>
        <w:spacing w:after="0" w:line="291" w:lineRule="auto"/>
        <w:rPr>
          <w:sz w:val="20"/>
          <w:szCs w:val="20"/>
          <w:color w:val="auto"/>
        </w:rPr>
      </w:pPr>
      <w:r>
        <w:rPr>
          <w:rFonts w:ascii="Arial" w:cs="Arial" w:eastAsia="Arial" w:hAnsi="Arial"/>
          <w:sz w:val="16"/>
          <w:szCs w:val="16"/>
          <w:color w:val="auto"/>
        </w:rPr>
        <w:t>Print advertising revenue at The Washington Post newspaper in the second quarter increased 3 percent to $148.1 million, from $143.7 million in 2002, and increased 2 percent to $280.6 million for the first six months of 2003, from $275.3 million for the first six months of 2002. The increase in print advertising revenues for the second quarter of 2003 was due to increases in general and preprint advertising revenues, which more than offset a decline in classified advertising revenue from volume declines. Classified recruitment advertising revenue decreased $2.8 million during the second quarter, due to a 20 percent volume decline. The increase in print advertising revenues for the first six months of 2003 is primarily due to increases in general and preprint advertising categories, offset by a $5.1 million decrease in classified recruitment advertising revenue resulting from a 19 percent volume decline.</w:t>
      </w:r>
    </w:p>
    <w:p>
      <w:pPr>
        <w:spacing w:after="0" w:line="107" w:lineRule="exact"/>
        <w:rPr>
          <w:sz w:val="20"/>
          <w:szCs w:val="20"/>
          <w:color w:val="auto"/>
        </w:rPr>
      </w:pPr>
    </w:p>
    <w:p>
      <w:pPr>
        <w:ind w:right="280"/>
        <w:spacing w:after="0" w:line="332" w:lineRule="auto"/>
        <w:rPr>
          <w:sz w:val="20"/>
          <w:szCs w:val="20"/>
          <w:color w:val="auto"/>
        </w:rPr>
      </w:pPr>
      <w:r>
        <w:rPr>
          <w:rFonts w:ascii="Arial" w:cs="Arial" w:eastAsia="Arial" w:hAnsi="Arial"/>
          <w:sz w:val="16"/>
          <w:szCs w:val="16"/>
          <w:color w:val="auto"/>
        </w:rPr>
        <w:t>For the first six months of 2003, Post daily and Sunday circulation declined 1.9 percent and 1.1 percent, respectively, compared to the same period of the prior year. For the six months ended June 29, 2003, average daily circulation at The Post totaled 745,000 and average Sunday circulation totaled 1,048,000.</w:t>
      </w:r>
    </w:p>
    <w:p>
      <w:pPr>
        <w:spacing w:after="0" w:line="72" w:lineRule="exact"/>
        <w:rPr>
          <w:sz w:val="20"/>
          <w:szCs w:val="20"/>
          <w:color w:val="auto"/>
        </w:rPr>
      </w:pPr>
    </w:p>
    <w:p>
      <w:pPr>
        <w:ind w:right="80"/>
        <w:spacing w:after="0" w:line="323" w:lineRule="auto"/>
        <w:rPr>
          <w:sz w:val="20"/>
          <w:szCs w:val="20"/>
          <w:color w:val="auto"/>
        </w:rPr>
      </w:pPr>
      <w:r>
        <w:rPr>
          <w:rFonts w:ascii="Arial" w:cs="Arial" w:eastAsia="Arial" w:hAnsi="Arial"/>
          <w:sz w:val="15"/>
          <w:szCs w:val="15"/>
          <w:color w:val="auto"/>
        </w:rPr>
        <w:t>Revenue generated by the Company’s online publishing activities, primarily washingtonpost.com, increased 27 percent to $11.1 million for the second quarter of 2003, versus $8.7 million for the second quarter of 2002; online revenues increased 27 percent to $20.6 million for the first six months of 2003, versus $16.2 million for 2002. Local and national online advertising revenues grew 47 percent and 59 percent for the second quarter and first six months of 2003, respectively. Revenues at the Jobs section of washingtonpost.com increased 24 percent in the second quarter of 2003 and increased 21 percent for the first six months of 2003.</w:t>
      </w:r>
    </w:p>
    <w:p>
      <w:pPr>
        <w:spacing w:after="0" w:line="84"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In July, the Company announced that it will launch a new commuter newspaper, EXPRESS, in August. The new publication will appear each weekday morning, Monday through Friday, in tabloid form and will be distributed free-of-charge in the Washington area.</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80" w:right="239" w:bottom="1440" w:gutter="0" w:footer="0" w:header="0"/>
        </w:sectPr>
      </w:pPr>
    </w:p>
    <w:bookmarkStart w:id="16" w:name="page17"/>
    <w:bookmarkEnd w:id="16"/>
    <w:p>
      <w:pPr>
        <w:ind w:right="120"/>
        <w:spacing w:after="0" w:line="25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Television Broadcasting Division. </w:t>
      </w:r>
      <w:r>
        <w:rPr>
          <w:rFonts w:ascii="Arial" w:cs="Arial" w:eastAsia="Arial" w:hAnsi="Arial"/>
          <w:sz w:val="18"/>
          <w:szCs w:val="18"/>
          <w:color w:val="auto"/>
        </w:rPr>
        <w:t>Revenue for the television broadcasting division decreased 5 percent in the second quarter of 2003 to $81.8 million, from</w:t>
      </w:r>
      <w:r>
        <w:rPr>
          <w:rFonts w:ascii="Arial" w:cs="Arial" w:eastAsia="Arial" w:hAnsi="Arial"/>
          <w:sz w:val="18"/>
          <w:szCs w:val="18"/>
          <w:b w:val="1"/>
          <w:bCs w:val="1"/>
          <w:color w:val="auto"/>
        </w:rPr>
        <w:t xml:space="preserve"> </w:t>
      </w:r>
      <w:r>
        <w:rPr>
          <w:rFonts w:ascii="Arial" w:cs="Arial" w:eastAsia="Arial" w:hAnsi="Arial"/>
          <w:sz w:val="18"/>
          <w:szCs w:val="18"/>
          <w:color w:val="auto"/>
        </w:rPr>
        <w:t>$86.1 million in 2002, due to declines in both local and national advertising, and higher political advertising in 2002. For the first six months of 2003, revenue decreased 6 percent to $152.6 million, from $161.5 million in 2002, due to heavy Olympics-related advertising at the Company’s NBC affiliates in the first quarter of 2002, declines in both local and national advertising, higher political advertising in 2002, and several days of commercial-free coverage in connection with the Iraq war in March 2003.</w:t>
      </w:r>
    </w:p>
    <w:p>
      <w:pPr>
        <w:spacing w:after="0" w:line="131"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Operating income for the second quarter and first six months of 2003 decreased 10 percent and 15 percent, respectively, to $39.0 million and $65.3 million, respectively, from operating income of $43.5 million and $77.0 million for the second quarter and first six months of 2002, respectively. The operating income declines are primarily related to the revenue reductions discussed above.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In July 2002, WJXT in Jacksonville, Florida began operations as an independent station when its network affiliation with CBS ended.</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Magazine Publishing Division. </w:t>
      </w:r>
      <w:r>
        <w:rPr>
          <w:rFonts w:ascii="Arial" w:cs="Arial" w:eastAsia="Arial" w:hAnsi="Arial"/>
          <w:sz w:val="16"/>
          <w:szCs w:val="16"/>
          <w:color w:val="auto"/>
        </w:rPr>
        <w:t>Revenue for the magazine publishing division totaled $91.9 million for the second quarter of 2003, a 3 percent increase from</w:t>
      </w:r>
    </w:p>
    <w:p>
      <w:pPr>
        <w:spacing w:after="0" w:line="4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$88.9 million for the second quarter of 2002; division revenue totaled $169.4 million for the first six months of 2003, a 3 percent increase from $163.9 million for the first six months of 2002. The revenue increase for the second quarter was primarily due to the timing of the primary trade show of PostNewsweek Tech Media, which was in the second quarter of 2003 versus the first quarter of 2002. This increase more than offset a second quarter drop of 6 percent in advertising revenues at Newsweek due to declines in ad pages at both the domestic and international editions. Travel-related advertising revenues at the Pacific edition of Newsweek were down sharply in the second quarter of 2003 due to the SARS outbreak. The increase in revenues for the first six months of 2003 is primarily due to increased advertising revenue at Newsweek, as a result of increased ad pages at the domestic edition, as well as one additional issue of both the domestic and international editions.</w:t>
      </w:r>
    </w:p>
    <w:p>
      <w:pPr>
        <w:spacing w:after="0" w:line="133"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Operating income totaled $12.4 million for the second quarter of 2003, a 7 percent decline from operating income of $13.3 million in the second quarter of 2002. In the second quarter of 2002, Newsweek had a $2.7 million charge in connection with an early retirement program. The decline in operating income is primarily due to the reduction in advertising revenue, increased manufacturing and distribution expenses at the international editions of Newsweek, and a reduced net pension credit. Operating income totaled $13.2 million for the first six months of 2003, up from operating income of $1.7 million for the first six months of 2002. The year-to-date improvement in operating results is primarily attributable to $13.0 million in charges in connection with early retirement programs at Newsweek in 2002.</w:t>
      </w:r>
    </w:p>
    <w:p>
      <w:pPr>
        <w:spacing w:after="0" w:line="125"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b w:val="1"/>
          <w:bCs w:val="1"/>
          <w:color w:val="auto"/>
        </w:rPr>
        <w:t xml:space="preserve">Cable Television Division. </w:t>
      </w:r>
      <w:r>
        <w:rPr>
          <w:rFonts w:ascii="Arial" w:cs="Arial" w:eastAsia="Arial" w:hAnsi="Arial"/>
          <w:sz w:val="18"/>
          <w:szCs w:val="18"/>
          <w:color w:val="auto"/>
        </w:rPr>
        <w:t>Cable division revenue of $114.6 million for the second quarter of 2003 represents a 6 percent increase over 2002 second quarter</w:t>
      </w:r>
      <w:r>
        <w:rPr>
          <w:rFonts w:ascii="Arial" w:cs="Arial" w:eastAsia="Arial" w:hAnsi="Arial"/>
          <w:sz w:val="18"/>
          <w:szCs w:val="18"/>
          <w:b w:val="1"/>
          <w:bCs w:val="1"/>
          <w:color w:val="auto"/>
        </w:rPr>
        <w:t xml:space="preserve"> </w:t>
      </w:r>
      <w:r>
        <w:rPr>
          <w:rFonts w:ascii="Arial" w:cs="Arial" w:eastAsia="Arial" w:hAnsi="Arial"/>
          <w:sz w:val="18"/>
          <w:szCs w:val="18"/>
          <w:color w:val="auto"/>
        </w:rPr>
        <w:t>revenue of $108.0 million; for the first six months of 2003, revenue increased 7 percent to $224.9 million, from $210.0 million in 2002. The 2003 revenue increase is principally due to rapid growth in the division’s cable modem and digital service revenues, offset by lower pay and basic revenues due to fewer basic and pay subscribers and the lack of rate increases due to a decision to freeze most rates for Cable One subscribers in 2003 (the Company’s price increases normally take effect in the second quarter each year).</w:t>
      </w:r>
    </w:p>
    <w:p>
      <w:pPr>
        <w:spacing w:after="0" w:line="131" w:lineRule="exact"/>
        <w:rPr>
          <w:sz w:val="20"/>
          <w:szCs w:val="20"/>
          <w:color w:val="auto"/>
        </w:rPr>
      </w:pPr>
    </w:p>
    <w:p>
      <w:pPr>
        <w:jc w:val="both"/>
        <w:ind w:right="420"/>
        <w:spacing w:after="0" w:line="259" w:lineRule="auto"/>
        <w:rPr>
          <w:sz w:val="20"/>
          <w:szCs w:val="20"/>
          <w:color w:val="auto"/>
        </w:rPr>
      </w:pPr>
      <w:r>
        <w:rPr>
          <w:rFonts w:ascii="Arial" w:cs="Arial" w:eastAsia="Arial" w:hAnsi="Arial"/>
          <w:sz w:val="18"/>
          <w:szCs w:val="18"/>
          <w:color w:val="auto"/>
        </w:rPr>
        <w:t>Cable division operating income for the second quarter of 2003 decreased 2 percent to $21.2 million, from operating income of $21.8 million for the second quarter of 2002. The decrease in operating income is due mostly to the division’s higher depreciation and programming expenses, along with an increase in technical, internet, marketing and employee benefits costs; part of the decrease is also</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274" w:right="259" w:bottom="1440" w:gutter="0" w:footer="0" w:header="0"/>
        </w:sectPr>
      </w:pPr>
    </w:p>
    <w:bookmarkStart w:id="17" w:name="page18"/>
    <w:bookmarkEnd w:id="17"/>
    <w:p>
      <w:pPr>
        <w:jc w:val="both"/>
        <w:ind w:right="8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attributable to the rate freeze on subscribers noted above. Cable division operating income for the first six months of 2003 increased 11 percent to $42.0 million, from operating income of $37.8 million for the first six months of 2002. The increase is due mostly to the division’s significant revenue growth, offset by higher depreciation and programming expenses, along with an increase in technical, internet, marketing, and employee benefits costs.</w:t>
      </w:r>
    </w:p>
    <w:p>
      <w:pPr>
        <w:spacing w:after="0" w:line="93"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The increase in depreciation expense is due to significant capital spending in recent years that has enabled the cable division to offer digital and broadband cable services to its subscribers. The cable division began its rollout plan for these services in the third quarter of 2000. At June 30, 2003, the cable division had approximately 210,000 digital cable subscribers, representing a 30 percent penetration of the subscriber base in the markets where digital services are offered. Digital services are offered in markets serving 99 percent of the cable division’s subscriber base. The initial rollout plan for the new digital cable services included an offer for the cable division’s customers to obtain these services free for one year. At the end of June 2003, the cable division had about 203,900 paying digital subscribers.</w:t>
      </w:r>
    </w:p>
    <w:p>
      <w:pPr>
        <w:spacing w:after="0" w:line="131" w:lineRule="exact"/>
        <w:rPr>
          <w:sz w:val="20"/>
          <w:szCs w:val="20"/>
          <w:color w:val="auto"/>
        </w:rPr>
      </w:pPr>
    </w:p>
    <w:p>
      <w:pPr>
        <w:jc w:val="both"/>
        <w:spacing w:after="0" w:line="335" w:lineRule="auto"/>
        <w:rPr>
          <w:sz w:val="20"/>
          <w:szCs w:val="20"/>
          <w:color w:val="auto"/>
        </w:rPr>
      </w:pPr>
      <w:r>
        <w:rPr>
          <w:rFonts w:ascii="Arial" w:cs="Arial" w:eastAsia="Arial" w:hAnsi="Arial"/>
          <w:sz w:val="15"/>
          <w:szCs w:val="15"/>
          <w:color w:val="auto"/>
        </w:rPr>
        <w:t>At June 30, 2003, the cable division had 714,500 basic subscribers, lower than 736,100 basic subscribers at the end of June 2002 and 718,000 basic subscribers at the end of December 2002. At June 30, 2003, the cable division had 106,600 CableONE.net service subscribers, compared to 60,600 at the end of June 2002, due to a large increase in the Company’s cable modem deployment (offered to 99 percent of homes passed at the end of June 2003) and take-up rates.</w:t>
      </w:r>
    </w:p>
    <w:p>
      <w:pPr>
        <w:spacing w:after="0" w:line="75"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At June 30, 2003, Revenue Generating Units (RGUs), representing the sum of basic, digital, and high-speed data customers, as defined by the NCTA Standard Reporting Categories, totaled 1,025,400, compared to 886,300 as of June 30, 2002. The increase is due to increased paying digital cable and high-speed data customers.</w:t>
      </w:r>
    </w:p>
    <w:p>
      <w:pPr>
        <w:spacing w:after="0" w:line="127"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Below are details of Cable division capital expenditures for the first six months of 2003 and 2002, as defined by the NCTA Standard Reporting Categories (in millions):</w:t>
      </w:r>
    </w:p>
    <w:p>
      <w:pPr>
        <w:spacing w:after="0" w:line="114" w:lineRule="exact"/>
        <w:rPr>
          <w:sz w:val="20"/>
          <w:szCs w:val="20"/>
          <w:color w:val="auto"/>
        </w:rPr>
      </w:pPr>
    </w:p>
    <w:tbl>
      <w:tblPr>
        <w:tblLayout w:type="fixed"/>
        <w:tblInd w:w="1440" w:type="dxa"/>
        <w:tblCellMar>
          <w:top w:w="0" w:type="dxa"/>
          <w:left w:w="0" w:type="dxa"/>
          <w:bottom w:w="0" w:type="dxa"/>
          <w:right w:w="0" w:type="dxa"/>
        </w:tblCellMar>
      </w:tblPr>
      <w:tr>
        <w:trPr>
          <w:trHeight w:val="174"/>
        </w:trPr>
        <w:tc>
          <w:tcPr>
            <w:tcW w:w="7580" w:type="dxa"/>
            <w:vAlign w:val="bottom"/>
          </w:tcPr>
          <w:p>
            <w:pPr>
              <w:spacing w:after="0"/>
              <w:rPr>
                <w:sz w:val="15"/>
                <w:szCs w:val="15"/>
                <w:color w:val="auto"/>
              </w:rPr>
            </w:pPr>
          </w:p>
        </w:tc>
        <w:tc>
          <w:tcPr>
            <w:tcW w:w="4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2003</w:t>
            </w:r>
          </w:p>
        </w:tc>
        <w:tc>
          <w:tcPr>
            <w:tcW w:w="56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2002</w:t>
            </w:r>
          </w:p>
        </w:tc>
      </w:tr>
      <w:tr>
        <w:trPr>
          <w:trHeight w:val="95"/>
        </w:trPr>
        <w:tc>
          <w:tcPr>
            <w:tcW w:w="75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r>
      <w:tr>
        <w:trPr>
          <w:trHeight w:val="102"/>
        </w:trPr>
        <w:tc>
          <w:tcPr>
            <w:tcW w:w="7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Customer Premise Equipment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$15.1</w:t>
            </w:r>
          </w:p>
        </w:tc>
      </w:tr>
      <w:tr>
        <w:trPr>
          <w:trHeight w:val="216"/>
        </w:trPr>
        <w:tc>
          <w:tcPr>
            <w:tcW w:w="7580" w:type="dxa"/>
            <w:vAlign w:val="bottom"/>
          </w:tcPr>
          <w:p>
            <w:pPr>
              <w:spacing w:after="0"/>
              <w:rPr>
                <w:sz w:val="20"/>
                <w:szCs w:val="20"/>
                <w:color w:val="auto"/>
              </w:rPr>
            </w:pPr>
            <w:r>
              <w:rPr>
                <w:rFonts w:ascii="Arial" w:cs="Arial" w:eastAsia="Arial" w:hAnsi="Arial"/>
                <w:sz w:val="18"/>
                <w:szCs w:val="18"/>
                <w:color w:val="auto"/>
              </w:rPr>
              <w:t>Commercial</w:t>
            </w:r>
          </w:p>
        </w:tc>
        <w:tc>
          <w:tcPr>
            <w:tcW w:w="1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0.1</w:t>
            </w:r>
          </w:p>
        </w:tc>
        <w:tc>
          <w:tcPr>
            <w:tcW w:w="560" w:type="dxa"/>
            <w:vAlign w:val="bottom"/>
            <w:gridSpan w:val="3"/>
          </w:tcPr>
          <w:p>
            <w:pPr>
              <w:jc w:val="right"/>
              <w:spacing w:after="0"/>
              <w:rPr>
                <w:sz w:val="20"/>
                <w:szCs w:val="20"/>
                <w:color w:val="auto"/>
              </w:rPr>
            </w:pPr>
            <w:r>
              <w:rPr>
                <w:rFonts w:ascii="Arial" w:cs="Arial" w:eastAsia="Arial" w:hAnsi="Arial"/>
                <w:sz w:val="18"/>
                <w:szCs w:val="18"/>
                <w:color w:val="auto"/>
              </w:rPr>
              <w:t>0.1</w:t>
            </w: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Scaleable Infrastructure</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6.5</w:t>
            </w:r>
          </w:p>
        </w:tc>
      </w:tr>
      <w:tr>
        <w:trPr>
          <w:trHeight w:val="216"/>
        </w:trPr>
        <w:tc>
          <w:tcPr>
            <w:tcW w:w="7580" w:type="dxa"/>
            <w:vAlign w:val="bottom"/>
          </w:tcPr>
          <w:p>
            <w:pPr>
              <w:spacing w:after="0"/>
              <w:rPr>
                <w:sz w:val="20"/>
                <w:szCs w:val="20"/>
                <w:color w:val="auto"/>
              </w:rPr>
            </w:pPr>
            <w:r>
              <w:rPr>
                <w:rFonts w:ascii="Arial" w:cs="Arial" w:eastAsia="Arial" w:hAnsi="Arial"/>
                <w:sz w:val="18"/>
                <w:szCs w:val="18"/>
                <w:color w:val="auto"/>
              </w:rPr>
              <w:t>Line Extensions</w:t>
            </w:r>
          </w:p>
        </w:tc>
        <w:tc>
          <w:tcPr>
            <w:tcW w:w="1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4.4</w:t>
            </w:r>
          </w:p>
        </w:tc>
        <w:tc>
          <w:tcPr>
            <w:tcW w:w="560" w:type="dxa"/>
            <w:vAlign w:val="bottom"/>
            <w:gridSpan w:val="3"/>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Upgrade/Rebuild</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14.5</w:t>
            </w: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23.4</w:t>
            </w:r>
          </w:p>
        </w:tc>
      </w:tr>
      <w:tr>
        <w:trPr>
          <w:trHeight w:val="222"/>
        </w:trPr>
        <w:tc>
          <w:tcPr>
            <w:tcW w:w="7580" w:type="dxa"/>
            <w:vAlign w:val="bottom"/>
          </w:tcPr>
          <w:p>
            <w:pPr>
              <w:spacing w:after="0"/>
              <w:rPr>
                <w:sz w:val="20"/>
                <w:szCs w:val="20"/>
                <w:color w:val="auto"/>
              </w:rPr>
            </w:pPr>
            <w:r>
              <w:rPr>
                <w:rFonts w:ascii="Arial" w:cs="Arial" w:eastAsia="Arial" w:hAnsi="Arial"/>
                <w:sz w:val="18"/>
                <w:szCs w:val="18"/>
                <w:color w:val="auto"/>
              </w:rPr>
              <w:t>Support Capital</w:t>
            </w:r>
          </w:p>
        </w:tc>
        <w:tc>
          <w:tcPr>
            <w:tcW w:w="10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6.0</w:t>
            </w:r>
          </w:p>
        </w:tc>
        <w:tc>
          <w:tcPr>
            <w:tcW w:w="560" w:type="dxa"/>
            <w:vAlign w:val="bottom"/>
            <w:gridSpan w:val="3"/>
          </w:tcPr>
          <w:p>
            <w:pPr>
              <w:jc w:val="right"/>
              <w:spacing w:after="0"/>
              <w:rPr>
                <w:sz w:val="20"/>
                <w:szCs w:val="20"/>
                <w:color w:val="auto"/>
              </w:rPr>
            </w:pPr>
            <w:r>
              <w:rPr>
                <w:rFonts w:ascii="Arial" w:cs="Arial" w:eastAsia="Arial" w:hAnsi="Arial"/>
                <w:sz w:val="18"/>
                <w:szCs w:val="18"/>
                <w:color w:val="auto"/>
              </w:rPr>
              <w:t>4.4</w:t>
            </w:r>
          </w:p>
        </w:tc>
      </w:tr>
      <w:tr>
        <w:trPr>
          <w:trHeight w:val="102"/>
        </w:trPr>
        <w:tc>
          <w:tcPr>
            <w:tcW w:w="75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r>
      <w:tr>
        <w:trPr>
          <w:trHeight w:val="102"/>
        </w:trPr>
        <w:tc>
          <w:tcPr>
            <w:tcW w:w="7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r>
      <w:tr>
        <w:trPr>
          <w:trHeight w:val="216"/>
        </w:trPr>
        <w:tc>
          <w:tcPr>
            <w:tcW w:w="75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34.8</w:t>
            </w: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$55.6</w:t>
            </w:r>
          </w:p>
        </w:tc>
      </w:tr>
      <w:tr>
        <w:trPr>
          <w:trHeight w:val="132"/>
        </w:trPr>
        <w:tc>
          <w:tcPr>
            <w:tcW w:w="75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5723255</wp:posOffset>
            </wp:positionH>
            <wp:positionV relativeFrom="paragraph">
              <wp:posOffset>-29210</wp:posOffset>
            </wp:positionV>
            <wp:extent cx="12700" cy="298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-29210</wp:posOffset>
            </wp:positionV>
            <wp:extent cx="12700" cy="298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-29210</wp:posOffset>
            </wp:positionV>
            <wp:extent cx="21590" cy="298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-29210</wp:posOffset>
            </wp:positionV>
            <wp:extent cx="261620" cy="298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261620" cy="29845"/>
                    </a:xfrm>
                    <a:prstGeom prst="rect">
                      <a:avLst/>
                    </a:prstGeom>
                    <a:noFill/>
                  </pic:spPr>
                </pic:pic>
              </a:graphicData>
            </a:graphic>
          </wp:anchor>
        </w:drawing>
      </w:r>
    </w:p>
    <w:p>
      <w:pPr>
        <w:spacing w:after="0" w:line="219"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b w:val="1"/>
          <w:bCs w:val="1"/>
          <w:color w:val="auto"/>
        </w:rPr>
        <w:t xml:space="preserve">Education Division. </w:t>
      </w:r>
      <w:r>
        <w:rPr>
          <w:rFonts w:ascii="Arial" w:cs="Arial" w:eastAsia="Arial" w:hAnsi="Arial"/>
          <w:sz w:val="16"/>
          <w:szCs w:val="16"/>
          <w:color w:val="auto"/>
        </w:rPr>
        <w:t>Education division revenue totaled $195.6 million for the second quarter of 2003, a 31 percent increase over revenue of $149.7 million for</w:t>
      </w:r>
      <w:r>
        <w:rPr>
          <w:rFonts w:ascii="Arial" w:cs="Arial" w:eastAsia="Arial" w:hAnsi="Arial"/>
          <w:sz w:val="16"/>
          <w:szCs w:val="16"/>
          <w:b w:val="1"/>
          <w:bCs w:val="1"/>
          <w:color w:val="auto"/>
        </w:rPr>
        <w:t xml:space="preserve"> </w:t>
      </w:r>
      <w:r>
        <w:rPr>
          <w:rFonts w:ascii="Arial" w:cs="Arial" w:eastAsia="Arial" w:hAnsi="Arial"/>
          <w:sz w:val="16"/>
          <w:szCs w:val="16"/>
          <w:color w:val="auto"/>
        </w:rPr>
        <w:t>the same period of 2002. Kaplan reported operating income for the second quarter of 2003 of $3.5 million, compared to operating income of $0.6 million in the second quarter of 2002. Approximately 41 percent of the increase in Kaplan revenue is from acquired businesses, primarily in the higher education division and the professional training schools that are part of supplemental education. For the first six months of 2003, education division revenue totaled $373.3 million, a 26 percent increase over revenue of $296.8 million for the same period of 2002. Kaplan reported operating income of $19.5 million for the first six months of 2003, compared to operating income of $0.1 million for the first six months of 2002. Approximately 33 percent of the increase in Kaplan revenue is from acquired businesses, primarily in the higher education division and the professional training schools that are part of supplemental education. A summary of operating results for the second quarter and the first six months of 2003 compared to 2002 is as follows:</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60"/>
          </w:cols>
          <w:pgMar w:left="240" w:top="280" w:right="299" w:bottom="1440" w:gutter="0" w:footer="0" w:header="0"/>
        </w:sectPr>
      </w:pPr>
    </w:p>
    <w:bookmarkStart w:id="18" w:name="page19"/>
    <w:bookmarkEnd w:id="1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240" w:type="dxa"/>
            <w:vAlign w:val="bottom"/>
          </w:tcPr>
          <w:p>
            <w:pPr>
              <w:spacing w:after="0"/>
              <w:rPr>
                <w:sz w:val="15"/>
                <w:szCs w:val="15"/>
                <w:color w:val="auto"/>
              </w:rPr>
            </w:pPr>
          </w:p>
        </w:tc>
        <w:tc>
          <w:tcPr>
            <w:tcW w:w="90" w:type="dxa"/>
            <w:vAlign w:val="bottom"/>
          </w:tcPr>
          <w:p>
            <w:pPr>
              <w:spacing w:after="0"/>
              <w:rPr>
                <w:sz w:val="15"/>
                <w:szCs w:val="15"/>
                <w:color w:val="auto"/>
              </w:rPr>
            </w:pPr>
          </w:p>
        </w:tc>
        <w:tc>
          <w:tcPr>
            <w:tcW w:w="59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4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w w:val="97"/>
              </w:rPr>
              <w:t>Second Quarter</w:t>
            </w:r>
          </w:p>
        </w:tc>
        <w:tc>
          <w:tcPr>
            <w:tcW w:w="6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20" w:type="dxa"/>
            <w:vAlign w:val="bottom"/>
            <w:gridSpan w:val="5"/>
          </w:tcPr>
          <w:p>
            <w:pPr>
              <w:ind w:left="180"/>
              <w:spacing w:after="0"/>
              <w:rPr>
                <w:sz w:val="20"/>
                <w:szCs w:val="20"/>
                <w:color w:val="auto"/>
              </w:rPr>
            </w:pPr>
            <w:r>
              <w:rPr>
                <w:rFonts w:ascii="Arial" w:cs="Arial" w:eastAsia="Arial" w:hAnsi="Arial"/>
                <w:sz w:val="14"/>
                <w:szCs w:val="14"/>
                <w:b w:val="1"/>
                <w:bCs w:val="1"/>
                <w:color w:val="auto"/>
              </w:rPr>
              <w:t>Year-to-Date</w:t>
            </w: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740" w:type="dxa"/>
            <w:vAlign w:val="bottom"/>
          </w:tcPr>
          <w:p>
            <w:pPr>
              <w:spacing w:after="0"/>
              <w:rPr>
                <w:sz w:val="8"/>
                <w:szCs w:val="8"/>
                <w:color w:val="auto"/>
              </w:rPr>
            </w:pPr>
          </w:p>
        </w:tc>
        <w:tc>
          <w:tcPr>
            <w:tcW w:w="3240" w:type="dxa"/>
            <w:vAlign w:val="bottom"/>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59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240" w:type="dxa"/>
            <w:vAlign w:val="bottom"/>
          </w:tcPr>
          <w:p>
            <w:pPr>
              <w:spacing w:after="0"/>
              <w:rPr>
                <w:sz w:val="22"/>
                <w:szCs w:val="22"/>
                <w:color w:val="auto"/>
              </w:rPr>
            </w:pPr>
          </w:p>
        </w:tc>
        <w:tc>
          <w:tcPr>
            <w:tcW w:w="90" w:type="dxa"/>
            <w:vAlign w:val="bottom"/>
          </w:tcPr>
          <w:p>
            <w:pPr>
              <w:spacing w:after="0"/>
              <w:rPr>
                <w:sz w:val="22"/>
                <w:szCs w:val="22"/>
                <w:color w:val="auto"/>
              </w:rPr>
            </w:pPr>
          </w:p>
        </w:tc>
        <w:tc>
          <w:tcPr>
            <w:tcW w:w="590" w:type="dxa"/>
            <w:vAlign w:val="bottom"/>
          </w:tcPr>
          <w:p>
            <w:pPr>
              <w:jc w:val="right"/>
              <w:ind w:right="114"/>
              <w:spacing w:after="0"/>
              <w:rPr>
                <w:sz w:val="20"/>
                <w:szCs w:val="20"/>
                <w:color w:val="auto"/>
              </w:rPr>
            </w:pPr>
            <w:r>
              <w:rPr>
                <w:rFonts w:ascii="Arial" w:cs="Arial" w:eastAsia="Arial" w:hAnsi="Arial"/>
                <w:sz w:val="14"/>
                <w:szCs w:val="14"/>
                <w:b w:val="1"/>
                <w:bCs w:val="1"/>
                <w:color w:val="auto"/>
              </w:rPr>
              <w:t>2003</w:t>
            </w:r>
          </w:p>
        </w:tc>
        <w:tc>
          <w:tcPr>
            <w:tcW w:w="2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jc w:val="right"/>
              <w:ind w:right="114"/>
              <w:spacing w:after="0"/>
              <w:rPr>
                <w:sz w:val="20"/>
                <w:szCs w:val="20"/>
                <w:color w:val="auto"/>
              </w:rPr>
            </w:pPr>
            <w:r>
              <w:rPr>
                <w:rFonts w:ascii="Arial" w:cs="Arial" w:eastAsia="Arial" w:hAnsi="Arial"/>
                <w:sz w:val="14"/>
                <w:szCs w:val="14"/>
                <w:b w:val="1"/>
                <w:bCs w:val="1"/>
                <w:color w:val="auto"/>
              </w:rPr>
              <w:t>2002</w:t>
            </w:r>
          </w:p>
        </w:tc>
        <w:tc>
          <w:tcPr>
            <w:tcW w:w="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88"/>
              </w:rPr>
              <w:t>% Change</w:t>
            </w:r>
          </w:p>
        </w:tc>
        <w:tc>
          <w:tcPr>
            <w:tcW w:w="100" w:type="dxa"/>
            <w:vAlign w:val="bottom"/>
          </w:tcPr>
          <w:p>
            <w:pPr>
              <w:spacing w:after="0"/>
              <w:rPr>
                <w:sz w:val="22"/>
                <w:szCs w:val="22"/>
                <w:color w:val="auto"/>
              </w:rPr>
            </w:pPr>
          </w:p>
        </w:tc>
        <w:tc>
          <w:tcPr>
            <w:tcW w:w="580" w:type="dxa"/>
            <w:vAlign w:val="bottom"/>
          </w:tcPr>
          <w:p>
            <w:pPr>
              <w:jc w:val="right"/>
              <w:ind w:right="114"/>
              <w:spacing w:after="0"/>
              <w:rPr>
                <w:sz w:val="20"/>
                <w:szCs w:val="20"/>
                <w:color w:val="auto"/>
              </w:rPr>
            </w:pPr>
            <w:r>
              <w:rPr>
                <w:rFonts w:ascii="Arial" w:cs="Arial" w:eastAsia="Arial" w:hAnsi="Arial"/>
                <w:sz w:val="14"/>
                <w:szCs w:val="14"/>
                <w:b w:val="1"/>
                <w:bCs w:val="1"/>
                <w:color w:val="auto"/>
              </w:rPr>
              <w:t>2003</w:t>
            </w:r>
          </w:p>
        </w:tc>
        <w:tc>
          <w:tcPr>
            <w:tcW w:w="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jc w:val="right"/>
              <w:ind w:right="114"/>
              <w:spacing w:after="0"/>
              <w:rPr>
                <w:sz w:val="20"/>
                <w:szCs w:val="20"/>
                <w:color w:val="auto"/>
              </w:rPr>
            </w:pPr>
            <w:r>
              <w:rPr>
                <w:rFonts w:ascii="Arial" w:cs="Arial" w:eastAsia="Arial" w:hAnsi="Arial"/>
                <w:sz w:val="14"/>
                <w:szCs w:val="14"/>
                <w:b w:val="1"/>
                <w:bCs w:val="1"/>
                <w:color w:val="auto"/>
              </w:rPr>
              <w:t>2002</w:t>
            </w:r>
          </w:p>
        </w:tc>
        <w:tc>
          <w:tcPr>
            <w:tcW w:w="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85"/>
              </w:rPr>
              <w:t>% Change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740" w:type="dxa"/>
            <w:vAlign w:val="bottom"/>
          </w:tcPr>
          <w:p>
            <w:pPr>
              <w:spacing w:after="0"/>
              <w:rPr>
                <w:sz w:val="8"/>
                <w:szCs w:val="8"/>
                <w:color w:val="auto"/>
              </w:rPr>
            </w:pPr>
          </w:p>
        </w:tc>
        <w:tc>
          <w:tcPr>
            <w:tcW w:w="3240" w:type="dxa"/>
            <w:vAlign w:val="bottom"/>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59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740" w:type="dxa"/>
            <w:vAlign w:val="bottom"/>
          </w:tcPr>
          <w:p>
            <w:pPr>
              <w:spacing w:after="0"/>
              <w:rPr>
                <w:sz w:val="8"/>
                <w:szCs w:val="8"/>
                <w:color w:val="auto"/>
              </w:rPr>
            </w:pPr>
          </w:p>
        </w:tc>
        <w:tc>
          <w:tcPr>
            <w:tcW w:w="3240" w:type="dxa"/>
            <w:vAlign w:val="bottom"/>
          </w:tcPr>
          <w:p>
            <w:pPr>
              <w:spacing w:after="0"/>
              <w:rPr>
                <w:sz w:val="8"/>
                <w:szCs w:val="8"/>
                <w:color w:val="auto"/>
              </w:rPr>
            </w:pPr>
          </w:p>
        </w:tc>
        <w:tc>
          <w:tcPr>
            <w:tcW w:w="90" w:type="dxa"/>
            <w:vAlign w:val="bottom"/>
          </w:tcPr>
          <w:p>
            <w:pPr>
              <w:spacing w:after="0"/>
              <w:rPr>
                <w:sz w:val="8"/>
                <w:szCs w:val="8"/>
                <w:color w:val="auto"/>
              </w:rPr>
            </w:pPr>
          </w:p>
        </w:tc>
        <w:tc>
          <w:tcPr>
            <w:tcW w:w="59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492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color w:val="auto"/>
              </w:rPr>
              <w:t>Revenue</w:t>
            </w:r>
          </w:p>
        </w:tc>
        <w:tc>
          <w:tcPr>
            <w:tcW w:w="90" w:type="dxa"/>
            <w:vAlign w:val="bottom"/>
            <w:shd w:val="clear" w:color="auto" w:fill="CCEEFF"/>
          </w:tcPr>
          <w:p>
            <w:pPr>
              <w:spacing w:after="0"/>
              <w:rPr>
                <w:sz w:val="15"/>
                <w:szCs w:val="15"/>
                <w:color w:val="auto"/>
              </w:rPr>
            </w:pPr>
          </w:p>
        </w:tc>
        <w:tc>
          <w:tcPr>
            <w:tcW w:w="59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00" w:type="dxa"/>
            <w:vAlign w:val="bottom"/>
            <w:tcBorders>
              <w:top w:val="single" w:sz="8" w:color="auto"/>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3240" w:type="dxa"/>
            <w:vAlign w:val="bottom"/>
            <w:tcBorders>
              <w:top w:val="single" w:sz="8" w:color="CCEEFF"/>
            </w:tcBorders>
            <w:shd w:val="clear" w:color="auto" w:fill="CCEEFF"/>
          </w:tcPr>
          <w:p>
            <w:pPr>
              <w:spacing w:after="0" w:line="20" w:lineRule="exact"/>
              <w:rPr>
                <w:sz w:val="1"/>
                <w:szCs w:val="1"/>
                <w:color w:val="auto"/>
              </w:rPr>
            </w:pPr>
          </w:p>
        </w:tc>
        <w:tc>
          <w:tcPr>
            <w:tcW w:w="90" w:type="dxa"/>
            <w:vAlign w:val="bottom"/>
            <w:tcBorders>
              <w:top w:val="single" w:sz="8" w:color="CCEEFF"/>
            </w:tcBorders>
            <w:shd w:val="clear" w:color="auto" w:fill="CCEEFF"/>
          </w:tcPr>
          <w:p>
            <w:pPr>
              <w:spacing w:after="0" w:line="20" w:lineRule="exact"/>
              <w:rPr>
                <w:sz w:val="1"/>
                <w:szCs w:val="1"/>
                <w:color w:val="auto"/>
              </w:rPr>
            </w:pPr>
          </w:p>
        </w:tc>
        <w:tc>
          <w:tcPr>
            <w:tcW w:w="59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4"/>
          </w:tcPr>
          <w:p>
            <w:pPr>
              <w:ind w:left="420"/>
              <w:spacing w:after="0"/>
              <w:rPr>
                <w:sz w:val="20"/>
                <w:szCs w:val="20"/>
                <w:color w:val="auto"/>
              </w:rPr>
            </w:pPr>
            <w:r>
              <w:rPr>
                <w:rFonts w:ascii="Arial" w:cs="Arial" w:eastAsia="Arial" w:hAnsi="Arial"/>
                <w:sz w:val="18"/>
                <w:szCs w:val="18"/>
                <w:color w:val="auto"/>
              </w:rPr>
              <w:t>Supplemental education</w:t>
            </w:r>
          </w:p>
        </w:tc>
        <w:tc>
          <w:tcPr>
            <w:tcW w:w="9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90" w:type="dxa"/>
            <w:vAlign w:val="bottom"/>
          </w:tcPr>
          <w:p>
            <w:pPr>
              <w:jc w:val="right"/>
              <w:spacing w:after="0"/>
              <w:rPr>
                <w:sz w:val="20"/>
                <w:szCs w:val="20"/>
                <w:color w:val="auto"/>
              </w:rPr>
            </w:pPr>
            <w:r>
              <w:rPr>
                <w:rFonts w:ascii="Arial" w:cs="Arial" w:eastAsia="Arial" w:hAnsi="Arial"/>
                <w:sz w:val="18"/>
                <w:szCs w:val="18"/>
                <w:color w:val="auto"/>
                <w:w w:val="86"/>
              </w:rPr>
              <w:t>115,708</w:t>
            </w:r>
          </w:p>
        </w:tc>
        <w:tc>
          <w:tcPr>
            <w:tcW w:w="200" w:type="dxa"/>
            <w:vAlign w:val="bottom"/>
          </w:tcPr>
          <w:p>
            <w:pPr>
              <w:spacing w:after="0"/>
              <w:rPr>
                <w:sz w:val="18"/>
                <w:szCs w:val="18"/>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92,623</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25</w:t>
            </w:r>
          </w:p>
        </w:tc>
        <w:tc>
          <w:tcPr>
            <w:tcW w:w="4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213,890</w:t>
            </w:r>
          </w:p>
        </w:tc>
        <w:tc>
          <w:tcPr>
            <w:tcW w:w="240" w:type="dxa"/>
            <w:vAlign w:val="bottom"/>
          </w:tcPr>
          <w:p>
            <w:pPr>
              <w:spacing w:after="0"/>
              <w:rPr>
                <w:sz w:val="18"/>
                <w:szCs w:val="18"/>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183,373</w:t>
            </w: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4"/>
            <w:shd w:val="clear" w:color="auto" w:fill="CCEEFF"/>
          </w:tcPr>
          <w:p>
            <w:pPr>
              <w:ind w:left="420"/>
              <w:spacing w:after="0"/>
              <w:rPr>
                <w:sz w:val="20"/>
                <w:szCs w:val="20"/>
                <w:color w:val="auto"/>
              </w:rPr>
            </w:pPr>
            <w:r>
              <w:rPr>
                <w:rFonts w:ascii="Arial" w:cs="Arial" w:eastAsia="Arial" w:hAnsi="Arial"/>
                <w:sz w:val="18"/>
                <w:szCs w:val="18"/>
                <w:color w:val="auto"/>
              </w:rPr>
              <w:t>Higher education</w:t>
            </w:r>
          </w:p>
        </w:tc>
        <w:tc>
          <w:tcPr>
            <w:tcW w:w="90" w:type="dxa"/>
            <w:vAlign w:val="bottom"/>
            <w:shd w:val="clear" w:color="auto" w:fill="CCEEFF"/>
          </w:tcPr>
          <w:p>
            <w:pPr>
              <w:spacing w:after="0"/>
              <w:rPr>
                <w:sz w:val="18"/>
                <w:szCs w:val="18"/>
                <w:color w:val="auto"/>
              </w:rPr>
            </w:pPr>
          </w:p>
        </w:tc>
        <w:tc>
          <w:tcPr>
            <w:tcW w:w="5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79,852</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57,072</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159,448</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113,403</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740" w:type="dxa"/>
            <w:vAlign w:val="bottom"/>
          </w:tcPr>
          <w:p>
            <w:pPr>
              <w:spacing w:after="0"/>
              <w:rPr>
                <w:sz w:val="9"/>
                <w:szCs w:val="9"/>
                <w:color w:val="auto"/>
              </w:rPr>
            </w:pPr>
          </w:p>
        </w:tc>
        <w:tc>
          <w:tcPr>
            <w:tcW w:w="324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59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740" w:type="dxa"/>
            <w:vAlign w:val="bottom"/>
          </w:tcPr>
          <w:p>
            <w:pPr>
              <w:spacing w:after="0"/>
              <w:rPr>
                <w:sz w:val="8"/>
                <w:szCs w:val="8"/>
                <w:color w:val="auto"/>
              </w:rPr>
            </w:pPr>
          </w:p>
        </w:tc>
        <w:tc>
          <w:tcPr>
            <w:tcW w:w="3240" w:type="dxa"/>
            <w:vAlign w:val="bottom"/>
          </w:tcPr>
          <w:p>
            <w:pPr>
              <w:spacing w:after="0"/>
              <w:rPr>
                <w:sz w:val="8"/>
                <w:szCs w:val="8"/>
                <w:color w:val="auto"/>
              </w:rPr>
            </w:pPr>
          </w:p>
        </w:tc>
        <w:tc>
          <w:tcPr>
            <w:tcW w:w="90" w:type="dxa"/>
            <w:vAlign w:val="bottom"/>
          </w:tcPr>
          <w:p>
            <w:pPr>
              <w:spacing w:after="0"/>
              <w:rPr>
                <w:sz w:val="8"/>
                <w:szCs w:val="8"/>
                <w:color w:val="auto"/>
              </w:rPr>
            </w:pPr>
          </w:p>
        </w:tc>
        <w:tc>
          <w:tcPr>
            <w:tcW w:w="59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40" w:type="dxa"/>
            <w:vAlign w:val="bottom"/>
            <w:shd w:val="clear" w:color="auto" w:fill="CCEEFF"/>
          </w:tcPr>
          <w:p>
            <w:pPr>
              <w:spacing w:after="0"/>
              <w:rPr>
                <w:sz w:val="18"/>
                <w:szCs w:val="18"/>
                <w:color w:val="auto"/>
              </w:rPr>
            </w:pPr>
          </w:p>
        </w:tc>
        <w:tc>
          <w:tcPr>
            <w:tcW w:w="9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9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195,560</w:t>
            </w:r>
          </w:p>
        </w:tc>
        <w:tc>
          <w:tcPr>
            <w:tcW w:w="2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149,695</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373,338</w:t>
            </w:r>
          </w:p>
        </w:tc>
        <w:tc>
          <w:tcPr>
            <w:tcW w:w="2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296,776</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40" w:type="dxa"/>
            <w:vAlign w:val="bottom"/>
          </w:tcPr>
          <w:p>
            <w:pPr>
              <w:spacing w:after="0"/>
              <w:rPr>
                <w:sz w:val="11"/>
                <w:szCs w:val="11"/>
                <w:color w:val="auto"/>
              </w:rPr>
            </w:pPr>
          </w:p>
        </w:tc>
        <w:tc>
          <w:tcPr>
            <w:tcW w:w="90" w:type="dxa"/>
            <w:vAlign w:val="bottom"/>
            <w:tcBorders>
              <w:bottom w:val="single" w:sz="8" w:color="auto"/>
            </w:tcBorders>
          </w:tcPr>
          <w:p>
            <w:pPr>
              <w:spacing w:after="0"/>
              <w:rPr>
                <w:sz w:val="11"/>
                <w:szCs w:val="11"/>
                <w:color w:val="auto"/>
              </w:rPr>
            </w:pPr>
          </w:p>
        </w:tc>
        <w:tc>
          <w:tcPr>
            <w:tcW w:w="59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740" w:type="dxa"/>
            <w:vAlign w:val="bottom"/>
          </w:tcPr>
          <w:p>
            <w:pPr>
              <w:spacing w:after="0"/>
              <w:rPr>
                <w:sz w:val="9"/>
                <w:szCs w:val="9"/>
                <w:color w:val="auto"/>
              </w:rPr>
            </w:pPr>
          </w:p>
        </w:tc>
        <w:tc>
          <w:tcPr>
            <w:tcW w:w="3240" w:type="dxa"/>
            <w:vAlign w:val="bottom"/>
          </w:tcPr>
          <w:p>
            <w:pPr>
              <w:spacing w:after="0"/>
              <w:rPr>
                <w:sz w:val="9"/>
                <w:szCs w:val="9"/>
                <w:color w:val="auto"/>
              </w:rPr>
            </w:pPr>
          </w:p>
        </w:tc>
        <w:tc>
          <w:tcPr>
            <w:tcW w:w="90" w:type="dxa"/>
            <w:vAlign w:val="bottom"/>
          </w:tcPr>
          <w:p>
            <w:pPr>
              <w:spacing w:after="0"/>
              <w:rPr>
                <w:sz w:val="9"/>
                <w:szCs w:val="9"/>
                <w:color w:val="auto"/>
              </w:rPr>
            </w:pPr>
          </w:p>
        </w:tc>
        <w:tc>
          <w:tcPr>
            <w:tcW w:w="59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6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492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color w:val="auto"/>
              </w:rPr>
              <w:t>Operating income (loss)</w:t>
            </w:r>
          </w:p>
        </w:tc>
        <w:tc>
          <w:tcPr>
            <w:tcW w:w="90" w:type="dxa"/>
            <w:vAlign w:val="bottom"/>
            <w:shd w:val="clear" w:color="auto" w:fill="CCEEFF"/>
          </w:tcPr>
          <w:p>
            <w:pPr>
              <w:spacing w:after="0"/>
              <w:rPr>
                <w:sz w:val="15"/>
                <w:szCs w:val="15"/>
                <w:color w:val="auto"/>
              </w:rPr>
            </w:pPr>
          </w:p>
        </w:tc>
        <w:tc>
          <w:tcPr>
            <w:tcW w:w="59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00" w:type="dxa"/>
            <w:vAlign w:val="bottom"/>
            <w:tcBorders>
              <w:top w:val="single" w:sz="8" w:color="auto"/>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CCEEFF"/>
          </w:tcPr>
          <w:p>
            <w:pPr>
              <w:spacing w:after="0" w:line="20" w:lineRule="exact"/>
              <w:rPr>
                <w:sz w:val="1"/>
                <w:szCs w:val="1"/>
                <w:color w:val="auto"/>
              </w:rPr>
            </w:pPr>
          </w:p>
        </w:tc>
        <w:tc>
          <w:tcPr>
            <w:tcW w:w="740" w:type="dxa"/>
            <w:vAlign w:val="bottom"/>
            <w:tcBorders>
              <w:top w:val="single" w:sz="8" w:color="auto"/>
            </w:tcBorders>
            <w:shd w:val="clear" w:color="auto" w:fill="CCEEFF"/>
          </w:tcPr>
          <w:p>
            <w:pPr>
              <w:spacing w:after="0" w:line="20" w:lineRule="exact"/>
              <w:rPr>
                <w:sz w:val="1"/>
                <w:szCs w:val="1"/>
                <w:color w:val="auto"/>
              </w:rPr>
            </w:pPr>
          </w:p>
        </w:tc>
        <w:tc>
          <w:tcPr>
            <w:tcW w:w="3240" w:type="dxa"/>
            <w:vAlign w:val="bottom"/>
            <w:tcBorders>
              <w:top w:val="single" w:sz="8" w:color="CCEEFF"/>
            </w:tcBorders>
            <w:shd w:val="clear" w:color="auto" w:fill="CCEEFF"/>
          </w:tcPr>
          <w:p>
            <w:pPr>
              <w:spacing w:after="0" w:line="20" w:lineRule="exact"/>
              <w:rPr>
                <w:sz w:val="1"/>
                <w:szCs w:val="1"/>
                <w:color w:val="auto"/>
              </w:rPr>
            </w:pPr>
          </w:p>
        </w:tc>
        <w:tc>
          <w:tcPr>
            <w:tcW w:w="90" w:type="dxa"/>
            <w:vAlign w:val="bottom"/>
            <w:tcBorders>
              <w:top w:val="single" w:sz="8" w:color="CCEEFF"/>
            </w:tcBorders>
            <w:shd w:val="clear" w:color="auto" w:fill="CCEEFF"/>
          </w:tcPr>
          <w:p>
            <w:pPr>
              <w:spacing w:after="0" w:line="20" w:lineRule="exact"/>
              <w:rPr>
                <w:sz w:val="1"/>
                <w:szCs w:val="1"/>
                <w:color w:val="auto"/>
              </w:rPr>
            </w:pPr>
          </w:p>
        </w:tc>
        <w:tc>
          <w:tcPr>
            <w:tcW w:w="59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4"/>
          </w:tcPr>
          <w:p>
            <w:pPr>
              <w:ind w:left="420"/>
              <w:spacing w:after="0"/>
              <w:rPr>
                <w:sz w:val="20"/>
                <w:szCs w:val="20"/>
                <w:color w:val="auto"/>
              </w:rPr>
            </w:pPr>
            <w:r>
              <w:rPr>
                <w:rFonts w:ascii="Arial" w:cs="Arial" w:eastAsia="Arial" w:hAnsi="Arial"/>
                <w:sz w:val="18"/>
                <w:szCs w:val="18"/>
                <w:color w:val="auto"/>
              </w:rPr>
              <w:t>Supplemental education</w:t>
            </w:r>
          </w:p>
        </w:tc>
        <w:tc>
          <w:tcPr>
            <w:tcW w:w="9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90" w:type="dxa"/>
            <w:vAlign w:val="bottom"/>
          </w:tcPr>
          <w:p>
            <w:pPr>
              <w:jc w:val="right"/>
              <w:spacing w:after="0"/>
              <w:rPr>
                <w:sz w:val="20"/>
                <w:szCs w:val="20"/>
                <w:color w:val="auto"/>
              </w:rPr>
            </w:pPr>
            <w:r>
              <w:rPr>
                <w:rFonts w:ascii="Arial" w:cs="Arial" w:eastAsia="Arial" w:hAnsi="Arial"/>
                <w:sz w:val="18"/>
                <w:szCs w:val="18"/>
                <w:color w:val="auto"/>
              </w:rPr>
              <w:t>21,643</w:t>
            </w:r>
          </w:p>
        </w:tc>
        <w:tc>
          <w:tcPr>
            <w:tcW w:w="200" w:type="dxa"/>
            <w:vAlign w:val="bottom"/>
          </w:tcPr>
          <w:p>
            <w:pPr>
              <w:spacing w:after="0"/>
              <w:rPr>
                <w:sz w:val="18"/>
                <w:szCs w:val="18"/>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10,989</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97</w:t>
            </w:r>
          </w:p>
        </w:tc>
        <w:tc>
          <w:tcPr>
            <w:tcW w:w="4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40,195</w:t>
            </w:r>
          </w:p>
        </w:tc>
        <w:tc>
          <w:tcPr>
            <w:tcW w:w="240" w:type="dxa"/>
            <w:vAlign w:val="bottom"/>
          </w:tcPr>
          <w:p>
            <w:pPr>
              <w:spacing w:after="0"/>
              <w:rPr>
                <w:sz w:val="18"/>
                <w:szCs w:val="18"/>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24,191</w:t>
            </w: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4"/>
            <w:shd w:val="clear" w:color="auto" w:fill="CCEEFF"/>
          </w:tcPr>
          <w:p>
            <w:pPr>
              <w:ind w:left="420"/>
              <w:spacing w:after="0"/>
              <w:rPr>
                <w:sz w:val="20"/>
                <w:szCs w:val="20"/>
                <w:color w:val="auto"/>
              </w:rPr>
            </w:pPr>
            <w:r>
              <w:rPr>
                <w:rFonts w:ascii="Arial" w:cs="Arial" w:eastAsia="Arial" w:hAnsi="Arial"/>
                <w:sz w:val="18"/>
                <w:szCs w:val="18"/>
                <w:color w:val="auto"/>
              </w:rPr>
              <w:t>Higher education</w:t>
            </w:r>
          </w:p>
        </w:tc>
        <w:tc>
          <w:tcPr>
            <w:tcW w:w="90" w:type="dxa"/>
            <w:vAlign w:val="bottom"/>
            <w:shd w:val="clear" w:color="auto" w:fill="CCEEFF"/>
          </w:tcPr>
          <w:p>
            <w:pPr>
              <w:spacing w:after="0"/>
              <w:rPr>
                <w:sz w:val="18"/>
                <w:szCs w:val="18"/>
                <w:color w:val="auto"/>
              </w:rPr>
            </w:pPr>
          </w:p>
        </w:tc>
        <w:tc>
          <w:tcPr>
            <w:tcW w:w="5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9,099</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5,065</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24,021</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13,951</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4"/>
          </w:tcPr>
          <w:p>
            <w:pPr>
              <w:ind w:left="420"/>
              <w:spacing w:after="0"/>
              <w:rPr>
                <w:sz w:val="20"/>
                <w:szCs w:val="20"/>
                <w:color w:val="auto"/>
              </w:rPr>
            </w:pPr>
            <w:r>
              <w:rPr>
                <w:rFonts w:ascii="Arial" w:cs="Arial" w:eastAsia="Arial" w:hAnsi="Arial"/>
                <w:sz w:val="18"/>
                <w:szCs w:val="18"/>
                <w:color w:val="auto"/>
              </w:rPr>
              <w:t>Kaplan corporate overhead</w:t>
            </w:r>
          </w:p>
        </w:tc>
        <w:tc>
          <w:tcPr>
            <w:tcW w:w="90" w:type="dxa"/>
            <w:vAlign w:val="bottom"/>
          </w:tcPr>
          <w:p>
            <w:pPr>
              <w:spacing w:after="0"/>
              <w:rPr>
                <w:sz w:val="18"/>
                <w:szCs w:val="18"/>
                <w:color w:val="auto"/>
              </w:rPr>
            </w:pPr>
          </w:p>
        </w:tc>
        <w:tc>
          <w:tcPr>
            <w:tcW w:w="790" w:type="dxa"/>
            <w:vAlign w:val="bottom"/>
            <w:gridSpan w:val="2"/>
          </w:tcPr>
          <w:p>
            <w:pPr>
              <w:jc w:val="right"/>
              <w:ind w:right="140"/>
              <w:spacing w:after="0"/>
              <w:rPr>
                <w:sz w:val="20"/>
                <w:szCs w:val="20"/>
                <w:color w:val="auto"/>
              </w:rPr>
            </w:pPr>
            <w:r>
              <w:rPr>
                <w:rFonts w:ascii="Arial" w:cs="Arial" w:eastAsia="Arial" w:hAnsi="Arial"/>
                <w:sz w:val="18"/>
                <w:szCs w:val="18"/>
                <w:color w:val="auto"/>
              </w:rPr>
              <w:t>(6,893)</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3"/>
          </w:tcPr>
          <w:p>
            <w:pPr>
              <w:jc w:val="right"/>
              <w:ind w:right="420"/>
              <w:spacing w:after="0"/>
              <w:rPr>
                <w:sz w:val="20"/>
                <w:szCs w:val="20"/>
                <w:color w:val="auto"/>
              </w:rPr>
            </w:pPr>
            <w:r>
              <w:rPr>
                <w:rFonts w:ascii="Arial" w:cs="Arial" w:eastAsia="Arial" w:hAnsi="Arial"/>
                <w:sz w:val="18"/>
                <w:szCs w:val="18"/>
                <w:color w:val="auto"/>
              </w:rPr>
              <w:t>(5,314)</w:t>
            </w: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w w:val="92"/>
              </w:rPr>
              <w:t>(14,333)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w w:val="92"/>
              </w:rPr>
              <w:t>(11,216)</w:t>
            </w:r>
          </w:p>
        </w:tc>
        <w:tc>
          <w:tcPr>
            <w:tcW w:w="2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4"/>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90" w:type="dxa"/>
            <w:vAlign w:val="bottom"/>
            <w:shd w:val="clear" w:color="auto" w:fill="CCEEFF"/>
          </w:tcPr>
          <w:p>
            <w:pPr>
              <w:spacing w:after="0"/>
              <w:rPr>
                <w:sz w:val="18"/>
                <w:szCs w:val="18"/>
                <w:color w:val="auto"/>
              </w:rPr>
            </w:pPr>
          </w:p>
        </w:tc>
        <w:tc>
          <w:tcPr>
            <w:tcW w:w="79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2"/>
              </w:rPr>
              <w:t>(20,322)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w w:val="92"/>
              </w:rPr>
              <w:t>(10,116)</w:t>
            </w: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(101)</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2"/>
              </w:rPr>
              <w:t>(30,429)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2"/>
              </w:rPr>
              <w:t>(26,852)</w:t>
            </w:r>
          </w:p>
        </w:tc>
        <w:tc>
          <w:tcPr>
            <w:tcW w:w="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740" w:type="dxa"/>
            <w:vAlign w:val="bottom"/>
          </w:tcPr>
          <w:p>
            <w:pPr>
              <w:spacing w:after="0"/>
              <w:rPr>
                <w:sz w:val="9"/>
                <w:szCs w:val="9"/>
                <w:color w:val="auto"/>
              </w:rPr>
            </w:pPr>
          </w:p>
        </w:tc>
        <w:tc>
          <w:tcPr>
            <w:tcW w:w="324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59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740" w:type="dxa"/>
            <w:vAlign w:val="bottom"/>
          </w:tcPr>
          <w:p>
            <w:pPr>
              <w:spacing w:after="0"/>
              <w:rPr>
                <w:sz w:val="8"/>
                <w:szCs w:val="8"/>
                <w:color w:val="auto"/>
              </w:rPr>
            </w:pPr>
          </w:p>
        </w:tc>
        <w:tc>
          <w:tcPr>
            <w:tcW w:w="3240" w:type="dxa"/>
            <w:vAlign w:val="bottom"/>
          </w:tcPr>
          <w:p>
            <w:pPr>
              <w:spacing w:after="0"/>
              <w:rPr>
                <w:sz w:val="8"/>
                <w:szCs w:val="8"/>
                <w:color w:val="auto"/>
              </w:rPr>
            </w:pPr>
          </w:p>
        </w:tc>
        <w:tc>
          <w:tcPr>
            <w:tcW w:w="90" w:type="dxa"/>
            <w:vAlign w:val="bottom"/>
          </w:tcPr>
          <w:p>
            <w:pPr>
              <w:spacing w:after="0"/>
              <w:rPr>
                <w:sz w:val="8"/>
                <w:szCs w:val="8"/>
                <w:color w:val="auto"/>
              </w:rPr>
            </w:pPr>
          </w:p>
        </w:tc>
        <w:tc>
          <w:tcPr>
            <w:tcW w:w="59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40" w:type="dxa"/>
            <w:vAlign w:val="bottom"/>
            <w:shd w:val="clear" w:color="auto" w:fill="CCEEFF"/>
          </w:tcPr>
          <w:p>
            <w:pPr>
              <w:spacing w:after="0"/>
              <w:rPr>
                <w:sz w:val="18"/>
                <w:szCs w:val="18"/>
                <w:color w:val="auto"/>
              </w:rPr>
            </w:pPr>
          </w:p>
        </w:tc>
        <w:tc>
          <w:tcPr>
            <w:tcW w:w="9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3,527</w:t>
            </w:r>
          </w:p>
        </w:tc>
        <w:tc>
          <w:tcPr>
            <w:tcW w:w="2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19,454</w:t>
            </w:r>
          </w:p>
        </w:tc>
        <w:tc>
          <w:tcPr>
            <w:tcW w:w="2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40" w:type="dxa"/>
            <w:vAlign w:val="bottom"/>
          </w:tcPr>
          <w:p>
            <w:pPr>
              <w:spacing w:after="0"/>
              <w:rPr>
                <w:sz w:val="11"/>
                <w:szCs w:val="11"/>
                <w:color w:val="auto"/>
              </w:rPr>
            </w:pPr>
          </w:p>
        </w:tc>
        <w:tc>
          <w:tcPr>
            <w:tcW w:w="90" w:type="dxa"/>
            <w:vAlign w:val="bottom"/>
            <w:tcBorders>
              <w:bottom w:val="single" w:sz="8" w:color="auto"/>
            </w:tcBorders>
          </w:tcPr>
          <w:p>
            <w:pPr>
              <w:spacing w:after="0"/>
              <w:rPr>
                <w:sz w:val="11"/>
                <w:szCs w:val="11"/>
                <w:color w:val="auto"/>
              </w:rPr>
            </w:pPr>
          </w:p>
        </w:tc>
        <w:tc>
          <w:tcPr>
            <w:tcW w:w="59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4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90" w:type="dxa"/>
            <w:vAlign w:val="bottom"/>
          </w:tcPr>
          <w:p>
            <w:pPr>
              <w:spacing w:after="0"/>
              <w:rPr>
                <w:sz w:val="18"/>
                <w:szCs w:val="18"/>
                <w:color w:val="auto"/>
              </w:rPr>
            </w:pPr>
          </w:p>
        </w:tc>
        <w:tc>
          <w:tcPr>
            <w:tcW w:w="59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3133090</wp:posOffset>
            </wp:positionH>
            <wp:positionV relativeFrom="paragraph">
              <wp:posOffset>-1304925</wp:posOffset>
            </wp:positionV>
            <wp:extent cx="12700" cy="298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3193415</wp:posOffset>
            </wp:positionH>
            <wp:positionV relativeFrom="paragraph">
              <wp:posOffset>-1304925</wp:posOffset>
            </wp:positionV>
            <wp:extent cx="21590" cy="298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3561715</wp:posOffset>
            </wp:positionH>
            <wp:positionV relativeFrom="paragraph">
              <wp:posOffset>-1304925</wp:posOffset>
            </wp:positionV>
            <wp:extent cx="38735" cy="298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-1304925</wp:posOffset>
            </wp:positionV>
            <wp:extent cx="12700" cy="298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-1304925</wp:posOffset>
            </wp:positionV>
            <wp:extent cx="21590" cy="298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-1304925</wp:posOffset>
            </wp:positionV>
            <wp:extent cx="38735" cy="298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-1304925</wp:posOffset>
            </wp:positionV>
            <wp:extent cx="12700" cy="298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-1304925</wp:posOffset>
            </wp:positionV>
            <wp:extent cx="38735" cy="298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-1304925</wp:posOffset>
            </wp:positionV>
            <wp:extent cx="12700" cy="298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5363210</wp:posOffset>
            </wp:positionH>
            <wp:positionV relativeFrom="paragraph">
              <wp:posOffset>-1304925</wp:posOffset>
            </wp:positionV>
            <wp:extent cx="21590" cy="298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-1304925</wp:posOffset>
            </wp:positionV>
            <wp:extent cx="38735" cy="298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-1304925</wp:posOffset>
            </wp:positionV>
            <wp:extent cx="12700" cy="298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6100445</wp:posOffset>
            </wp:positionH>
            <wp:positionV relativeFrom="paragraph">
              <wp:posOffset>-1304925</wp:posOffset>
            </wp:positionV>
            <wp:extent cx="21590" cy="298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-1304925</wp:posOffset>
            </wp:positionV>
            <wp:extent cx="38735" cy="298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6786245</wp:posOffset>
            </wp:positionH>
            <wp:positionV relativeFrom="paragraph">
              <wp:posOffset>-1304925</wp:posOffset>
            </wp:positionV>
            <wp:extent cx="12700" cy="298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-1304925</wp:posOffset>
            </wp:positionV>
            <wp:extent cx="38735" cy="298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3133090</wp:posOffset>
            </wp:positionH>
            <wp:positionV relativeFrom="paragraph">
              <wp:posOffset>-172720</wp:posOffset>
            </wp:positionV>
            <wp:extent cx="12700" cy="298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3193415</wp:posOffset>
            </wp:positionH>
            <wp:positionV relativeFrom="paragraph">
              <wp:posOffset>-172720</wp:posOffset>
            </wp:positionV>
            <wp:extent cx="21590" cy="298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3561715</wp:posOffset>
            </wp:positionH>
            <wp:positionV relativeFrom="paragraph">
              <wp:posOffset>-172720</wp:posOffset>
            </wp:positionV>
            <wp:extent cx="38735" cy="298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-172720</wp:posOffset>
            </wp:positionV>
            <wp:extent cx="12700" cy="298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-172720</wp:posOffset>
            </wp:positionV>
            <wp:extent cx="21590" cy="298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-172720</wp:posOffset>
            </wp:positionV>
            <wp:extent cx="38735" cy="298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-172720</wp:posOffset>
            </wp:positionV>
            <wp:extent cx="12700" cy="298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-172720</wp:posOffset>
            </wp:positionV>
            <wp:extent cx="38735" cy="298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-172720</wp:posOffset>
            </wp:positionV>
            <wp:extent cx="12700" cy="298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5363210</wp:posOffset>
            </wp:positionH>
            <wp:positionV relativeFrom="paragraph">
              <wp:posOffset>-172720</wp:posOffset>
            </wp:positionV>
            <wp:extent cx="21590" cy="298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-172720</wp:posOffset>
            </wp:positionV>
            <wp:extent cx="38735" cy="298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-172720</wp:posOffset>
            </wp:positionV>
            <wp:extent cx="12700" cy="298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6100445</wp:posOffset>
            </wp:positionH>
            <wp:positionV relativeFrom="paragraph">
              <wp:posOffset>-172720</wp:posOffset>
            </wp:positionV>
            <wp:extent cx="21590" cy="298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-172720</wp:posOffset>
            </wp:positionV>
            <wp:extent cx="38735" cy="298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6786245</wp:posOffset>
            </wp:positionH>
            <wp:positionV relativeFrom="paragraph">
              <wp:posOffset>-172720</wp:posOffset>
            </wp:positionV>
            <wp:extent cx="12700" cy="298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-172720</wp:posOffset>
            </wp:positionV>
            <wp:extent cx="38735" cy="298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80" w:lineRule="exact"/>
        <w:rPr>
          <w:sz w:val="20"/>
          <w:szCs w:val="20"/>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Other includes charges accrued for stock-based incentive compensation and amortization of certain intangibles.</w:t>
      </w:r>
    </w:p>
    <w:p>
      <w:pPr>
        <w:spacing w:after="0" w:line="15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Supplemental education includes Kaplan’s test preparation, professional training, and Score! businesses. On March 31, 2003, Kaplan completed its acquisition of Financial Training Corporation (FTC) for £55.3 million ($87.4 million), financed through cash and debt. Headquartered in London, FTC provides test preparation services for accountants and financial services professionals, with training centers in the United Kingdom and Asia. The improvement in supplemental education results for the second quarter and the first six months of 2003 is due to increased enrollment at Kaplan’s traditional test preparation business, significant increases in the professional real estate courses, and the FTC acquisition. Score! also contributed to the improved results, with increased enrollments at existing centers, and five new centers compared to last year.</w:t>
      </w:r>
    </w:p>
    <w:p>
      <w:pPr>
        <w:spacing w:after="0" w:line="107" w:lineRule="exact"/>
        <w:rPr>
          <w:sz w:val="20"/>
          <w:szCs w:val="20"/>
          <w:color w:val="auto"/>
        </w:rPr>
      </w:pPr>
    </w:p>
    <w:p>
      <w:pPr>
        <w:jc w:val="both"/>
        <w:ind w:right="460"/>
        <w:spacing w:after="0" w:line="259" w:lineRule="auto"/>
        <w:rPr>
          <w:sz w:val="20"/>
          <w:szCs w:val="20"/>
          <w:color w:val="auto"/>
        </w:rPr>
      </w:pPr>
      <w:r>
        <w:rPr>
          <w:rFonts w:ascii="Arial" w:cs="Arial" w:eastAsia="Arial" w:hAnsi="Arial"/>
          <w:sz w:val="18"/>
          <w:szCs w:val="18"/>
          <w:color w:val="auto"/>
        </w:rPr>
        <w:t>Higher education includes all of Kaplan’s post-secondary education businesses, including fixed-facility colleges as well as online post-secondary and career programs (various distance-learning businesses). Higher education results are showing significant growth due to student enrollment increases, high student retention rates, and several acquisitions.</w:t>
      </w:r>
    </w:p>
    <w:p>
      <w:pPr>
        <w:spacing w:after="0" w:line="127" w:lineRule="exact"/>
        <w:rPr>
          <w:sz w:val="20"/>
          <w:szCs w:val="20"/>
          <w:color w:val="auto"/>
        </w:rPr>
      </w:pPr>
    </w:p>
    <w:p>
      <w:pPr>
        <w:ind w:right="620"/>
        <w:spacing w:after="0" w:line="268" w:lineRule="auto"/>
        <w:rPr>
          <w:sz w:val="20"/>
          <w:szCs w:val="20"/>
          <w:color w:val="auto"/>
        </w:rPr>
      </w:pPr>
      <w:r>
        <w:rPr>
          <w:rFonts w:ascii="Arial" w:cs="Arial" w:eastAsia="Arial" w:hAnsi="Arial"/>
          <w:sz w:val="18"/>
          <w:szCs w:val="18"/>
          <w:color w:val="auto"/>
        </w:rPr>
        <w:t>Corporate overhead represents unallocated expenses of Kaplan, Inc.’s corporate office, including expenses associated with the design and development of educational software that, if successfully completed, will benefit all of Kaplan’s business units.</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color w:val="auto"/>
        </w:rPr>
        <w:t>Other expense is comprised of accrued charges for stock-based incentive compensation arising from a stock option plan established for certain members of</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Kaplan’s management and amortization of certain intangibles. Under the stock-based incentive plan, the amount of compensation expense varies directly with the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estimated fair value of Kaplan’s common stock and the number of options outstanding. At the end of each of the first, second and third quarters, the Company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estimates the value of Kaplan based upon a comparison of operating results and public market values of other education companies. At the end of each year,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final value is set by the Compensation Committee of the Company’s Board of Directors. Over the past several years, the value of education companies has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fluctuated significantly and there could be significant volatility in the amounts recorded as expense each quarter. If Kaplan’s profits continue to grow and values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education companies remain relatively high, this could lead to larger accruals in upcoming quarters. The Company recorded expense of $20.0 million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$10.0 million for the second quarter of 2003 and 2002, respectively, and $30.0 million and $26.6 million for the first six months of 2003 and 2002, respectively,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related to this plan. The</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80" w:right="239" w:bottom="1440" w:gutter="0" w:footer="0" w:header="0"/>
        </w:sectPr>
      </w:pPr>
    </w:p>
    <w:bookmarkStart w:id="19" w:name="page20"/>
    <w:bookmarkEnd w:id="19"/>
    <w:p>
      <w:pPr>
        <w:ind w:right="7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increased stock compensation expense in the second quarter of 2003 reflects the positive earnings growth of Kaplan and the general rise in valuations of education companies over the past three months.</w:t>
      </w:r>
    </w:p>
    <w:p>
      <w:pPr>
        <w:spacing w:after="0" w:line="112" w:lineRule="exact"/>
        <w:rPr>
          <w:sz w:val="20"/>
          <w:szCs w:val="20"/>
          <w:color w:val="auto"/>
        </w:rPr>
      </w:pPr>
    </w:p>
    <w:p>
      <w:pPr>
        <w:ind w:right="140"/>
        <w:spacing w:after="0" w:line="258" w:lineRule="auto"/>
        <w:rPr>
          <w:sz w:val="20"/>
          <w:szCs w:val="20"/>
          <w:color w:val="auto"/>
        </w:rPr>
      </w:pPr>
      <w:r>
        <w:rPr>
          <w:rFonts w:ascii="Arial" w:cs="Arial" w:eastAsia="Arial" w:hAnsi="Arial"/>
          <w:sz w:val="18"/>
          <w:szCs w:val="18"/>
          <w:b w:val="1"/>
          <w:bCs w:val="1"/>
          <w:color w:val="auto"/>
        </w:rPr>
        <w:t xml:space="preserve">Equity in Losses of Affiliates. </w:t>
      </w:r>
      <w:r>
        <w:rPr>
          <w:rFonts w:ascii="Arial" w:cs="Arial" w:eastAsia="Arial" w:hAnsi="Arial"/>
          <w:sz w:val="18"/>
          <w:szCs w:val="18"/>
          <w:color w:val="auto"/>
        </w:rPr>
        <w:t>The Company’s equity in losses of affiliates for the second quarter of 2003 was $5.5 million, compared to losses of $9.2 million</w:t>
      </w:r>
      <w:r>
        <w:rPr>
          <w:rFonts w:ascii="Arial" w:cs="Arial" w:eastAsia="Arial" w:hAnsi="Arial"/>
          <w:sz w:val="18"/>
          <w:szCs w:val="18"/>
          <w:b w:val="1"/>
          <w:bCs w:val="1"/>
          <w:color w:val="auto"/>
        </w:rPr>
        <w:t xml:space="preserve"> </w:t>
      </w:r>
      <w:r>
        <w:rPr>
          <w:rFonts w:ascii="Arial" w:cs="Arial" w:eastAsia="Arial" w:hAnsi="Arial"/>
          <w:sz w:val="18"/>
          <w:szCs w:val="18"/>
          <w:color w:val="auto"/>
        </w:rPr>
        <w:t>for the second quarter of 2002. For the first six months of 2003, the Company’s equity in losses of affiliates totaled $8.2 million, compared to losses of $15.7 million for the same period of 2002. The Company’s affiliate investments consist of a 49 percent interest in BrassRing LLC and a 49 percent interest in Bowater Mersey Paper Company Limited.</w:t>
      </w:r>
    </w:p>
    <w:p>
      <w:pPr>
        <w:spacing w:after="0" w:line="129" w:lineRule="exact"/>
        <w:rPr>
          <w:sz w:val="20"/>
          <w:szCs w:val="20"/>
          <w:color w:val="auto"/>
        </w:rPr>
      </w:pPr>
    </w:p>
    <w:p>
      <w:pPr>
        <w:jc w:val="both"/>
        <w:ind w:right="440"/>
        <w:spacing w:after="0" w:line="306" w:lineRule="auto"/>
        <w:rPr>
          <w:sz w:val="20"/>
          <w:szCs w:val="20"/>
          <w:color w:val="auto"/>
        </w:rPr>
      </w:pPr>
      <w:r>
        <w:rPr>
          <w:rFonts w:ascii="Arial" w:cs="Arial" w:eastAsia="Arial" w:hAnsi="Arial"/>
          <w:sz w:val="16"/>
          <w:szCs w:val="16"/>
          <w:color w:val="auto"/>
        </w:rPr>
        <w:t>BrassRing results improved this year, despite a 2003 second quarter charge arising from the shutdown of one of BrassRing businesses, which increased the Company’s equity in losses of BrassRing by $2.2 million. The Company’s equity in losses of BrassRing totaled $4.3 million and $6.3 million for the second quarter and year-to-date of 2003, respectively, compared to $6.5 million and $10.7 million for the same periods of 2002.</w:t>
      </w:r>
    </w:p>
    <w:p>
      <w:pPr>
        <w:spacing w:after="0" w:line="93"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On January 1, 2003, the Company sold its 50 percent interest in the International Herald Tribune for $65 million and the Company recorded an after-tax non-operating gain of $32.3 million in the first quarter of 2003.</w:t>
      </w:r>
    </w:p>
    <w:p>
      <w:pPr>
        <w:spacing w:after="0" w:line="112"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b w:val="1"/>
          <w:bCs w:val="1"/>
          <w:color w:val="auto"/>
        </w:rPr>
        <w:t xml:space="preserve">Non-Operating Items. </w:t>
      </w:r>
      <w:r>
        <w:rPr>
          <w:rFonts w:ascii="Arial" w:cs="Arial" w:eastAsia="Arial" w:hAnsi="Arial"/>
          <w:sz w:val="18"/>
          <w:szCs w:val="18"/>
          <w:color w:val="auto"/>
        </w:rPr>
        <w:t>The Company recorded other non-operating income, net, of $2.3 million for the second quarter of 2003, compared to $6.0 million of non-operating expense, net, in the second quarter of 2002. The 2003 non-operating income, net is primarily related to foreign currency gains, and the 2002 non-operating expense, net, includes charges for the write-down of certain investments.</w:t>
      </w:r>
    </w:p>
    <w:p>
      <w:pPr>
        <w:spacing w:after="0" w:line="125"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The Company recorded non-operating income, net, of $50.4 million for the first six months of 2003, compared to non-operating income, net, of $0.5 million for the same period of the prior year. The 2003 non-operating income, net, is comprised mostly of a $49.8 million pre-tax gain from the sale of the Company’s 50 percent interest in the International Herald Tribune. The 2002 non-operating income, net, includes a gain on the sale of marketable securities, offset by write-downs recorded on certain investments.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A summary of non-operating income (expense) for the twenty-six weeks ended June 29, 2003, and June 30, 2002, follow (in millions):</w:t>
      </w:r>
    </w:p>
    <w:p>
      <w:pPr>
        <w:spacing w:after="0" w:line="153" w:lineRule="exact"/>
        <w:rPr>
          <w:sz w:val="20"/>
          <w:szCs w:val="20"/>
          <w:color w:val="auto"/>
        </w:rPr>
      </w:pPr>
    </w:p>
    <w:tbl>
      <w:tblPr>
        <w:tblLayout w:type="fixed"/>
        <w:tblInd w:w="1440" w:type="dxa"/>
        <w:tblCellMar>
          <w:top w:w="0" w:type="dxa"/>
          <w:left w:w="0" w:type="dxa"/>
          <w:bottom w:w="0" w:type="dxa"/>
          <w:right w:w="0" w:type="dxa"/>
        </w:tblCellMar>
      </w:tblPr>
      <w:tr>
        <w:trPr>
          <w:trHeight w:val="174"/>
        </w:trPr>
        <w:tc>
          <w:tcPr>
            <w:tcW w:w="734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2003</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jc w:val="right"/>
              <w:ind w:right="15"/>
              <w:spacing w:after="0"/>
              <w:rPr>
                <w:sz w:val="20"/>
                <w:szCs w:val="20"/>
                <w:color w:val="auto"/>
              </w:rPr>
            </w:pPr>
            <w:r>
              <w:rPr>
                <w:rFonts w:ascii="Arial" w:cs="Arial" w:eastAsia="Arial" w:hAnsi="Arial"/>
                <w:sz w:val="14"/>
                <w:szCs w:val="14"/>
                <w:b w:val="1"/>
                <w:bCs w:val="1"/>
                <w:color w:val="auto"/>
                <w:w w:val="83"/>
              </w:rPr>
              <w:t>2002</w:t>
            </w:r>
          </w:p>
        </w:tc>
        <w:tc>
          <w:tcPr>
            <w:tcW w:w="80" w:type="dxa"/>
            <w:vAlign w:val="bottom"/>
          </w:tcPr>
          <w:p>
            <w:pPr>
              <w:spacing w:after="0"/>
              <w:rPr>
                <w:sz w:val="15"/>
                <w:szCs w:val="15"/>
                <w:color w:val="auto"/>
              </w:rPr>
            </w:pPr>
          </w:p>
        </w:tc>
      </w:tr>
      <w:tr>
        <w:trPr>
          <w:trHeight w:val="95"/>
        </w:trPr>
        <w:tc>
          <w:tcPr>
            <w:tcW w:w="734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r>
      <w:tr>
        <w:trPr>
          <w:trHeight w:val="102"/>
        </w:trPr>
        <w:tc>
          <w:tcPr>
            <w:tcW w:w="7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r>
      <w:tr>
        <w:trPr>
          <w:trHeight w:val="216"/>
        </w:trPr>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Gain on sale of interest in IHT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$49.8</w:t>
            </w: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7340" w:type="dxa"/>
            <w:vAlign w:val="bottom"/>
          </w:tcPr>
          <w:p>
            <w:pPr>
              <w:spacing w:after="0"/>
              <w:rPr>
                <w:sz w:val="20"/>
                <w:szCs w:val="20"/>
                <w:color w:val="auto"/>
              </w:rPr>
            </w:pPr>
            <w:r>
              <w:rPr>
                <w:rFonts w:ascii="Arial" w:cs="Arial" w:eastAsia="Arial" w:hAnsi="Arial"/>
                <w:sz w:val="18"/>
                <w:szCs w:val="18"/>
                <w:color w:val="auto"/>
              </w:rPr>
              <w:t>Impairment write-downs on cost method and other investments</w:t>
            </w: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(16.7)</w:t>
            </w:r>
          </w:p>
        </w:tc>
      </w:tr>
      <w:tr>
        <w:trPr>
          <w:trHeight w:val="216"/>
        </w:trPr>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Gain on sale of marketable securities</w:t>
            </w:r>
          </w:p>
        </w:tc>
        <w:tc>
          <w:tcPr>
            <w:tcW w:w="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13.2</w:t>
            </w:r>
          </w:p>
        </w:tc>
      </w:tr>
      <w:tr>
        <w:trPr>
          <w:trHeight w:val="216"/>
        </w:trPr>
        <w:tc>
          <w:tcPr>
            <w:tcW w:w="7340" w:type="dxa"/>
            <w:vAlign w:val="bottom"/>
          </w:tcPr>
          <w:p>
            <w:pPr>
              <w:spacing w:after="0"/>
              <w:rPr>
                <w:sz w:val="20"/>
                <w:szCs w:val="20"/>
                <w:color w:val="auto"/>
              </w:rPr>
            </w:pPr>
            <w:r>
              <w:rPr>
                <w:rFonts w:ascii="Arial" w:cs="Arial" w:eastAsia="Arial" w:hAnsi="Arial"/>
                <w:sz w:val="18"/>
                <w:szCs w:val="18"/>
                <w:color w:val="auto"/>
              </w:rPr>
              <w:t>Foreign currency gains (losses), net</w:t>
            </w:r>
          </w:p>
        </w:tc>
        <w:tc>
          <w:tcPr>
            <w:tcW w:w="420" w:type="dxa"/>
            <w:vAlign w:val="bottom"/>
          </w:tcPr>
          <w:p>
            <w:pPr>
              <w:jc w:val="right"/>
              <w:spacing w:after="0"/>
              <w:rPr>
                <w:sz w:val="20"/>
                <w:szCs w:val="20"/>
                <w:color w:val="auto"/>
              </w:rPr>
            </w:pPr>
            <w:r>
              <w:rPr>
                <w:rFonts w:ascii="Arial" w:cs="Arial" w:eastAsia="Arial" w:hAnsi="Arial"/>
                <w:sz w:val="18"/>
                <w:szCs w:val="18"/>
                <w:color w:val="auto"/>
              </w:rPr>
              <w:t>0.8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Other gains</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w:t>
            </w:r>
          </w:p>
        </w:tc>
      </w:tr>
      <w:tr>
        <w:trPr>
          <w:trHeight w:val="108"/>
        </w:trPr>
        <w:tc>
          <w:tcPr>
            <w:tcW w:w="7340" w:type="dxa"/>
            <w:vAlign w:val="bottom"/>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r>
      <w:tr>
        <w:trPr>
          <w:trHeight w:val="102"/>
        </w:trPr>
        <w:tc>
          <w:tcPr>
            <w:tcW w:w="7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r>
      <w:tr>
        <w:trPr>
          <w:trHeight w:val="216"/>
        </w:trPr>
        <w:tc>
          <w:tcPr>
            <w:tcW w:w="73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$50.4</w:t>
            </w: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0.5</w:t>
            </w:r>
          </w:p>
        </w:tc>
      </w:tr>
      <w:tr>
        <w:trPr>
          <w:trHeight w:val="132"/>
        </w:trPr>
        <w:tc>
          <w:tcPr>
            <w:tcW w:w="7340" w:type="dxa"/>
            <w:vAlign w:val="bottom"/>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5577205</wp:posOffset>
            </wp:positionH>
            <wp:positionV relativeFrom="paragraph">
              <wp:posOffset>-29210</wp:posOffset>
            </wp:positionV>
            <wp:extent cx="12700" cy="298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-29210</wp:posOffset>
            </wp:positionV>
            <wp:extent cx="21590" cy="298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-29210</wp:posOffset>
            </wp:positionV>
            <wp:extent cx="492760" cy="298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492760" cy="29845"/>
                    </a:xfrm>
                    <a:prstGeom prst="rect">
                      <a:avLst/>
                    </a:prstGeom>
                    <a:noFill/>
                  </pic:spPr>
                </pic:pic>
              </a:graphicData>
            </a:graphic>
          </wp:anchor>
        </w:drawing>
      </w:r>
    </w:p>
    <w:p>
      <w:pPr>
        <w:spacing w:after="0" w:line="219" w:lineRule="exact"/>
        <w:rPr>
          <w:sz w:val="20"/>
          <w:szCs w:val="20"/>
          <w:color w:val="auto"/>
        </w:rPr>
      </w:pPr>
    </w:p>
    <w:p>
      <w:pPr>
        <w:spacing w:after="0" w:line="275" w:lineRule="auto"/>
        <w:rPr>
          <w:sz w:val="20"/>
          <w:szCs w:val="20"/>
          <w:color w:val="auto"/>
        </w:rPr>
      </w:pPr>
      <w:r>
        <w:rPr>
          <w:rFonts w:ascii="Arial" w:cs="Arial" w:eastAsia="Arial" w:hAnsi="Arial"/>
          <w:sz w:val="18"/>
          <w:szCs w:val="18"/>
          <w:b w:val="1"/>
          <w:bCs w:val="1"/>
          <w:color w:val="auto"/>
        </w:rPr>
        <w:t xml:space="preserve">Net Interest Expense. </w:t>
      </w:r>
      <w:r>
        <w:rPr>
          <w:rFonts w:ascii="Arial" w:cs="Arial" w:eastAsia="Arial" w:hAnsi="Arial"/>
          <w:sz w:val="18"/>
          <w:szCs w:val="18"/>
          <w:color w:val="auto"/>
        </w:rPr>
        <w:t>The Company incurred net interest expense of $6.2 million for the second quarter of 2003, compared to $8.7 million for the second quarter</w:t>
      </w:r>
      <w:r>
        <w:rPr>
          <w:rFonts w:ascii="Arial" w:cs="Arial" w:eastAsia="Arial" w:hAnsi="Arial"/>
          <w:sz w:val="18"/>
          <w:szCs w:val="18"/>
          <w:b w:val="1"/>
          <w:bCs w:val="1"/>
          <w:color w:val="auto"/>
        </w:rPr>
        <w:t xml:space="preserve"> </w:t>
      </w:r>
      <w:r>
        <w:rPr>
          <w:rFonts w:ascii="Arial" w:cs="Arial" w:eastAsia="Arial" w:hAnsi="Arial"/>
          <w:sz w:val="18"/>
          <w:szCs w:val="18"/>
          <w:color w:val="auto"/>
        </w:rPr>
        <w:t>of 2002; net interest expense totaled $13.3 million for the first six months of 2003,</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80" w:right="239" w:bottom="1440" w:gutter="0" w:footer="0" w:header="0"/>
        </w:sectPr>
      </w:pPr>
    </w:p>
    <w:bookmarkStart w:id="20" w:name="page21"/>
    <w:bookmarkEnd w:id="20"/>
    <w:p>
      <w:pPr>
        <w:ind w:right="1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versus $17.5 million in 2002. The reduction is due to lower average borrowings in the first six months of 2003 versus the same period of the prior year. At June 30, 2003, the Company had $622.9 million in borrowings outstanding at an average interest rate of 4.1 percent.</w:t>
      </w:r>
    </w:p>
    <w:p>
      <w:pPr>
        <w:spacing w:after="0" w:line="112"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b w:val="1"/>
          <w:bCs w:val="1"/>
          <w:color w:val="auto"/>
        </w:rPr>
        <w:t xml:space="preserve">Provision for Income Taxes. </w:t>
      </w:r>
      <w:r>
        <w:rPr>
          <w:rFonts w:ascii="Arial" w:cs="Arial" w:eastAsia="Arial" w:hAnsi="Arial"/>
          <w:sz w:val="18"/>
          <w:szCs w:val="18"/>
          <w:color w:val="auto"/>
        </w:rPr>
        <w:t>The effective tax rate for the second quarter and first six months of 2003 was 37.8 percent, compared to 40.9 percent for the same</w:t>
      </w:r>
      <w:r>
        <w:rPr>
          <w:rFonts w:ascii="Arial" w:cs="Arial" w:eastAsia="Arial" w:hAnsi="Arial"/>
          <w:sz w:val="18"/>
          <w:szCs w:val="18"/>
          <w:b w:val="1"/>
          <w:bCs w:val="1"/>
          <w:color w:val="auto"/>
        </w:rPr>
        <w:t xml:space="preserve"> </w:t>
      </w:r>
      <w:r>
        <w:rPr>
          <w:rFonts w:ascii="Arial" w:cs="Arial" w:eastAsia="Arial" w:hAnsi="Arial"/>
          <w:sz w:val="18"/>
          <w:szCs w:val="18"/>
          <w:color w:val="auto"/>
        </w:rPr>
        <w:t>periods of 2002. The 2003 rate benefited from the 35.1 percent effective tax rate applicable to the one-time gain arising from the sale of the Company’s interest in the International Herald Tribune. The effective tax rate for 2003 has also declined due to an increase in operating earnings and a decrease in the overall state tax rate.</w:t>
      </w:r>
    </w:p>
    <w:p>
      <w:pPr>
        <w:spacing w:after="0" w:line="123" w:lineRule="exact"/>
        <w:rPr>
          <w:sz w:val="20"/>
          <w:szCs w:val="20"/>
          <w:color w:val="auto"/>
        </w:rPr>
      </w:pPr>
    </w:p>
    <w:p>
      <w:pPr>
        <w:spacing w:after="0" w:line="258" w:lineRule="auto"/>
        <w:rPr>
          <w:sz w:val="20"/>
          <w:szCs w:val="20"/>
          <w:color w:val="auto"/>
        </w:rPr>
      </w:pPr>
      <w:r>
        <w:rPr>
          <w:rFonts w:ascii="Arial" w:cs="Arial" w:eastAsia="Arial" w:hAnsi="Arial"/>
          <w:sz w:val="18"/>
          <w:szCs w:val="18"/>
          <w:b w:val="1"/>
          <w:bCs w:val="1"/>
          <w:color w:val="auto"/>
        </w:rPr>
        <w:t xml:space="preserve">Cumulative Effect of Change in Accounting Principle. </w:t>
      </w:r>
      <w:r>
        <w:rPr>
          <w:rFonts w:ascii="Arial" w:cs="Arial" w:eastAsia="Arial" w:hAnsi="Arial"/>
          <w:sz w:val="18"/>
          <w:szCs w:val="18"/>
          <w:color w:val="auto"/>
        </w:rPr>
        <w:t>In 2002, the Company completed its transitional goodwill impairment test required under Statement of</w:t>
      </w:r>
      <w:r>
        <w:rPr>
          <w:rFonts w:ascii="Arial" w:cs="Arial" w:eastAsia="Arial" w:hAnsi="Arial"/>
          <w:sz w:val="18"/>
          <w:szCs w:val="18"/>
          <w:b w:val="1"/>
          <w:bCs w:val="1"/>
          <w:color w:val="auto"/>
        </w:rPr>
        <w:t xml:space="preserve"> </w:t>
      </w:r>
      <w:r>
        <w:rPr>
          <w:rFonts w:ascii="Arial" w:cs="Arial" w:eastAsia="Arial" w:hAnsi="Arial"/>
          <w:sz w:val="18"/>
          <w:szCs w:val="18"/>
          <w:color w:val="auto"/>
        </w:rPr>
        <w:t>Financial Accounting Standards No. 142, “Goodwill and Other Intangible Assets” (SFAS 142), resulting in an after-tax impairment loss of $12.1 million, or $1.27 per share, related to PostNewsweek Tech Media (part of magazine publishing segment). This loss is included in the Company’s 2002 results as a cumulative effect of change in accounting principle.</w:t>
      </w:r>
    </w:p>
    <w:p>
      <w:pPr>
        <w:spacing w:after="0" w:line="123" w:lineRule="exact"/>
        <w:rPr>
          <w:sz w:val="20"/>
          <w:szCs w:val="20"/>
          <w:color w:val="auto"/>
        </w:rPr>
      </w:pPr>
    </w:p>
    <w:p>
      <w:pPr>
        <w:ind w:right="340"/>
        <w:spacing w:after="0" w:line="310" w:lineRule="auto"/>
        <w:rPr>
          <w:sz w:val="20"/>
          <w:szCs w:val="20"/>
          <w:color w:val="auto"/>
        </w:rPr>
      </w:pPr>
      <w:r>
        <w:rPr>
          <w:rFonts w:ascii="Arial" w:cs="Arial" w:eastAsia="Arial" w:hAnsi="Arial"/>
          <w:sz w:val="16"/>
          <w:szCs w:val="16"/>
          <w:b w:val="1"/>
          <w:bCs w:val="1"/>
          <w:color w:val="auto"/>
        </w:rPr>
        <w:t xml:space="preserve">Earnings Per Share. </w:t>
      </w:r>
      <w:r>
        <w:rPr>
          <w:rFonts w:ascii="Arial" w:cs="Arial" w:eastAsia="Arial" w:hAnsi="Arial"/>
          <w:sz w:val="16"/>
          <w:szCs w:val="16"/>
          <w:color w:val="auto"/>
        </w:rPr>
        <w:t>The calculation of diluted earnings per share for the second quarter and first six months of 2003 was based on 9,555,000 and 9,554,000</w:t>
      </w:r>
      <w:r>
        <w:rPr>
          <w:rFonts w:ascii="Arial" w:cs="Arial" w:eastAsia="Arial" w:hAnsi="Arial"/>
          <w:sz w:val="16"/>
          <w:szCs w:val="16"/>
          <w:b w:val="1"/>
          <w:bCs w:val="1"/>
          <w:color w:val="auto"/>
        </w:rPr>
        <w:t xml:space="preserve"> </w:t>
      </w:r>
      <w:r>
        <w:rPr>
          <w:rFonts w:ascii="Arial" w:cs="Arial" w:eastAsia="Arial" w:hAnsi="Arial"/>
          <w:sz w:val="16"/>
          <w:szCs w:val="16"/>
          <w:color w:val="auto"/>
        </w:rPr>
        <w:t>weighted average shares outstanding, respectively, compared to 9,521,000 and 9,516,000 weighted average shares outstanding, respectively, for the second quarter and first six months of 2002. The Company made no significant repurchases of its stock during the first half of 2003.</w:t>
      </w:r>
    </w:p>
    <w:p>
      <w:pPr>
        <w:spacing w:after="0" w:line="84" w:lineRule="exact"/>
        <w:rPr>
          <w:sz w:val="20"/>
          <w:szCs w:val="20"/>
          <w:color w:val="auto"/>
        </w:rPr>
      </w:pPr>
    </w:p>
    <w:p>
      <w:pPr>
        <w:ind w:right="220"/>
        <w:spacing w:after="0" w:line="296" w:lineRule="auto"/>
        <w:rPr>
          <w:sz w:val="20"/>
          <w:szCs w:val="20"/>
          <w:color w:val="auto"/>
        </w:rPr>
      </w:pPr>
      <w:r>
        <w:rPr>
          <w:rFonts w:ascii="Arial" w:cs="Arial" w:eastAsia="Arial" w:hAnsi="Arial"/>
          <w:sz w:val="16"/>
          <w:szCs w:val="16"/>
          <w:b w:val="1"/>
          <w:bCs w:val="1"/>
          <w:color w:val="auto"/>
        </w:rPr>
        <w:t xml:space="preserve">Stock Options—Change in Accounting Method. </w:t>
      </w:r>
      <w:r>
        <w:rPr>
          <w:rFonts w:ascii="Arial" w:cs="Arial" w:eastAsia="Arial" w:hAnsi="Arial"/>
          <w:sz w:val="16"/>
          <w:szCs w:val="16"/>
          <w:color w:val="auto"/>
        </w:rPr>
        <w:t>Effective the first day of the Company’s 2002 fiscal year, the Company has adopted the fair-value-based</w:t>
      </w:r>
      <w:r>
        <w:rPr>
          <w:rFonts w:ascii="Arial" w:cs="Arial" w:eastAsia="Arial" w:hAnsi="Arial"/>
          <w:sz w:val="16"/>
          <w:szCs w:val="16"/>
          <w:b w:val="1"/>
          <w:bCs w:val="1"/>
          <w:color w:val="auto"/>
        </w:rPr>
        <w:t xml:space="preserve"> </w:t>
      </w:r>
      <w:r>
        <w:rPr>
          <w:rFonts w:ascii="Arial" w:cs="Arial" w:eastAsia="Arial" w:hAnsi="Arial"/>
          <w:sz w:val="16"/>
          <w:szCs w:val="16"/>
          <w:color w:val="auto"/>
        </w:rPr>
        <w:t>method of accounting for company stock options as outlined in Statement of Financial Accounting Standards No. 123, “Accounting for Stock-Based Compensation” (SFAS 123). This change in accounting method will be applied prospectively to all awards granted from the beginning of the Company’s fiscal year 2002 and thereafter. Stock options awarded prior to fiscal 2002 will continue to be accounted for under the intrinsic value method under Accounting Principles Board Opinion No. 25, “Accounting for Stock Issued to Employees.”</w:t>
      </w:r>
    </w:p>
    <w:p>
      <w:pPr>
        <w:spacing w:after="0" w:line="100"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The Company recorded $284,000 in stock option expense for the first six-months of 2003; there was no Company stock option expense in the first six-months of 2002.</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 Capital Resources and Liquidity</w:t>
      </w:r>
    </w:p>
    <w:p>
      <w:pPr>
        <w:spacing w:after="0" w:line="77"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b w:val="1"/>
          <w:bCs w:val="1"/>
          <w:color w:val="auto"/>
        </w:rPr>
        <w:t xml:space="preserve">Acquisitions. </w:t>
      </w:r>
      <w:r>
        <w:rPr>
          <w:rFonts w:ascii="Arial" w:cs="Arial" w:eastAsia="Arial" w:hAnsi="Arial"/>
          <w:sz w:val="18"/>
          <w:szCs w:val="18"/>
          <w:color w:val="auto"/>
        </w:rPr>
        <w:t>In the second quarter of 2003, Kaplan acquired two additional businesses in its higher education and professional divisions for a total of $17.5</w:t>
      </w:r>
      <w:r>
        <w:rPr>
          <w:rFonts w:ascii="Arial" w:cs="Arial" w:eastAsia="Arial" w:hAnsi="Arial"/>
          <w:sz w:val="18"/>
          <w:szCs w:val="18"/>
          <w:b w:val="1"/>
          <w:bCs w:val="1"/>
          <w:color w:val="auto"/>
        </w:rPr>
        <w:t xml:space="preserve"> </w:t>
      </w:r>
      <w:r>
        <w:rPr>
          <w:rFonts w:ascii="Arial" w:cs="Arial" w:eastAsia="Arial" w:hAnsi="Arial"/>
          <w:sz w:val="18"/>
          <w:szCs w:val="18"/>
          <w:color w:val="auto"/>
        </w:rPr>
        <w:t>million, financed through cash and debt, with $3 million remaining to be paid. In addition, the cable division acquired a system in North Dakota for $1.5 million. Most of the purchase price for these acquisitions has been preliminarily allocated to goodwill.</w:t>
      </w:r>
    </w:p>
    <w:p>
      <w:pPr>
        <w:spacing w:after="0" w:line="125"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In March 2003, Kaplan completed its acquisition of the stock of Financial Training Corporation (FTC), for £55.3 million ($87.4 million). Headquartered in London, FTC provides test preparation services for accountants and financial services professionals, with 18 training centers in the United Kingdom and Asia. The acquisition was financed through cash and debt with $26.5 million remaining to be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280" w:right="259" w:bottom="1440" w:gutter="0" w:footer="0" w:header="0"/>
        </w:sectPr>
      </w:pPr>
    </w:p>
    <w:bookmarkStart w:id="21" w:name="page22"/>
    <w:bookmarkEnd w:id="2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paid, primarily to employees of the business. Most of the purchase price has been allocated to goodwill, on a preliminary basis.</w:t>
      </w:r>
    </w:p>
    <w:p>
      <w:pPr>
        <w:spacing w:after="0" w:line="152" w:lineRule="exact"/>
        <w:rPr>
          <w:sz w:val="20"/>
          <w:szCs w:val="20"/>
          <w:color w:val="auto"/>
        </w:rPr>
      </w:pPr>
    </w:p>
    <w:p>
      <w:pPr>
        <w:ind w:right="360"/>
        <w:spacing w:after="0" w:line="275" w:lineRule="auto"/>
        <w:rPr>
          <w:sz w:val="20"/>
          <w:szCs w:val="20"/>
          <w:color w:val="auto"/>
        </w:rPr>
      </w:pPr>
      <w:r>
        <w:rPr>
          <w:rFonts w:ascii="Arial" w:cs="Arial" w:eastAsia="Arial" w:hAnsi="Arial"/>
          <w:sz w:val="18"/>
          <w:szCs w:val="18"/>
          <w:b w:val="1"/>
          <w:bCs w:val="1"/>
          <w:color w:val="auto"/>
        </w:rPr>
        <w:t xml:space="preserve">Capital expenditures. </w:t>
      </w:r>
      <w:r>
        <w:rPr>
          <w:rFonts w:ascii="Arial" w:cs="Arial" w:eastAsia="Arial" w:hAnsi="Arial"/>
          <w:sz w:val="18"/>
          <w:szCs w:val="18"/>
          <w:color w:val="auto"/>
        </w:rPr>
        <w:t>During the first six months of 2003, the Company’s capital expenditures totaled $58.8 million. The Company anticipates it will spend</w:t>
      </w:r>
      <w:r>
        <w:rPr>
          <w:rFonts w:ascii="Arial" w:cs="Arial" w:eastAsia="Arial" w:hAnsi="Arial"/>
          <w:sz w:val="18"/>
          <w:szCs w:val="18"/>
          <w:b w:val="1"/>
          <w:bCs w:val="1"/>
          <w:color w:val="auto"/>
        </w:rPr>
        <w:t xml:space="preserve"> </w:t>
      </w:r>
      <w:r>
        <w:rPr>
          <w:rFonts w:ascii="Arial" w:cs="Arial" w:eastAsia="Arial" w:hAnsi="Arial"/>
          <w:sz w:val="18"/>
          <w:szCs w:val="18"/>
          <w:color w:val="auto"/>
        </w:rPr>
        <w:t>approximately $160 to $170 million throughout 2003 for property and equipment.</w:t>
      </w:r>
    </w:p>
    <w:p>
      <w:pPr>
        <w:spacing w:after="0" w:line="106" w:lineRule="exact"/>
        <w:rPr>
          <w:sz w:val="20"/>
          <w:szCs w:val="20"/>
          <w:color w:val="auto"/>
        </w:rPr>
      </w:pPr>
    </w:p>
    <w:p>
      <w:pPr>
        <w:jc w:val="both"/>
        <w:spacing w:after="0" w:line="310" w:lineRule="auto"/>
        <w:rPr>
          <w:sz w:val="20"/>
          <w:szCs w:val="20"/>
          <w:color w:val="auto"/>
        </w:rPr>
      </w:pPr>
      <w:r>
        <w:rPr>
          <w:rFonts w:ascii="Arial" w:cs="Arial" w:eastAsia="Arial" w:hAnsi="Arial"/>
          <w:sz w:val="16"/>
          <w:szCs w:val="16"/>
          <w:b w:val="1"/>
          <w:bCs w:val="1"/>
          <w:color w:val="auto"/>
        </w:rPr>
        <w:t xml:space="preserve">Liquidity. </w:t>
      </w:r>
      <w:r>
        <w:rPr>
          <w:rFonts w:ascii="Arial" w:cs="Arial" w:eastAsia="Arial" w:hAnsi="Arial"/>
          <w:sz w:val="16"/>
          <w:szCs w:val="16"/>
          <w:color w:val="auto"/>
        </w:rPr>
        <w:t>Throughout the first six months of 2003, the Company’s borrowings, net of repayments, decreased by $41.9 million, with the decrease primarily due to</w:t>
      </w:r>
      <w:r>
        <w:rPr>
          <w:rFonts w:ascii="Arial" w:cs="Arial" w:eastAsia="Arial" w:hAnsi="Arial"/>
          <w:sz w:val="16"/>
          <w:szCs w:val="16"/>
          <w:b w:val="1"/>
          <w:bCs w:val="1"/>
          <w:color w:val="auto"/>
        </w:rPr>
        <w:t xml:space="preserve"> </w:t>
      </w:r>
      <w:r>
        <w:rPr>
          <w:rFonts w:ascii="Arial" w:cs="Arial" w:eastAsia="Arial" w:hAnsi="Arial"/>
          <w:sz w:val="16"/>
          <w:szCs w:val="16"/>
          <w:color w:val="auto"/>
        </w:rPr>
        <w:t>cash flows from operations. While the Company paid down $72.4 million in commercial paper borrowings and other long-term debt during the first six months of 2003, the Company also financed part of certain acquisitions during this period, principally $26.5 million in debt from the FTC acquisition.</w:t>
      </w:r>
    </w:p>
    <w:p>
      <w:pPr>
        <w:spacing w:after="0" w:line="90"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At June 29, 2003, the Company had $622.9 million in total debt outstanding, which comprised $188.5 million of commercial paper borrowings, $398.5 million of 5.5 percent unsecured notes due February 15, 2009, and $35.9 million in other debt.</w:t>
      </w:r>
    </w:p>
    <w:p>
      <w:pPr>
        <w:spacing w:after="0" w:line="11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second quarter of 2003 and 2002, the Company had average borrowings outstanding of approximately $633.2 million and $830.6 million, respectively, at average annual interest rates of approximately 4.1 percent and 3.7 percent, respectively. During the second quarter of 2003 and 2002, the Company incurred net interest expense on borrowings of $6.2 million and $8.7 million, respectively.</w:t>
      </w:r>
    </w:p>
    <w:p>
      <w:pPr>
        <w:spacing w:after="0" w:line="127" w:lineRule="exact"/>
        <w:rPr>
          <w:sz w:val="20"/>
          <w:szCs w:val="20"/>
          <w:color w:val="auto"/>
        </w:rPr>
      </w:pPr>
    </w:p>
    <w:p>
      <w:pPr>
        <w:ind w:right="620"/>
        <w:spacing w:after="0" w:line="306" w:lineRule="auto"/>
        <w:rPr>
          <w:sz w:val="20"/>
          <w:szCs w:val="20"/>
          <w:color w:val="auto"/>
        </w:rPr>
      </w:pPr>
      <w:r>
        <w:rPr>
          <w:rFonts w:ascii="Arial" w:cs="Arial" w:eastAsia="Arial" w:hAnsi="Arial"/>
          <w:sz w:val="16"/>
          <w:szCs w:val="16"/>
          <w:color w:val="auto"/>
        </w:rPr>
        <w:t>During the first six months of 2003 and 2002 the Company had average borrowings outstanding of approximately $617.4 million and $859.5 million, respectively, at average annual interest rates of approximately 4.1 percent and 3.6 percent, respectively. During the first six months of 2003 and 2002, the Company incurred net interest expense on borrowings of $13.3 million and $17.5 million, respectively.</w:t>
      </w:r>
    </w:p>
    <w:p>
      <w:pPr>
        <w:spacing w:after="0" w:line="93"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At June 29, 2003 and December 29, 2002, the Company has a working capital deficit of $319.3 million and $353.2 million, respectively. The Company maintains working capital levels consistent with its underlying business requirements and consistently generates cash from operations in excess of required interest or principal payments. The Company has classified all of its commercial paper borrowing obligations as a current liability at June 29, 2003 and December 29, 2002 as the Company intends to pay down commercial paper borrowings from operating cash flow. However, the Company continues to maintain the ability to refinance such obligations on a long-term basis through new debt issuance and/or its revolving credit facility agreements.</w:t>
      </w:r>
    </w:p>
    <w:p>
      <w:pPr>
        <w:spacing w:after="0" w:line="102"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The Company expects to fund its estimated capital needs primarily through internally generated funds, and to a lesser extent, commercial paper borrowings. In management’s opinion, the Company will have ample liquidity to meet its various cash needs throughout 2003.</w:t>
      </w:r>
    </w:p>
    <w:p>
      <w:pPr>
        <w:spacing w:after="0" w:line="11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table below presents long-term debt maturities, required payments under contractual agreements for programming rights (includes commitments that are recorded in the consolidated balance sheet and commitments to purchase programming to be produced in future years) and future minimum lease payments to be made under noncancelable operating leases as of June 29, 2003:</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280" w:right="25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Contractual Obligations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1"/>
              </w:rPr>
              <w:t>Future</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4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Programming</w:t>
            </w: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Minimum</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40" w:type="dxa"/>
            <w:vAlign w:val="bottom"/>
          </w:tcPr>
          <w:p>
            <w:pPr>
              <w:spacing w:after="0"/>
              <w:rPr>
                <w:sz w:val="12"/>
                <w:szCs w:val="12"/>
                <w:color w:val="auto"/>
              </w:rPr>
            </w:pPr>
          </w:p>
        </w:tc>
        <w:tc>
          <w:tcPr>
            <w:tcW w:w="398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Fiscal</w:t>
            </w:r>
          </w:p>
        </w:tc>
        <w:tc>
          <w:tcPr>
            <w:tcW w:w="92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Commercial</w:t>
            </w: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2"/>
              </w:rPr>
              <w:t>Long-term</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Purchase</w:t>
            </w: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0"/>
              </w:rPr>
              <w:t>Lease</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1440" w:type="dxa"/>
            <w:vAlign w:val="bottom"/>
          </w:tcPr>
          <w:p>
            <w:pPr>
              <w:spacing w:after="0"/>
              <w:rPr>
                <w:sz w:val="15"/>
                <w:szCs w:val="15"/>
                <w:color w:val="auto"/>
              </w:rPr>
            </w:pPr>
          </w:p>
        </w:tc>
        <w:tc>
          <w:tcPr>
            <w:tcW w:w="3980" w:type="dxa"/>
            <w:vAlign w:val="bottom"/>
            <w:gridSpan w:val="4"/>
          </w:tcPr>
          <w:p>
            <w:pPr>
              <w:spacing w:after="0"/>
              <w:rPr>
                <w:sz w:val="20"/>
                <w:szCs w:val="20"/>
                <w:color w:val="auto"/>
              </w:rPr>
            </w:pPr>
            <w:r>
              <w:rPr>
                <w:rFonts w:ascii="Arial" w:cs="Arial" w:eastAsia="Arial" w:hAnsi="Arial"/>
                <w:sz w:val="14"/>
                <w:szCs w:val="14"/>
                <w:b w:val="1"/>
                <w:bCs w:val="1"/>
                <w:color w:val="auto"/>
              </w:rPr>
              <w:t>Year</w:t>
            </w:r>
          </w:p>
        </w:tc>
        <w:tc>
          <w:tcPr>
            <w:tcW w:w="80" w:type="dxa"/>
            <w:vAlign w:val="bottom"/>
          </w:tcPr>
          <w:p>
            <w:pPr>
              <w:spacing w:after="0"/>
              <w:rPr>
                <w:sz w:val="15"/>
                <w:szCs w:val="15"/>
                <w:color w:val="auto"/>
              </w:rPr>
            </w:pPr>
          </w:p>
        </w:tc>
        <w:tc>
          <w:tcPr>
            <w:tcW w:w="8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Paper</w:t>
            </w:r>
          </w:p>
        </w:tc>
        <w:tc>
          <w:tcPr>
            <w:tcW w:w="100" w:type="dxa"/>
            <w:vAlign w:val="bottom"/>
          </w:tcPr>
          <w:p>
            <w:pPr>
              <w:spacing w:after="0"/>
              <w:rPr>
                <w:sz w:val="15"/>
                <w:szCs w:val="15"/>
                <w:color w:val="auto"/>
              </w:rPr>
            </w:pPr>
          </w:p>
        </w:tc>
        <w:tc>
          <w:tcPr>
            <w:tcW w:w="580" w:type="dxa"/>
            <w:vAlign w:val="bottom"/>
          </w:tcPr>
          <w:p>
            <w:pPr>
              <w:jc w:val="right"/>
              <w:ind w:right="115"/>
              <w:spacing w:after="0"/>
              <w:rPr>
                <w:sz w:val="20"/>
                <w:szCs w:val="20"/>
                <w:color w:val="auto"/>
              </w:rPr>
            </w:pPr>
            <w:r>
              <w:rPr>
                <w:rFonts w:ascii="Arial" w:cs="Arial" w:eastAsia="Arial" w:hAnsi="Arial"/>
                <w:sz w:val="14"/>
                <w:szCs w:val="14"/>
                <w:b w:val="1"/>
                <w:bCs w:val="1"/>
                <w:color w:val="auto"/>
              </w:rPr>
              <w:t>Debt</w:t>
            </w:r>
          </w:p>
        </w:tc>
        <w:tc>
          <w:tcPr>
            <w:tcW w:w="220" w:type="dxa"/>
            <w:vAlign w:val="bottom"/>
          </w:tcPr>
          <w:p>
            <w:pPr>
              <w:spacing w:after="0"/>
              <w:rPr>
                <w:sz w:val="15"/>
                <w:szCs w:val="15"/>
                <w:color w:val="auto"/>
              </w:rPr>
            </w:pP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Commitments</w:t>
            </w: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4"/>
              </w:rPr>
              <w:t>Payments</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jc w:val="right"/>
              <w:ind w:right="162"/>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95"/>
        </w:trPr>
        <w:tc>
          <w:tcPr>
            <w:tcW w:w="144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30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4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306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39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Twenty-six weeks ended December 28, 2003</w:t>
            </w:r>
          </w:p>
        </w:tc>
        <w:tc>
          <w:tcPr>
            <w:tcW w:w="7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7"/>
              </w:rPr>
              <w:t>$ 188,516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15,761</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$ 31,039</w:t>
            </w:r>
          </w:p>
        </w:tc>
        <w:tc>
          <w:tcPr>
            <w:tcW w:w="10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  235,316</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860" w:type="dxa"/>
            <w:vAlign w:val="bottom"/>
            <w:gridSpan w:val="2"/>
          </w:tcPr>
          <w:p>
            <w:pPr>
              <w:ind w:left="440"/>
              <w:spacing w:after="0"/>
              <w:rPr>
                <w:sz w:val="20"/>
                <w:szCs w:val="20"/>
                <w:color w:val="auto"/>
              </w:rPr>
            </w:pPr>
            <w:r>
              <w:rPr>
                <w:rFonts w:ascii="Arial" w:cs="Arial" w:eastAsia="Arial" w:hAnsi="Arial"/>
                <w:sz w:val="18"/>
                <w:szCs w:val="18"/>
                <w:color w:val="auto"/>
                <w:w w:val="99"/>
              </w:rPr>
              <w:t>2004</w:t>
            </w:r>
          </w:p>
        </w:tc>
        <w:tc>
          <w:tcPr>
            <w:tcW w:w="6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16,440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16,260</w:t>
            </w: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57,229</w:t>
            </w:r>
          </w:p>
        </w:tc>
        <w:tc>
          <w:tcPr>
            <w:tcW w:w="1020" w:type="dxa"/>
            <w:vAlign w:val="bottom"/>
            <w:gridSpan w:val="5"/>
          </w:tcPr>
          <w:p>
            <w:pPr>
              <w:jc w:val="right"/>
              <w:spacing w:after="0"/>
              <w:rPr>
                <w:sz w:val="20"/>
                <w:szCs w:val="20"/>
                <w:color w:val="auto"/>
              </w:rPr>
            </w:pPr>
            <w:r>
              <w:rPr>
                <w:rFonts w:ascii="Arial" w:cs="Arial" w:eastAsia="Arial" w:hAnsi="Arial"/>
                <w:sz w:val="18"/>
                <w:szCs w:val="18"/>
                <w:color w:val="auto"/>
              </w:rPr>
              <w:t>89,929</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8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99"/>
              </w:rPr>
              <w:t>2005</w:t>
            </w:r>
          </w:p>
        </w:tc>
        <w:tc>
          <w:tcPr>
            <w:tcW w:w="60" w:type="dxa"/>
            <w:vAlign w:val="bottom"/>
            <w:shd w:val="clear" w:color="auto" w:fill="CCEEFF"/>
          </w:tcPr>
          <w:p>
            <w:pPr>
              <w:spacing w:after="0"/>
              <w:rPr>
                <w:sz w:val="18"/>
                <w:szCs w:val="18"/>
                <w:color w:val="auto"/>
              </w:rPr>
            </w:pPr>
          </w:p>
        </w:tc>
        <w:tc>
          <w:tcPr>
            <w:tcW w:w="3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12,407</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51,120</w:t>
            </w:r>
          </w:p>
        </w:tc>
        <w:tc>
          <w:tcPr>
            <w:tcW w:w="10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66,717</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860" w:type="dxa"/>
            <w:vAlign w:val="bottom"/>
            <w:gridSpan w:val="2"/>
          </w:tcPr>
          <w:p>
            <w:pPr>
              <w:ind w:left="440"/>
              <w:spacing w:after="0"/>
              <w:rPr>
                <w:sz w:val="20"/>
                <w:szCs w:val="20"/>
                <w:color w:val="auto"/>
              </w:rPr>
            </w:pPr>
            <w:r>
              <w:rPr>
                <w:rFonts w:ascii="Arial" w:cs="Arial" w:eastAsia="Arial" w:hAnsi="Arial"/>
                <w:sz w:val="18"/>
                <w:szCs w:val="18"/>
                <w:color w:val="auto"/>
                <w:w w:val="99"/>
              </w:rPr>
              <w:t>2006</w:t>
            </w:r>
          </w:p>
        </w:tc>
        <w:tc>
          <w:tcPr>
            <w:tcW w:w="6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15,320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6,196</w:t>
            </w: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46,518</w:t>
            </w:r>
          </w:p>
        </w:tc>
        <w:tc>
          <w:tcPr>
            <w:tcW w:w="1020" w:type="dxa"/>
            <w:vAlign w:val="bottom"/>
            <w:gridSpan w:val="5"/>
          </w:tcPr>
          <w:p>
            <w:pPr>
              <w:jc w:val="right"/>
              <w:spacing w:after="0"/>
              <w:rPr>
                <w:sz w:val="20"/>
                <w:szCs w:val="20"/>
                <w:color w:val="auto"/>
              </w:rPr>
            </w:pPr>
            <w:r>
              <w:rPr>
                <w:rFonts w:ascii="Arial" w:cs="Arial" w:eastAsia="Arial" w:hAnsi="Arial"/>
                <w:sz w:val="18"/>
                <w:szCs w:val="18"/>
                <w:color w:val="auto"/>
              </w:rPr>
              <w:t>68,034</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8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99"/>
              </w:rPr>
              <w:t>2007</w:t>
            </w:r>
          </w:p>
        </w:tc>
        <w:tc>
          <w:tcPr>
            <w:tcW w:w="60" w:type="dxa"/>
            <w:vAlign w:val="bottom"/>
            <w:shd w:val="clear" w:color="auto" w:fill="CCEEFF"/>
          </w:tcPr>
          <w:p>
            <w:pPr>
              <w:spacing w:after="0"/>
              <w:rPr>
                <w:sz w:val="18"/>
                <w:szCs w:val="18"/>
                <w:color w:val="auto"/>
              </w:rPr>
            </w:pPr>
          </w:p>
        </w:tc>
        <w:tc>
          <w:tcPr>
            <w:tcW w:w="3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41,118</w:t>
            </w:r>
          </w:p>
        </w:tc>
        <w:tc>
          <w:tcPr>
            <w:tcW w:w="10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42,904</w:t>
            </w:r>
          </w:p>
        </w:tc>
        <w:tc>
          <w:tcPr>
            <w:tcW w:w="0" w:type="dxa"/>
            <w:vAlign w:val="bottom"/>
          </w:tcPr>
          <w:p>
            <w:pPr>
              <w:spacing w:after="0"/>
              <w:rPr>
                <w:sz w:val="1"/>
                <w:szCs w:val="1"/>
                <w:color w:val="auto"/>
              </w:rPr>
            </w:pPr>
          </w:p>
        </w:tc>
      </w:tr>
      <w:tr>
        <w:trPr>
          <w:trHeight w:val="222"/>
        </w:trPr>
        <w:tc>
          <w:tcPr>
            <w:tcW w:w="1440" w:type="dxa"/>
            <w:vAlign w:val="bottom"/>
          </w:tcPr>
          <w:p>
            <w:pPr>
              <w:spacing w:after="0"/>
              <w:rPr>
                <w:sz w:val="19"/>
                <w:szCs w:val="19"/>
                <w:color w:val="auto"/>
              </w:rPr>
            </w:pPr>
          </w:p>
        </w:tc>
        <w:tc>
          <w:tcPr>
            <w:tcW w:w="3980" w:type="dxa"/>
            <w:vAlign w:val="bottom"/>
            <w:gridSpan w:val="4"/>
          </w:tcPr>
          <w:p>
            <w:pPr>
              <w:spacing w:after="0"/>
              <w:rPr>
                <w:sz w:val="20"/>
                <w:szCs w:val="20"/>
                <w:color w:val="auto"/>
              </w:rPr>
            </w:pPr>
            <w:r>
              <w:rPr>
                <w:rFonts w:ascii="Arial" w:cs="Arial" w:eastAsia="Arial" w:hAnsi="Arial"/>
                <w:sz w:val="18"/>
                <w:szCs w:val="18"/>
                <w:color w:val="auto"/>
              </w:rPr>
              <w:t>Thereafter</w:t>
            </w:r>
          </w:p>
        </w:tc>
        <w:tc>
          <w:tcPr>
            <w:tcW w:w="80" w:type="dxa"/>
            <w:vAlign w:val="bottom"/>
          </w:tcPr>
          <w:p>
            <w:pPr>
              <w:spacing w:after="0"/>
              <w:rPr>
                <w:sz w:val="19"/>
                <w:szCs w:val="19"/>
                <w:color w:val="auto"/>
              </w:rPr>
            </w:pPr>
          </w:p>
        </w:tc>
        <w:tc>
          <w:tcPr>
            <w:tcW w:w="84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398,533</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2,313</w:t>
            </w: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100,716</w:t>
            </w:r>
          </w:p>
        </w:tc>
        <w:tc>
          <w:tcPr>
            <w:tcW w:w="1020" w:type="dxa"/>
            <w:vAlign w:val="bottom"/>
            <w:gridSpan w:val="5"/>
          </w:tcPr>
          <w:p>
            <w:pPr>
              <w:jc w:val="right"/>
              <w:spacing w:after="0"/>
              <w:rPr>
                <w:sz w:val="20"/>
                <w:szCs w:val="20"/>
                <w:color w:val="auto"/>
              </w:rPr>
            </w:pPr>
            <w:r>
              <w:rPr>
                <w:rFonts w:ascii="Arial" w:cs="Arial" w:eastAsia="Arial" w:hAnsi="Arial"/>
                <w:sz w:val="18"/>
                <w:szCs w:val="18"/>
                <w:color w:val="auto"/>
              </w:rPr>
              <w:t>501,562</w:t>
            </w:r>
          </w:p>
        </w:tc>
        <w:tc>
          <w:tcPr>
            <w:tcW w:w="0" w:type="dxa"/>
            <w:vAlign w:val="bottom"/>
          </w:tcPr>
          <w:p>
            <w:pPr>
              <w:spacing w:after="0"/>
              <w:rPr>
                <w:sz w:val="1"/>
                <w:szCs w:val="1"/>
                <w:color w:val="auto"/>
              </w:rPr>
            </w:pPr>
          </w:p>
        </w:tc>
      </w:tr>
      <w:tr>
        <w:trPr>
          <w:trHeight w:val="102"/>
        </w:trPr>
        <w:tc>
          <w:tcPr>
            <w:tcW w:w="14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30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4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306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3980" w:type="dxa"/>
            <w:vAlign w:val="bottom"/>
            <w:gridSpan w:val="4"/>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7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7"/>
              </w:rPr>
              <w:t>$ 188,516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434,418</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53,788</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$327,740</w:t>
            </w:r>
          </w:p>
        </w:tc>
        <w:tc>
          <w:tcPr>
            <w:tcW w:w="10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$1,004,462</w:t>
            </w:r>
          </w:p>
        </w:tc>
        <w:tc>
          <w:tcPr>
            <w:tcW w:w="0" w:type="dxa"/>
            <w:vAlign w:val="bottom"/>
          </w:tcPr>
          <w:p>
            <w:pPr>
              <w:spacing w:after="0"/>
              <w:rPr>
                <w:sz w:val="1"/>
                <w:szCs w:val="1"/>
                <w:color w:val="auto"/>
              </w:rPr>
            </w:pPr>
          </w:p>
        </w:tc>
      </w:tr>
      <w:tr>
        <w:trPr>
          <w:trHeight w:val="132"/>
        </w:trPr>
        <w:tc>
          <w:tcPr>
            <w:tcW w:w="2360" w:type="dxa"/>
            <w:vAlign w:val="bottom"/>
            <w:gridSpan w:val="4"/>
            <w:vMerge w:val="restart"/>
          </w:tcPr>
          <w:p>
            <w:pPr>
              <w:spacing w:after="0"/>
              <w:rPr>
                <w:sz w:val="20"/>
                <w:szCs w:val="20"/>
                <w:color w:val="auto"/>
              </w:rPr>
            </w:pPr>
            <w:r>
              <w:rPr>
                <w:rFonts w:ascii="Arial" w:cs="Arial" w:eastAsia="Arial" w:hAnsi="Arial"/>
                <w:sz w:val="18"/>
                <w:szCs w:val="18"/>
                <w:color w:val="auto"/>
                <w:w w:val="89"/>
              </w:rPr>
              <w:t>Other Commercial Commitments</w:t>
            </w:r>
          </w:p>
        </w:tc>
        <w:tc>
          <w:tcPr>
            <w:tcW w:w="3060" w:type="dxa"/>
            <w:vAlign w:val="bottom"/>
            <w:vMerge w:val="restart"/>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34"/>
        </w:trPr>
        <w:tc>
          <w:tcPr>
            <w:tcW w:w="2360" w:type="dxa"/>
            <w:vAlign w:val="bottom"/>
            <w:tcBorders>
              <w:bottom w:val="single" w:sz="8" w:color="auto"/>
            </w:tcBorders>
            <w:gridSpan w:val="4"/>
            <w:vMerge w:val="continue"/>
          </w:tcPr>
          <w:p>
            <w:pPr>
              <w:spacing w:after="0"/>
              <w:rPr>
                <w:sz w:val="24"/>
                <w:szCs w:val="24"/>
                <w:color w:val="auto"/>
              </w:rPr>
            </w:pPr>
          </w:p>
        </w:tc>
        <w:tc>
          <w:tcPr>
            <w:tcW w:w="306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5420" w:type="dxa"/>
            <w:vAlign w:val="bottom"/>
            <w:gridSpan w:val="5"/>
          </w:tcPr>
          <w:p>
            <w:pPr>
              <w:spacing w:after="0"/>
              <w:rPr>
                <w:sz w:val="20"/>
                <w:szCs w:val="20"/>
                <w:color w:val="auto"/>
              </w:rPr>
            </w:pPr>
            <w:r>
              <w:rPr>
                <w:rFonts w:ascii="Arial" w:cs="Arial" w:eastAsia="Arial" w:hAnsi="Arial"/>
                <w:sz w:val="18"/>
                <w:szCs w:val="18"/>
                <w:color w:val="auto"/>
              </w:rPr>
              <w:t>(in thousands)</w:t>
            </w: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6"/>
        </w:trPr>
        <w:tc>
          <w:tcPr>
            <w:tcW w:w="1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jc w:val="right"/>
              <w:ind w:right="22"/>
              <w:spacing w:after="0"/>
              <w:rPr>
                <w:sz w:val="20"/>
                <w:szCs w:val="20"/>
                <w:color w:val="auto"/>
              </w:rPr>
            </w:pPr>
            <w:r>
              <w:rPr>
                <w:rFonts w:ascii="Arial" w:cs="Arial" w:eastAsia="Arial" w:hAnsi="Arial"/>
                <w:sz w:val="14"/>
                <w:szCs w:val="14"/>
                <w:b w:val="1"/>
                <w:bCs w:val="1"/>
                <w:color w:val="auto"/>
                <w:w w:val="85"/>
              </w:rPr>
              <w:t>Lines of</w:t>
            </w:r>
          </w:p>
        </w:tc>
        <w:tc>
          <w:tcPr>
            <w:tcW w:w="0" w:type="dxa"/>
            <w:vAlign w:val="bottom"/>
          </w:tcPr>
          <w:p>
            <w:pPr>
              <w:spacing w:after="0"/>
              <w:rPr>
                <w:sz w:val="1"/>
                <w:szCs w:val="1"/>
                <w:color w:val="auto"/>
              </w:rPr>
            </w:pPr>
          </w:p>
        </w:tc>
      </w:tr>
      <w:tr>
        <w:trPr>
          <w:trHeight w:val="174"/>
        </w:trPr>
        <w:tc>
          <w:tcPr>
            <w:tcW w:w="1440" w:type="dxa"/>
            <w:vAlign w:val="bottom"/>
          </w:tcPr>
          <w:p>
            <w:pPr>
              <w:spacing w:after="0"/>
              <w:rPr>
                <w:sz w:val="15"/>
                <w:szCs w:val="15"/>
                <w:color w:val="auto"/>
              </w:rPr>
            </w:pPr>
          </w:p>
        </w:tc>
        <w:tc>
          <w:tcPr>
            <w:tcW w:w="3980" w:type="dxa"/>
            <w:vAlign w:val="bottom"/>
            <w:gridSpan w:val="4"/>
          </w:tcPr>
          <w:p>
            <w:pPr>
              <w:spacing w:after="0"/>
              <w:rPr>
                <w:sz w:val="20"/>
                <w:szCs w:val="20"/>
                <w:color w:val="auto"/>
              </w:rPr>
            </w:pPr>
            <w:r>
              <w:rPr>
                <w:rFonts w:ascii="Arial" w:cs="Arial" w:eastAsia="Arial" w:hAnsi="Arial"/>
                <w:sz w:val="14"/>
                <w:szCs w:val="14"/>
                <w:b w:val="1"/>
                <w:bCs w:val="1"/>
                <w:color w:val="auto"/>
              </w:rPr>
              <w:t>Fiscal Year</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jc w:val="right"/>
              <w:ind w:right="62"/>
              <w:spacing w:after="0"/>
              <w:rPr>
                <w:sz w:val="20"/>
                <w:szCs w:val="20"/>
                <w:color w:val="auto"/>
              </w:rPr>
            </w:pPr>
            <w:r>
              <w:rPr>
                <w:rFonts w:ascii="Arial" w:cs="Arial" w:eastAsia="Arial" w:hAnsi="Arial"/>
                <w:sz w:val="14"/>
                <w:szCs w:val="14"/>
                <w:b w:val="1"/>
                <w:bCs w:val="1"/>
                <w:color w:val="auto"/>
              </w:rPr>
              <w:t>Credit</w:t>
            </w:r>
          </w:p>
        </w:tc>
        <w:tc>
          <w:tcPr>
            <w:tcW w:w="0" w:type="dxa"/>
            <w:vAlign w:val="bottom"/>
          </w:tcPr>
          <w:p>
            <w:pPr>
              <w:spacing w:after="0"/>
              <w:rPr>
                <w:sz w:val="1"/>
                <w:szCs w:val="1"/>
                <w:color w:val="auto"/>
              </w:rPr>
            </w:pPr>
          </w:p>
        </w:tc>
      </w:tr>
      <w:tr>
        <w:trPr>
          <w:trHeight w:val="95"/>
        </w:trPr>
        <w:tc>
          <w:tcPr>
            <w:tcW w:w="1440" w:type="dxa"/>
            <w:vAlign w:val="bottom"/>
          </w:tcPr>
          <w:p>
            <w:pPr>
              <w:spacing w:after="0"/>
              <w:rPr>
                <w:sz w:val="8"/>
                <w:szCs w:val="8"/>
                <w:color w:val="auto"/>
              </w:rPr>
            </w:pPr>
          </w:p>
        </w:tc>
        <w:tc>
          <w:tcPr>
            <w:tcW w:w="860" w:type="dxa"/>
            <w:vAlign w:val="bottom"/>
            <w:tcBorders>
              <w:bottom w:val="single" w:sz="8" w:color="auto"/>
            </w:tcBorders>
            <w:gridSpan w:val="2"/>
          </w:tcPr>
          <w:p>
            <w:pPr>
              <w:spacing w:after="0"/>
              <w:rPr>
                <w:sz w:val="8"/>
                <w:szCs w:val="8"/>
                <w:color w:val="auto"/>
              </w:rPr>
            </w:pPr>
          </w:p>
        </w:tc>
        <w:tc>
          <w:tcPr>
            <w:tcW w:w="60" w:type="dxa"/>
            <w:vAlign w:val="bottom"/>
          </w:tcPr>
          <w:p>
            <w:pPr>
              <w:spacing w:after="0"/>
              <w:rPr>
                <w:sz w:val="8"/>
                <w:szCs w:val="8"/>
                <w:color w:val="auto"/>
              </w:rPr>
            </w:pPr>
          </w:p>
        </w:tc>
        <w:tc>
          <w:tcPr>
            <w:tcW w:w="306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360" w:type="dxa"/>
            <w:vAlign w:val="bottom"/>
            <w:gridSpan w:val="3"/>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4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306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39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Twenty-six weeks ended December 28, 2003</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$350,000</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860" w:type="dxa"/>
            <w:vAlign w:val="bottom"/>
            <w:gridSpan w:val="2"/>
          </w:tcPr>
          <w:p>
            <w:pPr>
              <w:ind w:left="440"/>
              <w:spacing w:after="0"/>
              <w:rPr>
                <w:sz w:val="20"/>
                <w:szCs w:val="20"/>
                <w:color w:val="auto"/>
              </w:rPr>
            </w:pPr>
            <w:r>
              <w:rPr>
                <w:rFonts w:ascii="Arial" w:cs="Arial" w:eastAsia="Arial" w:hAnsi="Arial"/>
                <w:sz w:val="18"/>
                <w:szCs w:val="18"/>
                <w:color w:val="auto"/>
                <w:w w:val="99"/>
              </w:rPr>
              <w:t>2004</w:t>
            </w:r>
          </w:p>
        </w:tc>
        <w:tc>
          <w:tcPr>
            <w:tcW w:w="6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ind w:right="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8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99"/>
              </w:rPr>
              <w:t>2005</w:t>
            </w:r>
          </w:p>
        </w:tc>
        <w:tc>
          <w:tcPr>
            <w:tcW w:w="60" w:type="dxa"/>
            <w:vAlign w:val="bottom"/>
            <w:shd w:val="clear" w:color="auto" w:fill="CCEEFF"/>
          </w:tcPr>
          <w:p>
            <w:pPr>
              <w:spacing w:after="0"/>
              <w:rPr>
                <w:sz w:val="18"/>
                <w:szCs w:val="18"/>
                <w:color w:val="auto"/>
              </w:rPr>
            </w:pPr>
          </w:p>
        </w:tc>
        <w:tc>
          <w:tcPr>
            <w:tcW w:w="3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860" w:type="dxa"/>
            <w:vAlign w:val="bottom"/>
            <w:gridSpan w:val="2"/>
          </w:tcPr>
          <w:p>
            <w:pPr>
              <w:ind w:left="440"/>
              <w:spacing w:after="0"/>
              <w:rPr>
                <w:sz w:val="20"/>
                <w:szCs w:val="20"/>
                <w:color w:val="auto"/>
              </w:rPr>
            </w:pPr>
            <w:r>
              <w:rPr>
                <w:rFonts w:ascii="Arial" w:cs="Arial" w:eastAsia="Arial" w:hAnsi="Arial"/>
                <w:sz w:val="18"/>
                <w:szCs w:val="18"/>
                <w:color w:val="auto"/>
                <w:w w:val="99"/>
              </w:rPr>
              <w:t>2006</w:t>
            </w:r>
          </w:p>
        </w:tc>
        <w:tc>
          <w:tcPr>
            <w:tcW w:w="6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ind w:right="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8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99"/>
              </w:rPr>
              <w:t>2007</w:t>
            </w:r>
          </w:p>
        </w:tc>
        <w:tc>
          <w:tcPr>
            <w:tcW w:w="60" w:type="dxa"/>
            <w:vAlign w:val="bottom"/>
            <w:shd w:val="clear" w:color="auto" w:fill="CCEEFF"/>
          </w:tcPr>
          <w:p>
            <w:pPr>
              <w:spacing w:after="0"/>
              <w:rPr>
                <w:sz w:val="18"/>
                <w:szCs w:val="18"/>
                <w:color w:val="auto"/>
              </w:rPr>
            </w:pPr>
          </w:p>
        </w:tc>
        <w:tc>
          <w:tcPr>
            <w:tcW w:w="3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350,000</w:t>
            </w:r>
          </w:p>
        </w:tc>
        <w:tc>
          <w:tcPr>
            <w:tcW w:w="0" w:type="dxa"/>
            <w:vAlign w:val="bottom"/>
          </w:tcPr>
          <w:p>
            <w:pPr>
              <w:spacing w:after="0"/>
              <w:rPr>
                <w:sz w:val="1"/>
                <w:szCs w:val="1"/>
                <w:color w:val="auto"/>
              </w:rPr>
            </w:pPr>
          </w:p>
        </w:tc>
      </w:tr>
      <w:tr>
        <w:trPr>
          <w:trHeight w:val="108"/>
        </w:trPr>
        <w:tc>
          <w:tcPr>
            <w:tcW w:w="1440" w:type="dxa"/>
            <w:vAlign w:val="bottom"/>
          </w:tcPr>
          <w:p>
            <w:pPr>
              <w:spacing w:after="0"/>
              <w:rPr>
                <w:sz w:val="9"/>
                <w:szCs w:val="9"/>
                <w:color w:val="auto"/>
              </w:rPr>
            </w:pPr>
          </w:p>
        </w:tc>
        <w:tc>
          <w:tcPr>
            <w:tcW w:w="860" w:type="dxa"/>
            <w:vAlign w:val="bottom"/>
            <w:gridSpan w:val="2"/>
          </w:tcPr>
          <w:p>
            <w:pPr>
              <w:spacing w:after="0"/>
              <w:rPr>
                <w:sz w:val="9"/>
                <w:szCs w:val="9"/>
                <w:color w:val="auto"/>
              </w:rPr>
            </w:pPr>
          </w:p>
        </w:tc>
        <w:tc>
          <w:tcPr>
            <w:tcW w:w="60" w:type="dxa"/>
            <w:vAlign w:val="bottom"/>
          </w:tcPr>
          <w:p>
            <w:pPr>
              <w:spacing w:after="0"/>
              <w:rPr>
                <w:sz w:val="9"/>
                <w:szCs w:val="9"/>
                <w:color w:val="auto"/>
              </w:rPr>
            </w:pPr>
          </w:p>
        </w:tc>
        <w:tc>
          <w:tcPr>
            <w:tcW w:w="30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360" w:type="dxa"/>
            <w:vAlign w:val="bottom"/>
            <w:gridSpan w:val="3"/>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4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306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3980" w:type="dxa"/>
            <w:vAlign w:val="bottom"/>
            <w:gridSpan w:val="4"/>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$700,000</w:t>
            </w:r>
          </w:p>
        </w:tc>
        <w:tc>
          <w:tcPr>
            <w:tcW w:w="0" w:type="dxa"/>
            <w:vAlign w:val="bottom"/>
          </w:tcPr>
          <w:p>
            <w:pPr>
              <w:spacing w:after="0"/>
              <w:rPr>
                <w:sz w:val="1"/>
                <w:szCs w:val="1"/>
                <w:color w:val="auto"/>
              </w:rPr>
            </w:pPr>
          </w:p>
        </w:tc>
      </w:tr>
      <w:tr>
        <w:trPr>
          <w:trHeight w:val="129"/>
        </w:trPr>
        <w:tc>
          <w:tcPr>
            <w:tcW w:w="14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3433445</wp:posOffset>
            </wp:positionH>
            <wp:positionV relativeFrom="paragraph">
              <wp:posOffset>-1956435</wp:posOffset>
            </wp:positionV>
            <wp:extent cx="2911475" cy="298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2911475" cy="29845"/>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-27305</wp:posOffset>
            </wp:positionV>
            <wp:extent cx="433070" cy="298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433070" cy="29845"/>
                    </a:xfrm>
                    <a:prstGeom prst="rect">
                      <a:avLst/>
                    </a:prstGeom>
                    <a:noFill/>
                  </pic:spPr>
                </pic:pic>
              </a:graphicData>
            </a:graphic>
          </wp:anchor>
        </w:drawing>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83" w:lineRule="exact"/>
        <w:rPr>
          <w:sz w:val="20"/>
          <w:szCs w:val="20"/>
          <w:color w:val="auto"/>
        </w:rPr>
      </w:pPr>
    </w:p>
    <w:p>
      <w:pPr>
        <w:jc w:val="both"/>
        <w:ind w:right="80"/>
        <w:spacing w:after="0" w:line="256" w:lineRule="auto"/>
        <w:rPr>
          <w:sz w:val="20"/>
          <w:szCs w:val="20"/>
          <w:color w:val="auto"/>
        </w:rPr>
      </w:pPr>
      <w:r>
        <w:rPr>
          <w:rFonts w:ascii="Arial" w:cs="Arial" w:eastAsia="Arial" w:hAnsi="Arial"/>
          <w:sz w:val="18"/>
          <w:szCs w:val="18"/>
          <w:color w:val="auto"/>
        </w:rPr>
        <w:t>This report contains certain forward-looking statements that are based largely on the Company’s current expectations. Forward-looking statements are subject to various risks and uncertainties that could cause actual results or events to differ materially from those anticipated in such statements. For more information about these forward-looking statements and related risks, please refer to the section titled “Forward-Looking Statements” in Part I of the Company’s Annual Report on Form 10-K for the fiscal year ended December 29, 2002.</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83"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An evaluation was performed by the Company’s management, at the direction of the Company’s Chief Executive Officer (the Company’s principal executive officer) and Vice President-Finance (the Company’s principal financial officer), of the effectiveness of the design and operation of the Company’s disclosure controls and procedures as of the end of the quarter. Based on that evaluation, the Company’s Chief Executive Officer and Vice President-Finance have concluded that the Company’s disclosure controls and procedures, as designed and implemented, are effective in ensuring that all material information required to be disclosed in the reports that the Company files or submits under the Exchange Act have been made known to them in a timely fashion.</w:t>
      </w: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280" w:right="25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PART II—OTHER INFORMATION</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Submission of Matters to a Vote of Security Holders.</w:t>
      </w:r>
    </w:p>
    <w:p>
      <w:pPr>
        <w:spacing w:after="0" w:line="83" w:lineRule="exact"/>
        <w:rPr>
          <w:sz w:val="20"/>
          <w:szCs w:val="20"/>
          <w:color w:val="auto"/>
        </w:rPr>
      </w:pPr>
    </w:p>
    <w:p>
      <w:pPr>
        <w:spacing w:after="0"/>
        <w:rPr>
          <w:sz w:val="20"/>
          <w:szCs w:val="20"/>
          <w:color w:val="auto"/>
        </w:rPr>
      </w:pPr>
      <w:r>
        <w:rPr>
          <w:rFonts w:ascii="Arial" w:cs="Arial" w:eastAsia="Arial" w:hAnsi="Arial"/>
          <w:sz w:val="15"/>
          <w:szCs w:val="15"/>
          <w:color w:val="auto"/>
        </w:rPr>
        <w:t>At the Company’s May 8, 2003 Annual Meeting of Stockholders, the stockholders elected each of the nominees named in the Company’s proxy statement dated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March 28, 2003 to its Board of Directors. The voting results are set forth below:</w:t>
      </w:r>
    </w:p>
    <w:p>
      <w:pPr>
        <w:spacing w:after="0" w:line="151" w:lineRule="exact"/>
        <w:rPr>
          <w:sz w:val="20"/>
          <w:szCs w:val="20"/>
          <w:color w:val="auto"/>
        </w:rPr>
      </w:pPr>
    </w:p>
    <w:p>
      <w:pPr>
        <w:ind w:left="860"/>
        <w:spacing w:after="0"/>
        <w:rPr>
          <w:sz w:val="20"/>
          <w:szCs w:val="20"/>
          <w:color w:val="auto"/>
        </w:rPr>
      </w:pPr>
      <w:r>
        <w:rPr>
          <w:rFonts w:ascii="Arial" w:cs="Arial" w:eastAsia="Arial" w:hAnsi="Arial"/>
          <w:sz w:val="18"/>
          <w:szCs w:val="18"/>
          <w:u w:val="single" w:color="auto"/>
          <w:color w:val="auto"/>
        </w:rPr>
        <w:t>Class A Directors</w:t>
      </w:r>
    </w:p>
    <w:tbl>
      <w:tblPr>
        <w:tblLayout w:type="fixed"/>
        <w:tblInd w:w="86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4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83"/>
              </w:rPr>
              <w:t>Votes</w:t>
            </w:r>
          </w:p>
        </w:tc>
        <w:tc>
          <w:tcPr>
            <w:tcW w:w="180" w:type="dxa"/>
            <w:vAlign w:val="bottom"/>
          </w:tcPr>
          <w:p>
            <w:pPr>
              <w:spacing w:after="0"/>
              <w:rPr>
                <w:sz w:val="13"/>
                <w:szCs w:val="13"/>
                <w:color w:val="auto"/>
              </w:rPr>
            </w:pPr>
          </w:p>
        </w:tc>
        <w:tc>
          <w:tcPr>
            <w:tcW w:w="600" w:type="dxa"/>
            <w:vAlign w:val="bottom"/>
          </w:tcPr>
          <w:p>
            <w:pPr>
              <w:jc w:val="right"/>
              <w:ind w:right="32"/>
              <w:spacing w:after="0" w:line="153" w:lineRule="exact"/>
              <w:rPr>
                <w:sz w:val="20"/>
                <w:szCs w:val="20"/>
                <w:color w:val="auto"/>
              </w:rPr>
            </w:pPr>
            <w:r>
              <w:rPr>
                <w:rFonts w:ascii="Arial" w:cs="Arial" w:eastAsia="Arial" w:hAnsi="Arial"/>
                <w:sz w:val="14"/>
                <w:szCs w:val="14"/>
                <w:b w:val="1"/>
                <w:bCs w:val="1"/>
                <w:color w:val="auto"/>
              </w:rPr>
              <w:t>Broker</w:t>
            </w:r>
          </w:p>
        </w:tc>
        <w:tc>
          <w:tcPr>
            <w:tcW w:w="0" w:type="dxa"/>
            <w:vAlign w:val="bottom"/>
          </w:tcPr>
          <w:p>
            <w:pPr>
              <w:spacing w:after="0"/>
              <w:rPr>
                <w:sz w:val="1"/>
                <w:szCs w:val="1"/>
                <w:color w:val="auto"/>
              </w:rPr>
            </w:pPr>
          </w:p>
        </w:tc>
      </w:tr>
      <w:tr>
        <w:trPr>
          <w:trHeight w:val="174"/>
        </w:trPr>
        <w:tc>
          <w:tcPr>
            <w:tcW w:w="3200" w:type="dxa"/>
            <w:vAlign w:val="bottom"/>
            <w:gridSpan w:val="4"/>
          </w:tcPr>
          <w:p>
            <w:pPr>
              <w:spacing w:after="0"/>
              <w:rPr>
                <w:sz w:val="20"/>
                <w:szCs w:val="20"/>
                <w:color w:val="auto"/>
              </w:rPr>
            </w:pPr>
            <w:r>
              <w:rPr>
                <w:rFonts w:ascii="Arial" w:cs="Arial" w:eastAsia="Arial" w:hAnsi="Arial"/>
                <w:sz w:val="14"/>
                <w:szCs w:val="14"/>
                <w:b w:val="1"/>
                <w:bCs w:val="1"/>
                <w:color w:val="auto"/>
              </w:rPr>
              <w:t>Nominee</w:t>
            </w:r>
          </w:p>
        </w:tc>
        <w:tc>
          <w:tcPr>
            <w:tcW w:w="4220" w:type="dxa"/>
            <w:vAlign w:val="bottom"/>
          </w:tcPr>
          <w:p>
            <w:pPr>
              <w:spacing w:after="0"/>
              <w:rPr>
                <w:sz w:val="15"/>
                <w:szCs w:val="15"/>
                <w:color w:val="auto"/>
              </w:rPr>
            </w:pPr>
          </w:p>
        </w:tc>
        <w:tc>
          <w:tcPr>
            <w:tcW w:w="760" w:type="dxa"/>
            <w:vAlign w:val="bottom"/>
          </w:tcPr>
          <w:p>
            <w:pPr>
              <w:jc w:val="right"/>
              <w:ind w:right="52"/>
              <w:spacing w:after="0"/>
              <w:rPr>
                <w:sz w:val="20"/>
                <w:szCs w:val="20"/>
                <w:color w:val="auto"/>
              </w:rPr>
            </w:pPr>
            <w:r>
              <w:rPr>
                <w:rFonts w:ascii="Arial" w:cs="Arial" w:eastAsia="Arial" w:hAnsi="Arial"/>
                <w:sz w:val="14"/>
                <w:szCs w:val="14"/>
                <w:b w:val="1"/>
                <w:bCs w:val="1"/>
                <w:color w:val="auto"/>
                <w:w w:val="95"/>
              </w:rPr>
              <w:t>Votes For</w:t>
            </w:r>
          </w:p>
        </w:tc>
        <w:tc>
          <w:tcPr>
            <w:tcW w:w="740" w:type="dxa"/>
            <w:vAlign w:val="bottom"/>
            <w:gridSpan w:val="2"/>
          </w:tcPr>
          <w:p>
            <w:pPr>
              <w:jc w:val="center"/>
              <w:ind w:left="76"/>
              <w:spacing w:after="0"/>
              <w:rPr>
                <w:sz w:val="20"/>
                <w:szCs w:val="20"/>
                <w:color w:val="auto"/>
              </w:rPr>
            </w:pPr>
            <w:r>
              <w:rPr>
                <w:rFonts w:ascii="Arial" w:cs="Arial" w:eastAsia="Arial" w:hAnsi="Arial"/>
                <w:sz w:val="14"/>
                <w:szCs w:val="14"/>
                <w:b w:val="1"/>
                <w:bCs w:val="1"/>
                <w:color w:val="auto"/>
                <w:w w:val="91"/>
              </w:rPr>
              <w:t>Withheld</w:t>
            </w:r>
          </w:p>
        </w:tc>
        <w:tc>
          <w:tcPr>
            <w:tcW w:w="780" w:type="dxa"/>
            <w:vAlign w:val="bottom"/>
            <w:gridSpan w:val="2"/>
          </w:tcPr>
          <w:p>
            <w:pPr>
              <w:jc w:val="right"/>
              <w:spacing w:after="0"/>
              <w:rPr>
                <w:sz w:val="20"/>
                <w:szCs w:val="20"/>
                <w:color w:val="auto"/>
              </w:rPr>
            </w:pPr>
            <w:r>
              <w:rPr>
                <w:rFonts w:ascii="Arial" w:cs="Arial" w:eastAsia="Arial" w:hAnsi="Arial"/>
                <w:sz w:val="14"/>
                <w:szCs w:val="14"/>
                <w:b w:val="1"/>
                <w:bCs w:val="1"/>
                <w:color w:val="auto"/>
              </w:rPr>
              <w:t>Non-Votes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960" w:type="dxa"/>
            <w:vAlign w:val="bottom"/>
          </w:tcPr>
          <w:p>
            <w:pPr>
              <w:spacing w:after="0"/>
              <w:rPr>
                <w:sz w:val="8"/>
                <w:szCs w:val="8"/>
                <w:color w:val="auto"/>
              </w:rPr>
            </w:pPr>
          </w:p>
        </w:tc>
        <w:tc>
          <w:tcPr>
            <w:tcW w:w="422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960" w:type="dxa"/>
            <w:vAlign w:val="bottom"/>
          </w:tcPr>
          <w:p>
            <w:pPr>
              <w:spacing w:after="0"/>
              <w:rPr>
                <w:sz w:val="8"/>
                <w:szCs w:val="8"/>
                <w:color w:val="auto"/>
              </w:rPr>
            </w:pPr>
          </w:p>
        </w:tc>
        <w:tc>
          <w:tcPr>
            <w:tcW w:w="42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Warren E. Buffett</w:t>
            </w:r>
          </w:p>
        </w:tc>
        <w:tc>
          <w:tcPr>
            <w:tcW w:w="4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1,722,250</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3"/>
          </w:tcPr>
          <w:p>
            <w:pPr>
              <w:spacing w:after="0"/>
              <w:rPr>
                <w:sz w:val="20"/>
                <w:szCs w:val="20"/>
                <w:color w:val="auto"/>
              </w:rPr>
            </w:pPr>
            <w:r>
              <w:rPr>
                <w:rFonts w:ascii="Arial" w:cs="Arial" w:eastAsia="Arial" w:hAnsi="Arial"/>
                <w:sz w:val="18"/>
                <w:szCs w:val="18"/>
                <w:color w:val="auto"/>
              </w:rPr>
              <w:t>Barry Diller</w:t>
            </w:r>
          </w:p>
        </w:tc>
        <w:tc>
          <w:tcPr>
            <w:tcW w:w="4980" w:type="dxa"/>
            <w:vAlign w:val="bottom"/>
            <w:gridSpan w:val="2"/>
          </w:tcPr>
          <w:p>
            <w:pPr>
              <w:jc w:val="right"/>
              <w:spacing w:after="0"/>
              <w:rPr>
                <w:sz w:val="20"/>
                <w:szCs w:val="20"/>
                <w:color w:val="auto"/>
              </w:rPr>
            </w:pPr>
            <w:r>
              <w:rPr>
                <w:rFonts w:ascii="Arial" w:cs="Arial" w:eastAsia="Arial" w:hAnsi="Arial"/>
                <w:sz w:val="18"/>
                <w:szCs w:val="18"/>
                <w:color w:val="auto"/>
              </w:rPr>
              <w:t>1,722,250</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George J. Gillespie, III</w:t>
            </w:r>
          </w:p>
        </w:tc>
        <w:tc>
          <w:tcPr>
            <w:tcW w:w="4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1,722,250</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3"/>
          </w:tcPr>
          <w:p>
            <w:pPr>
              <w:spacing w:after="0"/>
              <w:rPr>
                <w:sz w:val="20"/>
                <w:szCs w:val="20"/>
                <w:color w:val="auto"/>
              </w:rPr>
            </w:pPr>
            <w:r>
              <w:rPr>
                <w:rFonts w:ascii="Arial" w:cs="Arial" w:eastAsia="Arial" w:hAnsi="Arial"/>
                <w:sz w:val="18"/>
                <w:szCs w:val="18"/>
                <w:color w:val="auto"/>
              </w:rPr>
              <w:t>Ralph E. Gomory</w:t>
            </w:r>
          </w:p>
        </w:tc>
        <w:tc>
          <w:tcPr>
            <w:tcW w:w="4980" w:type="dxa"/>
            <w:vAlign w:val="bottom"/>
            <w:gridSpan w:val="2"/>
          </w:tcPr>
          <w:p>
            <w:pPr>
              <w:jc w:val="right"/>
              <w:spacing w:after="0"/>
              <w:rPr>
                <w:sz w:val="20"/>
                <w:szCs w:val="20"/>
                <w:color w:val="auto"/>
              </w:rPr>
            </w:pPr>
            <w:r>
              <w:rPr>
                <w:rFonts w:ascii="Arial" w:cs="Arial" w:eastAsia="Arial" w:hAnsi="Arial"/>
                <w:sz w:val="18"/>
                <w:szCs w:val="18"/>
                <w:color w:val="auto"/>
              </w:rPr>
              <w:t>1,722,250</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Donald E. Graham</w:t>
            </w:r>
          </w:p>
        </w:tc>
        <w:tc>
          <w:tcPr>
            <w:tcW w:w="4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1,722,250</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3"/>
          </w:tcPr>
          <w:p>
            <w:pPr>
              <w:spacing w:after="0"/>
              <w:rPr>
                <w:sz w:val="20"/>
                <w:szCs w:val="20"/>
                <w:color w:val="auto"/>
              </w:rPr>
            </w:pPr>
            <w:r>
              <w:rPr>
                <w:rFonts w:ascii="Arial" w:cs="Arial" w:eastAsia="Arial" w:hAnsi="Arial"/>
                <w:sz w:val="18"/>
                <w:szCs w:val="18"/>
                <w:color w:val="auto"/>
              </w:rPr>
              <w:t>Richard D. Simmons</w:t>
            </w:r>
          </w:p>
        </w:tc>
        <w:tc>
          <w:tcPr>
            <w:tcW w:w="4980" w:type="dxa"/>
            <w:vAlign w:val="bottom"/>
            <w:gridSpan w:val="2"/>
          </w:tcPr>
          <w:p>
            <w:pPr>
              <w:jc w:val="right"/>
              <w:spacing w:after="0"/>
              <w:rPr>
                <w:sz w:val="20"/>
                <w:szCs w:val="20"/>
                <w:color w:val="auto"/>
              </w:rPr>
            </w:pPr>
            <w:r>
              <w:rPr>
                <w:rFonts w:ascii="Arial" w:cs="Arial" w:eastAsia="Arial" w:hAnsi="Arial"/>
                <w:sz w:val="18"/>
                <w:szCs w:val="18"/>
                <w:color w:val="auto"/>
              </w:rPr>
              <w:t>1,722,250</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George W. Wilson</w:t>
            </w:r>
          </w:p>
        </w:tc>
        <w:tc>
          <w:tcPr>
            <w:tcW w:w="4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1,722,250</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392"/>
        </w:trPr>
        <w:tc>
          <w:tcPr>
            <w:tcW w:w="3200" w:type="dxa"/>
            <w:vAlign w:val="bottom"/>
            <w:gridSpan w:val="4"/>
          </w:tcPr>
          <w:p>
            <w:pPr>
              <w:spacing w:after="0"/>
              <w:rPr>
                <w:sz w:val="20"/>
                <w:szCs w:val="20"/>
                <w:color w:val="auto"/>
              </w:rPr>
            </w:pPr>
            <w:r>
              <w:rPr>
                <w:rFonts w:ascii="Arial" w:cs="Arial" w:eastAsia="Arial" w:hAnsi="Arial"/>
                <w:sz w:val="18"/>
                <w:szCs w:val="18"/>
                <w:color w:val="auto"/>
              </w:rPr>
              <w:t>Class B Directors</w:t>
            </w:r>
          </w:p>
        </w:tc>
        <w:tc>
          <w:tcPr>
            <w:tcW w:w="4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3"/>
              </w:rPr>
              <w:t>Votes</w:t>
            </w:r>
          </w:p>
        </w:tc>
        <w:tc>
          <w:tcPr>
            <w:tcW w:w="180" w:type="dxa"/>
            <w:vAlign w:val="bottom"/>
          </w:tcPr>
          <w:p>
            <w:pPr>
              <w:spacing w:after="0"/>
              <w:rPr>
                <w:sz w:val="24"/>
                <w:szCs w:val="24"/>
                <w:color w:val="auto"/>
              </w:rPr>
            </w:pPr>
          </w:p>
        </w:tc>
        <w:tc>
          <w:tcPr>
            <w:tcW w:w="600" w:type="dxa"/>
            <w:vAlign w:val="bottom"/>
            <w:vMerge w:val="restart"/>
          </w:tcPr>
          <w:p>
            <w:pPr>
              <w:jc w:val="right"/>
              <w:ind w:right="32"/>
              <w:spacing w:after="0"/>
              <w:rPr>
                <w:sz w:val="20"/>
                <w:szCs w:val="20"/>
                <w:color w:val="auto"/>
              </w:rPr>
            </w:pPr>
            <w:r>
              <w:rPr>
                <w:rFonts w:ascii="Arial" w:cs="Arial" w:eastAsia="Arial" w:hAnsi="Arial"/>
                <w:sz w:val="14"/>
                <w:szCs w:val="14"/>
                <w:b w:val="1"/>
                <w:bCs w:val="1"/>
                <w:color w:val="auto"/>
              </w:rPr>
              <w:t>Broker</w:t>
            </w:r>
          </w:p>
        </w:tc>
        <w:tc>
          <w:tcPr>
            <w:tcW w:w="0" w:type="dxa"/>
            <w:vAlign w:val="bottom"/>
          </w:tcPr>
          <w:p>
            <w:pPr>
              <w:spacing w:after="0"/>
              <w:rPr>
                <w:sz w:val="1"/>
                <w:szCs w:val="1"/>
                <w:color w:val="auto"/>
              </w:rPr>
            </w:pPr>
          </w:p>
        </w:tc>
      </w:tr>
      <w:tr>
        <w:trPr>
          <w:trHeight w:val="156"/>
        </w:trPr>
        <w:tc>
          <w:tcPr>
            <w:tcW w:w="2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1960" w:type="dxa"/>
            <w:vAlign w:val="bottom"/>
          </w:tcPr>
          <w:p>
            <w:pPr>
              <w:spacing w:after="0"/>
              <w:rPr>
                <w:sz w:val="13"/>
                <w:szCs w:val="13"/>
                <w:color w:val="auto"/>
              </w:rPr>
            </w:pPr>
          </w:p>
        </w:tc>
        <w:tc>
          <w:tcPr>
            <w:tcW w:w="4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3200" w:type="dxa"/>
            <w:vAlign w:val="bottom"/>
            <w:gridSpan w:val="4"/>
          </w:tcPr>
          <w:p>
            <w:pPr>
              <w:spacing w:after="0"/>
              <w:rPr>
                <w:sz w:val="20"/>
                <w:szCs w:val="20"/>
                <w:color w:val="auto"/>
              </w:rPr>
            </w:pPr>
            <w:r>
              <w:rPr>
                <w:rFonts w:ascii="Arial" w:cs="Arial" w:eastAsia="Arial" w:hAnsi="Arial"/>
                <w:sz w:val="14"/>
                <w:szCs w:val="14"/>
                <w:b w:val="1"/>
                <w:bCs w:val="1"/>
                <w:color w:val="auto"/>
              </w:rPr>
              <w:t>Nominee</w:t>
            </w:r>
          </w:p>
        </w:tc>
        <w:tc>
          <w:tcPr>
            <w:tcW w:w="4220" w:type="dxa"/>
            <w:vAlign w:val="bottom"/>
          </w:tcPr>
          <w:p>
            <w:pPr>
              <w:spacing w:after="0"/>
              <w:rPr>
                <w:sz w:val="15"/>
                <w:szCs w:val="15"/>
                <w:color w:val="auto"/>
              </w:rPr>
            </w:pPr>
          </w:p>
        </w:tc>
        <w:tc>
          <w:tcPr>
            <w:tcW w:w="760" w:type="dxa"/>
            <w:vAlign w:val="bottom"/>
          </w:tcPr>
          <w:p>
            <w:pPr>
              <w:jc w:val="right"/>
              <w:ind w:right="52"/>
              <w:spacing w:after="0"/>
              <w:rPr>
                <w:sz w:val="20"/>
                <w:szCs w:val="20"/>
                <w:color w:val="auto"/>
              </w:rPr>
            </w:pPr>
            <w:r>
              <w:rPr>
                <w:rFonts w:ascii="Arial" w:cs="Arial" w:eastAsia="Arial" w:hAnsi="Arial"/>
                <w:sz w:val="14"/>
                <w:szCs w:val="14"/>
                <w:b w:val="1"/>
                <w:bCs w:val="1"/>
                <w:color w:val="auto"/>
                <w:w w:val="95"/>
              </w:rPr>
              <w:t>Votes For</w:t>
            </w:r>
          </w:p>
        </w:tc>
        <w:tc>
          <w:tcPr>
            <w:tcW w:w="740" w:type="dxa"/>
            <w:vAlign w:val="bottom"/>
            <w:gridSpan w:val="2"/>
          </w:tcPr>
          <w:p>
            <w:pPr>
              <w:jc w:val="center"/>
              <w:ind w:left="76"/>
              <w:spacing w:after="0"/>
              <w:rPr>
                <w:sz w:val="20"/>
                <w:szCs w:val="20"/>
                <w:color w:val="auto"/>
              </w:rPr>
            </w:pPr>
            <w:r>
              <w:rPr>
                <w:rFonts w:ascii="Arial" w:cs="Arial" w:eastAsia="Arial" w:hAnsi="Arial"/>
                <w:sz w:val="14"/>
                <w:szCs w:val="14"/>
                <w:b w:val="1"/>
                <w:bCs w:val="1"/>
                <w:color w:val="auto"/>
                <w:w w:val="91"/>
              </w:rPr>
              <w:t>Withheld</w:t>
            </w:r>
          </w:p>
        </w:tc>
        <w:tc>
          <w:tcPr>
            <w:tcW w:w="780" w:type="dxa"/>
            <w:vAlign w:val="bottom"/>
            <w:gridSpan w:val="2"/>
          </w:tcPr>
          <w:p>
            <w:pPr>
              <w:jc w:val="right"/>
              <w:spacing w:after="0"/>
              <w:rPr>
                <w:sz w:val="20"/>
                <w:szCs w:val="20"/>
                <w:color w:val="auto"/>
              </w:rPr>
            </w:pPr>
            <w:r>
              <w:rPr>
                <w:rFonts w:ascii="Arial" w:cs="Arial" w:eastAsia="Arial" w:hAnsi="Arial"/>
                <w:sz w:val="14"/>
                <w:szCs w:val="14"/>
                <w:b w:val="1"/>
                <w:bCs w:val="1"/>
                <w:color w:val="auto"/>
              </w:rPr>
              <w:t>Non-Votes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960" w:type="dxa"/>
            <w:vAlign w:val="bottom"/>
          </w:tcPr>
          <w:p>
            <w:pPr>
              <w:spacing w:after="0"/>
              <w:rPr>
                <w:sz w:val="8"/>
                <w:szCs w:val="8"/>
                <w:color w:val="auto"/>
              </w:rPr>
            </w:pPr>
          </w:p>
        </w:tc>
        <w:tc>
          <w:tcPr>
            <w:tcW w:w="422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960" w:type="dxa"/>
            <w:vAlign w:val="bottom"/>
          </w:tcPr>
          <w:p>
            <w:pPr>
              <w:spacing w:after="0"/>
              <w:rPr>
                <w:sz w:val="8"/>
                <w:szCs w:val="8"/>
                <w:color w:val="auto"/>
              </w:rPr>
            </w:pPr>
          </w:p>
        </w:tc>
        <w:tc>
          <w:tcPr>
            <w:tcW w:w="42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Daniel B. Burke</w:t>
            </w:r>
          </w:p>
        </w:tc>
        <w:tc>
          <w:tcPr>
            <w:tcW w:w="4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6,800,004</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74,100</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3"/>
          </w:tcPr>
          <w:p>
            <w:pPr>
              <w:spacing w:after="0"/>
              <w:rPr>
                <w:sz w:val="20"/>
                <w:szCs w:val="20"/>
                <w:color w:val="auto"/>
              </w:rPr>
            </w:pPr>
            <w:r>
              <w:rPr>
                <w:rFonts w:ascii="Arial" w:cs="Arial" w:eastAsia="Arial" w:hAnsi="Arial"/>
                <w:sz w:val="18"/>
                <w:szCs w:val="18"/>
                <w:color w:val="auto"/>
              </w:rPr>
              <w:t>John L. Dotson Jr.</w:t>
            </w:r>
          </w:p>
        </w:tc>
        <w:tc>
          <w:tcPr>
            <w:tcW w:w="4980" w:type="dxa"/>
            <w:vAlign w:val="bottom"/>
            <w:gridSpan w:val="2"/>
          </w:tcPr>
          <w:p>
            <w:pPr>
              <w:jc w:val="right"/>
              <w:spacing w:after="0"/>
              <w:rPr>
                <w:sz w:val="20"/>
                <w:szCs w:val="20"/>
                <w:color w:val="auto"/>
              </w:rPr>
            </w:pPr>
            <w:r>
              <w:rPr>
                <w:rFonts w:ascii="Arial" w:cs="Arial" w:eastAsia="Arial" w:hAnsi="Arial"/>
                <w:sz w:val="18"/>
                <w:szCs w:val="18"/>
                <w:color w:val="auto"/>
              </w:rPr>
              <w:t>6,852,176</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21,928</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Alice M. Rivlin</w:t>
            </w:r>
          </w:p>
        </w:tc>
        <w:tc>
          <w:tcPr>
            <w:tcW w:w="4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6,814,797</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59,307</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4220" w:type="dxa"/>
            <w:vAlign w:val="bottom"/>
          </w:tcPr>
          <w:p>
            <w:pPr>
              <w:jc w:val="right"/>
              <w:ind w:right="2392"/>
              <w:spacing w:after="0"/>
              <w:rPr>
                <w:sz w:val="20"/>
                <w:szCs w:val="20"/>
                <w:color w:val="auto"/>
              </w:rPr>
            </w:pPr>
            <w:r>
              <w:rPr>
                <w:rFonts w:ascii="Arial" w:cs="Arial" w:eastAsia="Arial" w:hAnsi="Arial"/>
                <w:sz w:val="18"/>
                <w:szCs w:val="18"/>
                <w:color w:val="auto"/>
              </w:rPr>
              <w:t>24</w:t>
            </w: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240" w:top="274" w:right="39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6. Exhibits and Reports on Form 8-K.</w:t>
      </w:r>
    </w:p>
    <w:p>
      <w:pPr>
        <w:spacing w:after="0" w:line="83" w:lineRule="exact"/>
        <w:rPr>
          <w:sz w:val="20"/>
          <w:szCs w:val="20"/>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following documents are filed as exhibits to this report:</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Exhibit</w:t>
            </w:r>
          </w:p>
        </w:tc>
        <w:tc>
          <w:tcPr>
            <w:tcW w:w="5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560" w:type="dxa"/>
            <w:vAlign w:val="bottom"/>
          </w:tcPr>
          <w:p>
            <w:pPr>
              <w:spacing w:after="0"/>
              <w:rPr>
                <w:sz w:val="14"/>
                <w:szCs w:val="14"/>
                <w:color w:val="auto"/>
              </w:rPr>
            </w:pPr>
          </w:p>
        </w:tc>
      </w:tr>
      <w:tr>
        <w:trPr>
          <w:trHeight w:val="174"/>
        </w:trPr>
        <w:tc>
          <w:tcPr>
            <w:tcW w:w="7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Number</w:t>
            </w:r>
          </w:p>
        </w:tc>
        <w:tc>
          <w:tcPr>
            <w:tcW w:w="5120" w:type="dxa"/>
            <w:vAlign w:val="bottom"/>
          </w:tcPr>
          <w:p>
            <w:pPr>
              <w:spacing w:after="0"/>
              <w:rPr>
                <w:sz w:val="15"/>
                <w:szCs w:val="15"/>
                <w:color w:val="auto"/>
              </w:rPr>
            </w:pPr>
          </w:p>
        </w:tc>
        <w:tc>
          <w:tcPr>
            <w:tcW w:w="5460" w:type="dxa"/>
            <w:vAlign w:val="bottom"/>
            <w:gridSpan w:val="2"/>
          </w:tcPr>
          <w:p>
            <w:pPr>
              <w:ind w:left="120"/>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62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512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4560" w:type="dxa"/>
            <w:vAlign w:val="bottom"/>
          </w:tcPr>
          <w:p>
            <w:pPr>
              <w:spacing w:after="0"/>
              <w:rPr>
                <w:sz w:val="8"/>
                <w:szCs w:val="8"/>
                <w:color w:val="auto"/>
              </w:rPr>
            </w:pPr>
          </w:p>
        </w:tc>
      </w:tr>
      <w:tr>
        <w:trPr>
          <w:trHeight w:val="377"/>
        </w:trPr>
        <w:tc>
          <w:tcPr>
            <w:tcW w:w="620" w:type="dxa"/>
            <w:vAlign w:val="bottom"/>
          </w:tcPr>
          <w:p>
            <w:pPr>
              <w:jc w:val="right"/>
              <w:spacing w:after="0"/>
              <w:rPr>
                <w:sz w:val="20"/>
                <w:szCs w:val="20"/>
                <w:color w:val="auto"/>
              </w:rPr>
            </w:pPr>
            <w:r>
              <w:rPr>
                <w:rFonts w:ascii="Arial" w:cs="Arial" w:eastAsia="Arial" w:hAnsi="Arial"/>
                <w:sz w:val="18"/>
                <w:szCs w:val="18"/>
                <w:color w:val="auto"/>
              </w:rPr>
              <w:t>3.1</w:t>
            </w:r>
          </w:p>
        </w:tc>
        <w:tc>
          <w:tcPr>
            <w:tcW w:w="160" w:type="dxa"/>
            <w:vAlign w:val="bottom"/>
          </w:tcPr>
          <w:p>
            <w:pPr>
              <w:spacing w:after="0"/>
              <w:rPr>
                <w:sz w:val="24"/>
                <w:szCs w:val="24"/>
                <w:color w:val="auto"/>
              </w:rPr>
            </w:pPr>
          </w:p>
        </w:tc>
        <w:tc>
          <w:tcPr>
            <w:tcW w:w="10580" w:type="dxa"/>
            <w:vAlign w:val="bottom"/>
            <w:gridSpan w:val="3"/>
          </w:tcPr>
          <w:p>
            <w:pPr>
              <w:ind w:left="500"/>
              <w:spacing w:after="0"/>
              <w:rPr>
                <w:sz w:val="20"/>
                <w:szCs w:val="20"/>
                <w:color w:val="auto"/>
              </w:rPr>
            </w:pPr>
            <w:r>
              <w:rPr>
                <w:rFonts w:ascii="Arial" w:cs="Arial" w:eastAsia="Arial" w:hAnsi="Arial"/>
                <w:sz w:val="18"/>
                <w:szCs w:val="18"/>
                <w:color w:val="auto"/>
                <w:w w:val="89"/>
              </w:rPr>
              <w:t>Certificate of Incorporation of the Company as amended through May 12, 1988, and the Certificate of Designation for the Company’s Series A</w:t>
            </w:r>
          </w:p>
        </w:tc>
      </w:tr>
      <w:tr>
        <w:trPr>
          <w:trHeight w:val="216"/>
        </w:trPr>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580" w:type="dxa"/>
            <w:vAlign w:val="bottom"/>
            <w:gridSpan w:val="3"/>
          </w:tcPr>
          <w:p>
            <w:pPr>
              <w:ind w:left="500"/>
              <w:spacing w:after="0"/>
              <w:rPr>
                <w:sz w:val="20"/>
                <w:szCs w:val="20"/>
                <w:color w:val="auto"/>
              </w:rPr>
            </w:pPr>
            <w:r>
              <w:rPr>
                <w:rFonts w:ascii="Arial" w:cs="Arial" w:eastAsia="Arial" w:hAnsi="Arial"/>
                <w:sz w:val="18"/>
                <w:szCs w:val="18"/>
                <w:color w:val="auto"/>
                <w:w w:val="90"/>
              </w:rPr>
              <w:t>Preferred Stock filed January 22, 1996 (incorporated by reference to Exhibit 3.1 to the Company’s Annual Report on Form 10-K for the fiscal</w:t>
            </w:r>
          </w:p>
        </w:tc>
      </w:tr>
      <w:tr>
        <w:trPr>
          <w:trHeight w:val="222"/>
        </w:trPr>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580" w:type="dxa"/>
            <w:vAlign w:val="bottom"/>
            <w:gridSpan w:val="3"/>
          </w:tcPr>
          <w:p>
            <w:pPr>
              <w:ind w:left="500"/>
              <w:spacing w:after="0"/>
              <w:rPr>
                <w:sz w:val="20"/>
                <w:szCs w:val="20"/>
                <w:color w:val="auto"/>
              </w:rPr>
            </w:pPr>
            <w:r>
              <w:rPr>
                <w:rFonts w:ascii="Arial" w:cs="Arial" w:eastAsia="Arial" w:hAnsi="Arial"/>
                <w:sz w:val="18"/>
                <w:szCs w:val="18"/>
                <w:color w:val="auto"/>
              </w:rPr>
              <w:t>year ended December 31, 1995).</w:t>
            </w:r>
          </w:p>
        </w:tc>
      </w:tr>
      <w:tr>
        <w:trPr>
          <w:trHeight w:val="277"/>
        </w:trPr>
        <w:tc>
          <w:tcPr>
            <w:tcW w:w="620" w:type="dxa"/>
            <w:vAlign w:val="bottom"/>
          </w:tcPr>
          <w:p>
            <w:pPr>
              <w:jc w:val="right"/>
              <w:spacing w:after="0"/>
              <w:rPr>
                <w:sz w:val="20"/>
                <w:szCs w:val="20"/>
                <w:color w:val="auto"/>
              </w:rPr>
            </w:pPr>
            <w:r>
              <w:rPr>
                <w:rFonts w:ascii="Arial" w:cs="Arial" w:eastAsia="Arial" w:hAnsi="Arial"/>
                <w:sz w:val="18"/>
                <w:szCs w:val="18"/>
                <w:color w:val="auto"/>
              </w:rPr>
              <w:t>3.2</w:t>
            </w:r>
          </w:p>
        </w:tc>
        <w:tc>
          <w:tcPr>
            <w:tcW w:w="160" w:type="dxa"/>
            <w:vAlign w:val="bottom"/>
          </w:tcPr>
          <w:p>
            <w:pPr>
              <w:spacing w:after="0"/>
              <w:rPr>
                <w:sz w:val="24"/>
                <w:szCs w:val="24"/>
                <w:color w:val="auto"/>
              </w:rPr>
            </w:pPr>
          </w:p>
        </w:tc>
        <w:tc>
          <w:tcPr>
            <w:tcW w:w="10580" w:type="dxa"/>
            <w:vAlign w:val="bottom"/>
            <w:gridSpan w:val="3"/>
          </w:tcPr>
          <w:p>
            <w:pPr>
              <w:ind w:left="500"/>
              <w:spacing w:after="0"/>
              <w:rPr>
                <w:sz w:val="20"/>
                <w:szCs w:val="20"/>
                <w:color w:val="auto"/>
              </w:rPr>
            </w:pPr>
            <w:r>
              <w:rPr>
                <w:rFonts w:ascii="Arial" w:cs="Arial" w:eastAsia="Arial" w:hAnsi="Arial"/>
                <w:sz w:val="18"/>
                <w:szCs w:val="18"/>
                <w:color w:val="auto"/>
                <w:w w:val="89"/>
              </w:rPr>
              <w:t>By-Laws of the Company as amended through May 8, 2003 (incorporated by reference to Exhibit 3.2 to the Company’s Quarterly Reported on</w:t>
            </w:r>
          </w:p>
        </w:tc>
      </w:tr>
      <w:tr>
        <w:trPr>
          <w:trHeight w:val="222"/>
        </w:trPr>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580" w:type="dxa"/>
            <w:vAlign w:val="bottom"/>
            <w:gridSpan w:val="3"/>
          </w:tcPr>
          <w:p>
            <w:pPr>
              <w:ind w:left="500"/>
              <w:spacing w:after="0"/>
              <w:rPr>
                <w:sz w:val="20"/>
                <w:szCs w:val="20"/>
                <w:color w:val="auto"/>
              </w:rPr>
            </w:pPr>
            <w:r>
              <w:rPr>
                <w:rFonts w:ascii="Arial" w:cs="Arial" w:eastAsia="Arial" w:hAnsi="Arial"/>
                <w:sz w:val="18"/>
                <w:szCs w:val="18"/>
                <w:color w:val="auto"/>
              </w:rPr>
              <w:t>Form 10-Q for the quarter ended March 30, 2003).</w:t>
            </w:r>
          </w:p>
        </w:tc>
      </w:tr>
      <w:tr>
        <w:trPr>
          <w:trHeight w:val="277"/>
        </w:trPr>
        <w:tc>
          <w:tcPr>
            <w:tcW w:w="620" w:type="dxa"/>
            <w:vAlign w:val="bottom"/>
          </w:tcPr>
          <w:p>
            <w:pPr>
              <w:jc w:val="right"/>
              <w:spacing w:after="0"/>
              <w:rPr>
                <w:sz w:val="20"/>
                <w:szCs w:val="20"/>
                <w:color w:val="auto"/>
              </w:rPr>
            </w:pPr>
            <w:r>
              <w:rPr>
                <w:rFonts w:ascii="Arial" w:cs="Arial" w:eastAsia="Arial" w:hAnsi="Arial"/>
                <w:sz w:val="18"/>
                <w:szCs w:val="18"/>
                <w:color w:val="auto"/>
              </w:rPr>
              <w:t>4.1</w:t>
            </w:r>
          </w:p>
        </w:tc>
        <w:tc>
          <w:tcPr>
            <w:tcW w:w="160" w:type="dxa"/>
            <w:vAlign w:val="bottom"/>
          </w:tcPr>
          <w:p>
            <w:pPr>
              <w:spacing w:after="0"/>
              <w:rPr>
                <w:sz w:val="24"/>
                <w:szCs w:val="24"/>
                <w:color w:val="auto"/>
              </w:rPr>
            </w:pPr>
          </w:p>
        </w:tc>
        <w:tc>
          <w:tcPr>
            <w:tcW w:w="10580" w:type="dxa"/>
            <w:vAlign w:val="bottom"/>
            <w:gridSpan w:val="3"/>
          </w:tcPr>
          <w:p>
            <w:pPr>
              <w:ind w:left="500"/>
              <w:spacing w:after="0"/>
              <w:rPr>
                <w:sz w:val="20"/>
                <w:szCs w:val="20"/>
                <w:color w:val="auto"/>
              </w:rPr>
            </w:pPr>
            <w:r>
              <w:rPr>
                <w:rFonts w:ascii="Arial" w:cs="Arial" w:eastAsia="Arial" w:hAnsi="Arial"/>
                <w:sz w:val="18"/>
                <w:szCs w:val="18"/>
                <w:color w:val="auto"/>
                <w:w w:val="88"/>
              </w:rPr>
              <w:t>Form of the Company’s 5.50% Notes due February 15, 2009, issued under the Indenture dated as of February 17, 1999, between the Company</w:t>
            </w:r>
          </w:p>
        </w:tc>
      </w:tr>
      <w:tr>
        <w:trPr>
          <w:trHeight w:val="216"/>
        </w:trPr>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580" w:type="dxa"/>
            <w:vAlign w:val="bottom"/>
            <w:gridSpan w:val="3"/>
          </w:tcPr>
          <w:p>
            <w:pPr>
              <w:ind w:left="500"/>
              <w:spacing w:after="0"/>
              <w:rPr>
                <w:sz w:val="20"/>
                <w:szCs w:val="20"/>
                <w:color w:val="auto"/>
              </w:rPr>
            </w:pPr>
            <w:r>
              <w:rPr>
                <w:rFonts w:ascii="Arial" w:cs="Arial" w:eastAsia="Arial" w:hAnsi="Arial"/>
                <w:sz w:val="18"/>
                <w:szCs w:val="18"/>
                <w:color w:val="auto"/>
                <w:w w:val="90"/>
              </w:rPr>
              <w:t>and The First National Bank of Chicago, as Trustee (incorporated by reference to Exhibit 4.2 to the Company’s Annual Report on Form 10-K</w:t>
            </w:r>
          </w:p>
        </w:tc>
      </w:tr>
      <w:tr>
        <w:trPr>
          <w:trHeight w:val="222"/>
        </w:trPr>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580" w:type="dxa"/>
            <w:vAlign w:val="bottom"/>
            <w:gridSpan w:val="3"/>
          </w:tcPr>
          <w:p>
            <w:pPr>
              <w:ind w:left="500"/>
              <w:spacing w:after="0"/>
              <w:rPr>
                <w:sz w:val="20"/>
                <w:szCs w:val="20"/>
                <w:color w:val="auto"/>
              </w:rPr>
            </w:pPr>
            <w:r>
              <w:rPr>
                <w:rFonts w:ascii="Arial" w:cs="Arial" w:eastAsia="Arial" w:hAnsi="Arial"/>
                <w:sz w:val="18"/>
                <w:szCs w:val="18"/>
                <w:color w:val="auto"/>
              </w:rPr>
              <w:t>for the fiscal year ended January 3, 1999).</w:t>
            </w:r>
          </w:p>
        </w:tc>
      </w:tr>
      <w:tr>
        <w:trPr>
          <w:trHeight w:val="277"/>
        </w:trPr>
        <w:tc>
          <w:tcPr>
            <w:tcW w:w="620" w:type="dxa"/>
            <w:vAlign w:val="bottom"/>
          </w:tcPr>
          <w:p>
            <w:pPr>
              <w:jc w:val="right"/>
              <w:spacing w:after="0"/>
              <w:rPr>
                <w:sz w:val="20"/>
                <w:szCs w:val="20"/>
                <w:color w:val="auto"/>
              </w:rPr>
            </w:pPr>
            <w:r>
              <w:rPr>
                <w:rFonts w:ascii="Arial" w:cs="Arial" w:eastAsia="Arial" w:hAnsi="Arial"/>
                <w:sz w:val="18"/>
                <w:szCs w:val="18"/>
                <w:color w:val="auto"/>
              </w:rPr>
              <w:t>4.2</w:t>
            </w:r>
          </w:p>
        </w:tc>
        <w:tc>
          <w:tcPr>
            <w:tcW w:w="160" w:type="dxa"/>
            <w:vAlign w:val="bottom"/>
          </w:tcPr>
          <w:p>
            <w:pPr>
              <w:spacing w:after="0"/>
              <w:rPr>
                <w:sz w:val="24"/>
                <w:szCs w:val="24"/>
                <w:color w:val="auto"/>
              </w:rPr>
            </w:pPr>
          </w:p>
        </w:tc>
        <w:tc>
          <w:tcPr>
            <w:tcW w:w="10580" w:type="dxa"/>
            <w:vAlign w:val="bottom"/>
            <w:gridSpan w:val="3"/>
          </w:tcPr>
          <w:p>
            <w:pPr>
              <w:ind w:left="500"/>
              <w:spacing w:after="0"/>
              <w:rPr>
                <w:sz w:val="20"/>
                <w:szCs w:val="20"/>
                <w:color w:val="auto"/>
              </w:rPr>
            </w:pPr>
            <w:r>
              <w:rPr>
                <w:rFonts w:ascii="Arial" w:cs="Arial" w:eastAsia="Arial" w:hAnsi="Arial"/>
                <w:sz w:val="18"/>
                <w:szCs w:val="18"/>
                <w:color w:val="auto"/>
                <w:w w:val="88"/>
              </w:rPr>
              <w:t>Indenture dated as of February 17, 1999, between the Company and The First National Bank of Chicago, as Trustee (incorporated by reference</w:t>
            </w:r>
          </w:p>
        </w:tc>
      </w:tr>
      <w:tr>
        <w:trPr>
          <w:trHeight w:val="222"/>
        </w:trPr>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580" w:type="dxa"/>
            <w:vAlign w:val="bottom"/>
            <w:gridSpan w:val="3"/>
          </w:tcPr>
          <w:p>
            <w:pPr>
              <w:ind w:left="500"/>
              <w:spacing w:after="0"/>
              <w:rPr>
                <w:sz w:val="20"/>
                <w:szCs w:val="20"/>
                <w:color w:val="auto"/>
              </w:rPr>
            </w:pPr>
            <w:r>
              <w:rPr>
                <w:rFonts w:ascii="Arial" w:cs="Arial" w:eastAsia="Arial" w:hAnsi="Arial"/>
                <w:sz w:val="18"/>
                <w:szCs w:val="18"/>
                <w:color w:val="auto"/>
              </w:rPr>
              <w:t>to Exhibit 4.3 to the Company’s Annual Report on Form 10-K for the fiscal year ended January 3, 1999).</w:t>
            </w:r>
          </w:p>
        </w:tc>
      </w:tr>
      <w:tr>
        <w:trPr>
          <w:trHeight w:val="277"/>
        </w:trPr>
        <w:tc>
          <w:tcPr>
            <w:tcW w:w="620" w:type="dxa"/>
            <w:vAlign w:val="bottom"/>
          </w:tcPr>
          <w:p>
            <w:pPr>
              <w:jc w:val="right"/>
              <w:spacing w:after="0"/>
              <w:rPr>
                <w:sz w:val="20"/>
                <w:szCs w:val="20"/>
                <w:color w:val="auto"/>
              </w:rPr>
            </w:pPr>
            <w:r>
              <w:rPr>
                <w:rFonts w:ascii="Arial" w:cs="Arial" w:eastAsia="Arial" w:hAnsi="Arial"/>
                <w:sz w:val="18"/>
                <w:szCs w:val="18"/>
                <w:color w:val="auto"/>
              </w:rPr>
              <w:t>4.3</w:t>
            </w:r>
          </w:p>
        </w:tc>
        <w:tc>
          <w:tcPr>
            <w:tcW w:w="160" w:type="dxa"/>
            <w:vAlign w:val="bottom"/>
          </w:tcPr>
          <w:p>
            <w:pPr>
              <w:spacing w:after="0"/>
              <w:rPr>
                <w:sz w:val="24"/>
                <w:szCs w:val="24"/>
                <w:color w:val="auto"/>
              </w:rPr>
            </w:pPr>
          </w:p>
        </w:tc>
        <w:tc>
          <w:tcPr>
            <w:tcW w:w="10580" w:type="dxa"/>
            <w:vAlign w:val="bottom"/>
            <w:gridSpan w:val="3"/>
          </w:tcPr>
          <w:p>
            <w:pPr>
              <w:ind w:left="500"/>
              <w:spacing w:after="0"/>
              <w:rPr>
                <w:sz w:val="20"/>
                <w:szCs w:val="20"/>
                <w:color w:val="auto"/>
              </w:rPr>
            </w:pPr>
            <w:r>
              <w:rPr>
                <w:rFonts w:ascii="Arial" w:cs="Arial" w:eastAsia="Arial" w:hAnsi="Arial"/>
                <w:sz w:val="18"/>
                <w:szCs w:val="18"/>
                <w:color w:val="auto"/>
                <w:w w:val="88"/>
              </w:rPr>
              <w:t>364-Day Credit Agreement dated as of August 14, 2002, among the Company, Citibank, N.A., Wachovia Bank, National Association, SunTrust</w:t>
            </w:r>
          </w:p>
        </w:tc>
      </w:tr>
      <w:tr>
        <w:trPr>
          <w:trHeight w:val="216"/>
        </w:trPr>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580" w:type="dxa"/>
            <w:vAlign w:val="bottom"/>
            <w:gridSpan w:val="3"/>
          </w:tcPr>
          <w:p>
            <w:pPr>
              <w:ind w:left="500"/>
              <w:spacing w:after="0"/>
              <w:rPr>
                <w:sz w:val="20"/>
                <w:szCs w:val="20"/>
                <w:color w:val="auto"/>
              </w:rPr>
            </w:pPr>
            <w:r>
              <w:rPr>
                <w:rFonts w:ascii="Arial" w:cs="Arial" w:eastAsia="Arial" w:hAnsi="Arial"/>
                <w:sz w:val="18"/>
                <w:szCs w:val="18"/>
                <w:color w:val="auto"/>
                <w:w w:val="94"/>
              </w:rPr>
              <w:t>Bank, JPMorgan Chase Bank, Bank One, N.A., The Bank of New York and Riggs Bank (incorporated by reference to Exhibit 4.3 to the</w:t>
            </w:r>
          </w:p>
        </w:tc>
      </w:tr>
      <w:tr>
        <w:trPr>
          <w:trHeight w:val="222"/>
        </w:trPr>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580" w:type="dxa"/>
            <w:vAlign w:val="bottom"/>
            <w:gridSpan w:val="3"/>
          </w:tcPr>
          <w:p>
            <w:pPr>
              <w:ind w:left="500"/>
              <w:spacing w:after="0"/>
              <w:rPr>
                <w:sz w:val="20"/>
                <w:szCs w:val="20"/>
                <w:color w:val="auto"/>
              </w:rPr>
            </w:pPr>
            <w:r>
              <w:rPr>
                <w:rFonts w:ascii="Arial" w:cs="Arial" w:eastAsia="Arial" w:hAnsi="Arial"/>
                <w:sz w:val="18"/>
                <w:szCs w:val="18"/>
                <w:color w:val="auto"/>
              </w:rPr>
              <w:t>Company’s Quarterly Report on Form 10-Q for the quarter ended September 29, 2002).</w:t>
            </w:r>
          </w:p>
        </w:tc>
      </w:tr>
      <w:tr>
        <w:trPr>
          <w:trHeight w:val="277"/>
        </w:trPr>
        <w:tc>
          <w:tcPr>
            <w:tcW w:w="620" w:type="dxa"/>
            <w:vAlign w:val="bottom"/>
          </w:tcPr>
          <w:p>
            <w:pPr>
              <w:jc w:val="right"/>
              <w:spacing w:after="0"/>
              <w:rPr>
                <w:sz w:val="20"/>
                <w:szCs w:val="20"/>
                <w:color w:val="auto"/>
              </w:rPr>
            </w:pPr>
            <w:r>
              <w:rPr>
                <w:rFonts w:ascii="Arial" w:cs="Arial" w:eastAsia="Arial" w:hAnsi="Arial"/>
                <w:sz w:val="18"/>
                <w:szCs w:val="18"/>
                <w:color w:val="auto"/>
              </w:rPr>
              <w:t>4.4</w:t>
            </w:r>
          </w:p>
        </w:tc>
        <w:tc>
          <w:tcPr>
            <w:tcW w:w="160" w:type="dxa"/>
            <w:vAlign w:val="bottom"/>
          </w:tcPr>
          <w:p>
            <w:pPr>
              <w:spacing w:after="0"/>
              <w:rPr>
                <w:sz w:val="24"/>
                <w:szCs w:val="24"/>
                <w:color w:val="auto"/>
              </w:rPr>
            </w:pPr>
          </w:p>
        </w:tc>
        <w:tc>
          <w:tcPr>
            <w:tcW w:w="10580" w:type="dxa"/>
            <w:vAlign w:val="bottom"/>
            <w:gridSpan w:val="3"/>
          </w:tcPr>
          <w:p>
            <w:pPr>
              <w:ind w:left="500"/>
              <w:spacing w:after="0"/>
              <w:rPr>
                <w:sz w:val="20"/>
                <w:szCs w:val="20"/>
                <w:color w:val="auto"/>
              </w:rPr>
            </w:pPr>
            <w:r>
              <w:rPr>
                <w:rFonts w:ascii="Arial" w:cs="Arial" w:eastAsia="Arial" w:hAnsi="Arial"/>
                <w:sz w:val="18"/>
                <w:szCs w:val="18"/>
                <w:color w:val="auto"/>
                <w:w w:val="89"/>
              </w:rPr>
              <w:t>5-Year Credit Agreement dated as of August 14, 2002, among the Company, Citibank, N.A., Wachovia Bank, National Association, SunTrust</w:t>
            </w:r>
          </w:p>
        </w:tc>
      </w:tr>
      <w:tr>
        <w:trPr>
          <w:trHeight w:val="216"/>
        </w:trPr>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580" w:type="dxa"/>
            <w:vAlign w:val="bottom"/>
            <w:gridSpan w:val="3"/>
          </w:tcPr>
          <w:p>
            <w:pPr>
              <w:ind w:left="500"/>
              <w:spacing w:after="0"/>
              <w:rPr>
                <w:sz w:val="20"/>
                <w:szCs w:val="20"/>
                <w:color w:val="auto"/>
              </w:rPr>
            </w:pPr>
            <w:r>
              <w:rPr>
                <w:rFonts w:ascii="Arial" w:cs="Arial" w:eastAsia="Arial" w:hAnsi="Arial"/>
                <w:sz w:val="18"/>
                <w:szCs w:val="18"/>
                <w:color w:val="auto"/>
                <w:w w:val="94"/>
              </w:rPr>
              <w:t>Bank, JPMorgan Chase Bank, Bank One, N.A., The Bank of New York and Riggs Bank (incorporated by reference to Exhibit 4.4 to the</w:t>
            </w:r>
          </w:p>
        </w:tc>
      </w:tr>
      <w:tr>
        <w:trPr>
          <w:trHeight w:val="222"/>
        </w:trPr>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580" w:type="dxa"/>
            <w:vAlign w:val="bottom"/>
            <w:gridSpan w:val="3"/>
          </w:tcPr>
          <w:p>
            <w:pPr>
              <w:ind w:left="500"/>
              <w:spacing w:after="0"/>
              <w:rPr>
                <w:sz w:val="20"/>
                <w:szCs w:val="20"/>
                <w:color w:val="auto"/>
              </w:rPr>
            </w:pPr>
            <w:r>
              <w:rPr>
                <w:rFonts w:ascii="Arial" w:cs="Arial" w:eastAsia="Arial" w:hAnsi="Arial"/>
                <w:sz w:val="18"/>
                <w:szCs w:val="18"/>
                <w:color w:val="auto"/>
              </w:rPr>
              <w:t>Company’s Quarterly Report on Form 10-Q for the quarter ended September 29, 2002).</w:t>
            </w:r>
          </w:p>
        </w:tc>
      </w:tr>
      <w:tr>
        <w:trPr>
          <w:trHeight w:val="284"/>
        </w:trPr>
        <w:tc>
          <w:tcPr>
            <w:tcW w:w="620" w:type="dxa"/>
            <w:vAlign w:val="bottom"/>
          </w:tcPr>
          <w:p>
            <w:pPr>
              <w:jc w:val="right"/>
              <w:spacing w:after="0"/>
              <w:rPr>
                <w:sz w:val="20"/>
                <w:szCs w:val="20"/>
                <w:color w:val="auto"/>
              </w:rPr>
            </w:pPr>
            <w:r>
              <w:rPr>
                <w:rFonts w:ascii="Arial" w:cs="Arial" w:eastAsia="Arial" w:hAnsi="Arial"/>
                <w:sz w:val="18"/>
                <w:szCs w:val="18"/>
                <w:color w:val="auto"/>
              </w:rPr>
              <w:t>4.5</w:t>
            </w:r>
          </w:p>
        </w:tc>
        <w:tc>
          <w:tcPr>
            <w:tcW w:w="160" w:type="dxa"/>
            <w:vAlign w:val="bottom"/>
          </w:tcPr>
          <w:p>
            <w:pPr>
              <w:spacing w:after="0"/>
              <w:rPr>
                <w:sz w:val="24"/>
                <w:szCs w:val="24"/>
                <w:color w:val="auto"/>
              </w:rPr>
            </w:pPr>
          </w:p>
        </w:tc>
        <w:tc>
          <w:tcPr>
            <w:tcW w:w="10580" w:type="dxa"/>
            <w:vAlign w:val="bottom"/>
            <w:gridSpan w:val="3"/>
          </w:tcPr>
          <w:p>
            <w:pPr>
              <w:ind w:left="500"/>
              <w:spacing w:after="0"/>
              <w:rPr>
                <w:sz w:val="20"/>
                <w:szCs w:val="20"/>
                <w:color w:val="auto"/>
              </w:rPr>
            </w:pPr>
            <w:r>
              <w:rPr>
                <w:rFonts w:ascii="Arial" w:cs="Arial" w:eastAsia="Arial" w:hAnsi="Arial"/>
                <w:sz w:val="18"/>
                <w:szCs w:val="18"/>
                <w:color w:val="auto"/>
              </w:rPr>
              <w:t>The Washington Post Company Stock Option Plan as amended and restated effective May 31, 2003.</w:t>
            </w:r>
          </w:p>
        </w:tc>
      </w:tr>
      <w:tr>
        <w:trPr>
          <w:trHeight w:val="284"/>
        </w:trPr>
        <w:tc>
          <w:tcPr>
            <w:tcW w:w="620" w:type="dxa"/>
            <w:vAlign w:val="bottom"/>
          </w:tcPr>
          <w:p>
            <w:pPr>
              <w:jc w:val="right"/>
              <w:ind w:right="35"/>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24"/>
                <w:szCs w:val="24"/>
                <w:color w:val="auto"/>
              </w:rPr>
            </w:pPr>
          </w:p>
        </w:tc>
        <w:tc>
          <w:tcPr>
            <w:tcW w:w="10580" w:type="dxa"/>
            <w:vAlign w:val="bottom"/>
            <w:gridSpan w:val="3"/>
          </w:tcPr>
          <w:p>
            <w:pPr>
              <w:ind w:left="500"/>
              <w:spacing w:after="0"/>
              <w:rPr>
                <w:sz w:val="20"/>
                <w:szCs w:val="20"/>
                <w:color w:val="auto"/>
              </w:rPr>
            </w:pPr>
            <w:r>
              <w:rPr>
                <w:rFonts w:ascii="Arial" w:cs="Arial" w:eastAsia="Arial" w:hAnsi="Arial"/>
                <w:sz w:val="18"/>
                <w:szCs w:val="18"/>
                <w:color w:val="auto"/>
              </w:rPr>
              <w:t>Calculation of Earnings per Share of Common Stock.</w:t>
            </w:r>
          </w:p>
        </w:tc>
      </w:tr>
      <w:tr>
        <w:trPr>
          <w:trHeight w:val="284"/>
        </w:trPr>
        <w:tc>
          <w:tcPr>
            <w:tcW w:w="620" w:type="dxa"/>
            <w:vAlign w:val="bottom"/>
          </w:tcPr>
          <w:p>
            <w:pPr>
              <w:jc w:val="right"/>
              <w:spacing w:after="0"/>
              <w:rPr>
                <w:sz w:val="20"/>
                <w:szCs w:val="20"/>
                <w:color w:val="auto"/>
              </w:rPr>
            </w:pPr>
            <w:r>
              <w:rPr>
                <w:rFonts w:ascii="Arial" w:cs="Arial" w:eastAsia="Arial" w:hAnsi="Arial"/>
                <w:sz w:val="18"/>
                <w:szCs w:val="18"/>
                <w:color w:val="auto"/>
              </w:rPr>
              <w:t>31.1</w:t>
            </w:r>
          </w:p>
        </w:tc>
        <w:tc>
          <w:tcPr>
            <w:tcW w:w="160" w:type="dxa"/>
            <w:vAlign w:val="bottom"/>
          </w:tcPr>
          <w:p>
            <w:pPr>
              <w:spacing w:after="0"/>
              <w:rPr>
                <w:sz w:val="24"/>
                <w:szCs w:val="24"/>
                <w:color w:val="auto"/>
              </w:rPr>
            </w:pPr>
          </w:p>
        </w:tc>
        <w:tc>
          <w:tcPr>
            <w:tcW w:w="10580" w:type="dxa"/>
            <w:vAlign w:val="bottom"/>
            <w:gridSpan w:val="3"/>
          </w:tcPr>
          <w:p>
            <w:pPr>
              <w:ind w:left="500"/>
              <w:spacing w:after="0"/>
              <w:rPr>
                <w:sz w:val="20"/>
                <w:szCs w:val="20"/>
                <w:color w:val="auto"/>
              </w:rPr>
            </w:pPr>
            <w:r>
              <w:rPr>
                <w:rFonts w:ascii="Arial" w:cs="Arial" w:eastAsia="Arial" w:hAnsi="Arial"/>
                <w:sz w:val="18"/>
                <w:szCs w:val="18"/>
                <w:color w:val="auto"/>
              </w:rPr>
              <w:t>Certification pursuant to Section 302 of the Sarbanes-Oxley Act of 2002.</w:t>
            </w:r>
          </w:p>
        </w:tc>
      </w:tr>
      <w:tr>
        <w:trPr>
          <w:trHeight w:val="284"/>
        </w:trPr>
        <w:tc>
          <w:tcPr>
            <w:tcW w:w="620" w:type="dxa"/>
            <w:vAlign w:val="bottom"/>
          </w:tcPr>
          <w:p>
            <w:pPr>
              <w:jc w:val="right"/>
              <w:spacing w:after="0"/>
              <w:rPr>
                <w:sz w:val="20"/>
                <w:szCs w:val="20"/>
                <w:color w:val="auto"/>
              </w:rPr>
            </w:pPr>
            <w:r>
              <w:rPr>
                <w:rFonts w:ascii="Arial" w:cs="Arial" w:eastAsia="Arial" w:hAnsi="Arial"/>
                <w:sz w:val="18"/>
                <w:szCs w:val="18"/>
                <w:color w:val="auto"/>
              </w:rPr>
              <w:t>31.2</w:t>
            </w:r>
          </w:p>
        </w:tc>
        <w:tc>
          <w:tcPr>
            <w:tcW w:w="160" w:type="dxa"/>
            <w:vAlign w:val="bottom"/>
          </w:tcPr>
          <w:p>
            <w:pPr>
              <w:spacing w:after="0"/>
              <w:rPr>
                <w:sz w:val="24"/>
                <w:szCs w:val="24"/>
                <w:color w:val="auto"/>
              </w:rPr>
            </w:pPr>
          </w:p>
        </w:tc>
        <w:tc>
          <w:tcPr>
            <w:tcW w:w="10580" w:type="dxa"/>
            <w:vAlign w:val="bottom"/>
            <w:gridSpan w:val="3"/>
          </w:tcPr>
          <w:p>
            <w:pPr>
              <w:ind w:left="500"/>
              <w:spacing w:after="0"/>
              <w:rPr>
                <w:sz w:val="20"/>
                <w:szCs w:val="20"/>
                <w:color w:val="auto"/>
              </w:rPr>
            </w:pPr>
            <w:r>
              <w:rPr>
                <w:rFonts w:ascii="Arial" w:cs="Arial" w:eastAsia="Arial" w:hAnsi="Arial"/>
                <w:sz w:val="18"/>
                <w:szCs w:val="18"/>
                <w:color w:val="auto"/>
              </w:rPr>
              <w:t>Certification pursuant to Section 302 of the Sarbanes-Oxley Act of 2002.</w:t>
            </w:r>
          </w:p>
        </w:tc>
      </w:tr>
      <w:tr>
        <w:trPr>
          <w:trHeight w:val="284"/>
        </w:trPr>
        <w:tc>
          <w:tcPr>
            <w:tcW w:w="620" w:type="dxa"/>
            <w:vAlign w:val="bottom"/>
          </w:tcPr>
          <w:p>
            <w:pPr>
              <w:jc w:val="right"/>
              <w:spacing w:after="0"/>
              <w:rPr>
                <w:sz w:val="20"/>
                <w:szCs w:val="20"/>
                <w:color w:val="auto"/>
              </w:rPr>
            </w:pPr>
            <w:r>
              <w:rPr>
                <w:rFonts w:ascii="Arial" w:cs="Arial" w:eastAsia="Arial" w:hAnsi="Arial"/>
                <w:sz w:val="18"/>
                <w:szCs w:val="18"/>
                <w:color w:val="auto"/>
              </w:rPr>
              <w:t>32.1</w:t>
            </w:r>
          </w:p>
        </w:tc>
        <w:tc>
          <w:tcPr>
            <w:tcW w:w="160" w:type="dxa"/>
            <w:vAlign w:val="bottom"/>
          </w:tcPr>
          <w:p>
            <w:pPr>
              <w:spacing w:after="0"/>
              <w:rPr>
                <w:sz w:val="24"/>
                <w:szCs w:val="24"/>
                <w:color w:val="auto"/>
              </w:rPr>
            </w:pPr>
          </w:p>
        </w:tc>
        <w:tc>
          <w:tcPr>
            <w:tcW w:w="10580" w:type="dxa"/>
            <w:vAlign w:val="bottom"/>
            <w:gridSpan w:val="3"/>
          </w:tcPr>
          <w:p>
            <w:pPr>
              <w:ind w:left="500"/>
              <w:spacing w:after="0"/>
              <w:rPr>
                <w:sz w:val="20"/>
                <w:szCs w:val="20"/>
                <w:color w:val="auto"/>
              </w:rPr>
            </w:pPr>
            <w:r>
              <w:rPr>
                <w:rFonts w:ascii="Arial" w:cs="Arial" w:eastAsia="Arial" w:hAnsi="Arial"/>
                <w:sz w:val="18"/>
                <w:szCs w:val="18"/>
                <w:color w:val="auto"/>
              </w:rPr>
              <w:t>Certification pursuant to Section 906 of the Sarbanes-Oxley Act of 2002.</w:t>
            </w:r>
          </w:p>
        </w:tc>
      </w:tr>
      <w:tr>
        <w:trPr>
          <w:trHeight w:val="284"/>
        </w:trPr>
        <w:tc>
          <w:tcPr>
            <w:tcW w:w="620" w:type="dxa"/>
            <w:vAlign w:val="bottom"/>
          </w:tcPr>
          <w:p>
            <w:pPr>
              <w:jc w:val="right"/>
              <w:spacing w:after="0"/>
              <w:rPr>
                <w:sz w:val="20"/>
                <w:szCs w:val="20"/>
                <w:color w:val="auto"/>
              </w:rPr>
            </w:pPr>
            <w:r>
              <w:rPr>
                <w:rFonts w:ascii="Arial" w:cs="Arial" w:eastAsia="Arial" w:hAnsi="Arial"/>
                <w:sz w:val="18"/>
                <w:szCs w:val="18"/>
                <w:color w:val="auto"/>
              </w:rPr>
              <w:t>32.2</w:t>
            </w:r>
          </w:p>
        </w:tc>
        <w:tc>
          <w:tcPr>
            <w:tcW w:w="160" w:type="dxa"/>
            <w:vAlign w:val="bottom"/>
          </w:tcPr>
          <w:p>
            <w:pPr>
              <w:spacing w:after="0"/>
              <w:rPr>
                <w:sz w:val="24"/>
                <w:szCs w:val="24"/>
                <w:color w:val="auto"/>
              </w:rPr>
            </w:pPr>
          </w:p>
        </w:tc>
        <w:tc>
          <w:tcPr>
            <w:tcW w:w="10580" w:type="dxa"/>
            <w:vAlign w:val="bottom"/>
            <w:gridSpan w:val="3"/>
          </w:tcPr>
          <w:p>
            <w:pPr>
              <w:ind w:left="500"/>
              <w:spacing w:after="0"/>
              <w:rPr>
                <w:sz w:val="20"/>
                <w:szCs w:val="20"/>
                <w:color w:val="auto"/>
              </w:rPr>
            </w:pPr>
            <w:r>
              <w:rPr>
                <w:rFonts w:ascii="Arial" w:cs="Arial" w:eastAsia="Arial" w:hAnsi="Arial"/>
                <w:sz w:val="18"/>
                <w:szCs w:val="18"/>
                <w:color w:val="auto"/>
              </w:rPr>
              <w:t>Certification pursuant to Section 906 of the Sarbanes-Oxley Act of 2002.</w:t>
            </w:r>
          </w:p>
        </w:tc>
      </w:tr>
      <w:tr>
        <w:trPr>
          <w:trHeight w:val="365"/>
        </w:trPr>
        <w:tc>
          <w:tcPr>
            <w:tcW w:w="780" w:type="dxa"/>
            <w:vAlign w:val="bottom"/>
            <w:gridSpan w:val="2"/>
          </w:tcPr>
          <w:p>
            <w:pPr>
              <w:ind w:left="460"/>
              <w:spacing w:after="0"/>
              <w:rPr>
                <w:sz w:val="20"/>
                <w:szCs w:val="20"/>
                <w:color w:val="auto"/>
              </w:rPr>
            </w:pPr>
            <w:r>
              <w:rPr>
                <w:rFonts w:ascii="Arial" w:cs="Arial" w:eastAsia="Arial" w:hAnsi="Arial"/>
                <w:sz w:val="18"/>
                <w:szCs w:val="18"/>
                <w:color w:val="auto"/>
              </w:rPr>
              <w:t>(b)</w:t>
            </w:r>
          </w:p>
        </w:tc>
        <w:tc>
          <w:tcPr>
            <w:tcW w:w="10580" w:type="dxa"/>
            <w:vAlign w:val="bottom"/>
            <w:gridSpan w:val="3"/>
          </w:tcPr>
          <w:p>
            <w:pPr>
              <w:ind w:left="120"/>
              <w:spacing w:after="0"/>
              <w:rPr>
                <w:sz w:val="20"/>
                <w:szCs w:val="20"/>
                <w:color w:val="auto"/>
              </w:rPr>
            </w:pPr>
            <w:r>
              <w:rPr>
                <w:rFonts w:ascii="Arial" w:cs="Arial" w:eastAsia="Arial" w:hAnsi="Arial"/>
                <w:sz w:val="18"/>
                <w:szCs w:val="18"/>
                <w:color w:val="auto"/>
              </w:rPr>
              <w:t>Form 8-K</w:t>
            </w:r>
          </w:p>
        </w:tc>
      </w:tr>
      <w:tr>
        <w:trPr>
          <w:trHeight w:val="284"/>
        </w:trPr>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580" w:type="dxa"/>
            <w:vAlign w:val="bottom"/>
            <w:gridSpan w:val="3"/>
          </w:tcPr>
          <w:p>
            <w:pPr>
              <w:ind w:left="340"/>
              <w:spacing w:after="0"/>
              <w:rPr>
                <w:sz w:val="20"/>
                <w:szCs w:val="20"/>
                <w:color w:val="auto"/>
              </w:rPr>
            </w:pPr>
            <w:r>
              <w:rPr>
                <w:rFonts w:ascii="Arial" w:cs="Arial" w:eastAsia="Arial" w:hAnsi="Arial"/>
                <w:sz w:val="18"/>
                <w:szCs w:val="18"/>
                <w:color w:val="auto"/>
              </w:rPr>
              <w:t>Current report on Form 8-K filed April 22, 2003—The Washington Post Company Earnings Press Release.</w:t>
            </w:r>
          </w:p>
        </w:tc>
      </w:tr>
      <w:tr>
        <w:trPr>
          <w:trHeight w:val="365"/>
        </w:trPr>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120" w:type="dxa"/>
            <w:vAlign w:val="bottom"/>
          </w:tcPr>
          <w:p>
            <w:pPr>
              <w:ind w:left="4840"/>
              <w:spacing w:after="0"/>
              <w:rPr>
                <w:sz w:val="20"/>
                <w:szCs w:val="20"/>
                <w:color w:val="auto"/>
              </w:rPr>
            </w:pPr>
            <w:r>
              <w:rPr>
                <w:rFonts w:ascii="Arial" w:cs="Arial" w:eastAsia="Arial" w:hAnsi="Arial"/>
                <w:sz w:val="18"/>
                <w:szCs w:val="18"/>
                <w:color w:val="auto"/>
              </w:rPr>
              <w:t>25</w:t>
            </w:r>
          </w:p>
        </w:tc>
        <w:tc>
          <w:tcPr>
            <w:tcW w:w="900" w:type="dxa"/>
            <w:vAlign w:val="bottom"/>
          </w:tcPr>
          <w:p>
            <w:pPr>
              <w:spacing w:after="0"/>
              <w:rPr>
                <w:sz w:val="24"/>
                <w:szCs w:val="24"/>
                <w:color w:val="auto"/>
              </w:rPr>
            </w:pPr>
          </w:p>
        </w:tc>
        <w:tc>
          <w:tcPr>
            <w:tcW w:w="4560" w:type="dxa"/>
            <w:vAlign w:val="bottom"/>
          </w:tcPr>
          <w:p>
            <w:pPr>
              <w:spacing w:after="0"/>
              <w:rPr>
                <w:sz w:val="24"/>
                <w:szCs w:val="24"/>
                <w:color w:val="auto"/>
              </w:rPr>
            </w:pPr>
          </w:p>
        </w:tc>
      </w:tr>
    </w:tbl>
    <w:p>
      <w:pPr>
        <w:sectPr>
          <w:pgSz w:w="11900" w:h="16838" w:orient="portrait"/>
          <w:cols w:equalWidth="0" w:num="1">
            <w:col w:w="11360"/>
          </w:cols>
          <w:pgMar w:left="240" w:top="274" w:right="299" w:bottom="1440" w:gutter="0" w:footer="0" w:header="0"/>
        </w:sectPr>
      </w:pPr>
    </w:p>
    <w:bookmarkStart w:id="25" w:name="page26"/>
    <w:bookmarkEnd w:id="25"/>
    <w:p>
      <w:pPr>
        <w:ind w:lef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SIGNATURES</w:t>
      </w:r>
    </w:p>
    <w:p>
      <w:pPr>
        <w:spacing w:after="0" w:line="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18" w:lineRule="exact"/>
        <w:rPr>
          <w:sz w:val="20"/>
          <w:szCs w:val="20"/>
          <w:color w:val="auto"/>
        </w:rPr>
      </w:pPr>
    </w:p>
    <w:p>
      <w:pPr>
        <w:jc w:val="center"/>
        <w:ind w:left="6300"/>
        <w:spacing w:after="0"/>
        <w:rPr>
          <w:sz w:val="20"/>
          <w:szCs w:val="20"/>
          <w:color w:val="auto"/>
        </w:rPr>
      </w:pPr>
      <w:r>
        <w:rPr>
          <w:rFonts w:ascii="Arial" w:cs="Arial" w:eastAsia="Arial" w:hAnsi="Arial"/>
          <w:sz w:val="18"/>
          <w:szCs w:val="18"/>
          <w:color w:val="auto"/>
        </w:rPr>
        <w:t>THE WASHINGTON POST COMPANY</w:t>
      </w:r>
    </w:p>
    <w:p>
      <w:pPr>
        <w:spacing w:after="0" w:line="15" w:lineRule="exact"/>
        <w:rPr>
          <w:sz w:val="20"/>
          <w:szCs w:val="20"/>
          <w:color w:val="auto"/>
        </w:rPr>
      </w:pPr>
    </w:p>
    <w:p>
      <w:pPr>
        <w:jc w:val="center"/>
        <w:ind w:left="6300"/>
        <w:spacing w:after="0"/>
        <w:rPr>
          <w:sz w:val="20"/>
          <w:szCs w:val="20"/>
          <w:color w:val="auto"/>
        </w:rPr>
      </w:pPr>
      <w:r>
        <w:rPr>
          <w:rFonts w:ascii="Arial" w:cs="Arial" w:eastAsia="Arial" w:hAnsi="Arial"/>
          <w:sz w:val="18"/>
          <w:szCs w:val="18"/>
          <w:color w:val="auto"/>
        </w:rPr>
        <w:t>(Registrant)</w:t>
      </w:r>
    </w:p>
    <w:p>
      <w:pPr>
        <w:spacing w:after="0" w:line="219" w:lineRule="exact"/>
        <w:rPr>
          <w:sz w:val="20"/>
          <w:szCs w:val="20"/>
          <w:color w:val="auto"/>
        </w:rPr>
      </w:pPr>
    </w:p>
    <w:p>
      <w:pPr>
        <w:spacing w:after="0"/>
        <w:tabs>
          <w:tab w:leader="none" w:pos="540" w:val="left"/>
          <w:tab w:leader="none" w:pos="8060" w:val="left"/>
        </w:tabs>
        <w:rPr>
          <w:sz w:val="20"/>
          <w:szCs w:val="20"/>
          <w:color w:val="auto"/>
        </w:rPr>
      </w:pPr>
      <w:r>
        <w:rPr>
          <w:rFonts w:ascii="Arial" w:cs="Arial" w:eastAsia="Arial" w:hAnsi="Arial"/>
          <w:sz w:val="18"/>
          <w:szCs w:val="18"/>
          <w:color w:val="auto"/>
        </w:rPr>
        <w:t>Date:</w:t>
        <w:tab/>
        <w:t>July 31, 2003</w:t>
      </w:r>
      <w:r>
        <w:rPr>
          <w:sz w:val="20"/>
          <w:szCs w:val="20"/>
          <w:color w:val="auto"/>
        </w:rPr>
        <w:tab/>
      </w:r>
      <w:r>
        <w:rPr>
          <w:rFonts w:ascii="Arial" w:cs="Arial" w:eastAsia="Arial" w:hAnsi="Arial"/>
          <w:sz w:val="16"/>
          <w:szCs w:val="16"/>
          <w:color w:val="auto"/>
        </w:rPr>
        <w:t>/s/ Donald E. Graham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4130040</wp:posOffset>
            </wp:positionH>
            <wp:positionV relativeFrom="paragraph">
              <wp:posOffset>80010</wp:posOffset>
            </wp:positionV>
            <wp:extent cx="298450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2984500" cy="8890"/>
                    </a:xfrm>
                    <a:prstGeom prst="rect">
                      <a:avLst/>
                    </a:prstGeom>
                    <a:noFill/>
                  </pic:spPr>
                </pic:pic>
              </a:graphicData>
            </a:graphic>
          </wp:anchor>
        </w:drawing>
      </w:r>
    </w:p>
    <w:p>
      <w:pPr>
        <w:spacing w:after="0" w:line="219" w:lineRule="exact"/>
        <w:rPr>
          <w:sz w:val="20"/>
          <w:szCs w:val="20"/>
          <w:color w:val="auto"/>
        </w:rPr>
      </w:pPr>
    </w:p>
    <w:p>
      <w:pPr>
        <w:jc w:val="center"/>
        <w:ind w:left="6300"/>
        <w:spacing w:after="0"/>
        <w:rPr>
          <w:sz w:val="20"/>
          <w:szCs w:val="20"/>
          <w:color w:val="auto"/>
        </w:rPr>
      </w:pPr>
      <w:r>
        <w:rPr>
          <w:rFonts w:ascii="Arial" w:cs="Arial" w:eastAsia="Arial" w:hAnsi="Arial"/>
          <w:sz w:val="18"/>
          <w:szCs w:val="18"/>
          <w:color w:val="auto"/>
        </w:rPr>
        <w:t>Donald E. Graham,</w:t>
      </w:r>
    </w:p>
    <w:p>
      <w:pPr>
        <w:spacing w:after="0" w:line="15" w:lineRule="exact"/>
        <w:rPr>
          <w:sz w:val="20"/>
          <w:szCs w:val="20"/>
          <w:color w:val="auto"/>
        </w:rPr>
      </w:pPr>
    </w:p>
    <w:p>
      <w:pPr>
        <w:jc w:val="center"/>
        <w:ind w:left="6300"/>
        <w:spacing w:after="0"/>
        <w:rPr>
          <w:sz w:val="20"/>
          <w:szCs w:val="20"/>
          <w:color w:val="auto"/>
        </w:rPr>
      </w:pPr>
      <w:r>
        <w:rPr>
          <w:rFonts w:ascii="Arial" w:cs="Arial" w:eastAsia="Arial" w:hAnsi="Arial"/>
          <w:sz w:val="18"/>
          <w:szCs w:val="18"/>
          <w:color w:val="auto"/>
        </w:rPr>
        <w:t>Chairman &amp; Chief Executive Officer</w:t>
      </w:r>
    </w:p>
    <w:p>
      <w:pPr>
        <w:spacing w:after="0" w:line="9" w:lineRule="exact"/>
        <w:rPr>
          <w:sz w:val="20"/>
          <w:szCs w:val="20"/>
          <w:color w:val="auto"/>
        </w:rPr>
      </w:pPr>
    </w:p>
    <w:p>
      <w:pPr>
        <w:jc w:val="center"/>
        <w:ind w:left="6300"/>
        <w:spacing w:after="0"/>
        <w:rPr>
          <w:sz w:val="20"/>
          <w:szCs w:val="20"/>
          <w:color w:val="auto"/>
        </w:rPr>
      </w:pPr>
      <w:r>
        <w:rPr>
          <w:rFonts w:ascii="Arial" w:cs="Arial" w:eastAsia="Arial" w:hAnsi="Arial"/>
          <w:sz w:val="18"/>
          <w:szCs w:val="18"/>
          <w:color w:val="auto"/>
        </w:rPr>
        <w:t>(Principal Executive Officer)</w:t>
      </w:r>
    </w:p>
    <w:p>
      <w:pPr>
        <w:spacing w:after="0" w:line="219" w:lineRule="exact"/>
        <w:rPr>
          <w:sz w:val="20"/>
          <w:szCs w:val="20"/>
          <w:color w:val="auto"/>
        </w:rPr>
      </w:pPr>
    </w:p>
    <w:p>
      <w:pPr>
        <w:spacing w:after="0"/>
        <w:tabs>
          <w:tab w:leader="none" w:pos="540" w:val="left"/>
          <w:tab w:leader="none" w:pos="8100" w:val="left"/>
        </w:tabs>
        <w:rPr>
          <w:sz w:val="20"/>
          <w:szCs w:val="20"/>
          <w:color w:val="auto"/>
        </w:rPr>
      </w:pPr>
      <w:r>
        <w:rPr>
          <w:rFonts w:ascii="Arial" w:cs="Arial" w:eastAsia="Arial" w:hAnsi="Arial"/>
          <w:sz w:val="18"/>
          <w:szCs w:val="18"/>
          <w:color w:val="auto"/>
        </w:rPr>
        <w:t>Date:</w:t>
        <w:tab/>
        <w:t>July 31, 2003</w:t>
      </w:r>
      <w:r>
        <w:rPr>
          <w:sz w:val="20"/>
          <w:szCs w:val="20"/>
          <w:color w:val="auto"/>
        </w:rPr>
        <w:tab/>
      </w:r>
      <w:r>
        <w:rPr>
          <w:rFonts w:ascii="Arial" w:cs="Arial" w:eastAsia="Arial" w:hAnsi="Arial"/>
          <w:sz w:val="15"/>
          <w:szCs w:val="15"/>
          <w:color w:val="auto"/>
        </w:rPr>
        <w:t>/s/ John B. Morse,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4130040</wp:posOffset>
            </wp:positionH>
            <wp:positionV relativeFrom="paragraph">
              <wp:posOffset>80010</wp:posOffset>
            </wp:positionV>
            <wp:extent cx="298450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2984500" cy="8890"/>
                    </a:xfrm>
                    <a:prstGeom prst="rect">
                      <a:avLst/>
                    </a:prstGeom>
                    <a:noFill/>
                  </pic:spPr>
                </pic:pic>
              </a:graphicData>
            </a:graphic>
          </wp:anchor>
        </w:drawing>
      </w:r>
    </w:p>
    <w:p>
      <w:pPr>
        <w:spacing w:after="0" w:line="219" w:lineRule="exact"/>
        <w:rPr>
          <w:sz w:val="20"/>
          <w:szCs w:val="20"/>
          <w:color w:val="auto"/>
        </w:rPr>
      </w:pPr>
    </w:p>
    <w:p>
      <w:pPr>
        <w:jc w:val="center"/>
        <w:ind w:left="6300"/>
        <w:spacing w:after="0"/>
        <w:rPr>
          <w:sz w:val="20"/>
          <w:szCs w:val="20"/>
          <w:color w:val="auto"/>
        </w:rPr>
      </w:pPr>
      <w:r>
        <w:rPr>
          <w:rFonts w:ascii="Arial" w:cs="Arial" w:eastAsia="Arial" w:hAnsi="Arial"/>
          <w:sz w:val="18"/>
          <w:szCs w:val="18"/>
          <w:color w:val="auto"/>
        </w:rPr>
        <w:t>John B. Morse, Jr.,</w:t>
      </w:r>
    </w:p>
    <w:p>
      <w:pPr>
        <w:spacing w:after="0" w:line="15" w:lineRule="exact"/>
        <w:rPr>
          <w:sz w:val="20"/>
          <w:szCs w:val="20"/>
          <w:color w:val="auto"/>
        </w:rPr>
      </w:pPr>
    </w:p>
    <w:p>
      <w:pPr>
        <w:jc w:val="center"/>
        <w:ind w:left="6300"/>
        <w:spacing w:after="0"/>
        <w:rPr>
          <w:sz w:val="20"/>
          <w:szCs w:val="20"/>
          <w:color w:val="auto"/>
        </w:rPr>
      </w:pPr>
      <w:r>
        <w:rPr>
          <w:rFonts w:ascii="Arial" w:cs="Arial" w:eastAsia="Arial" w:hAnsi="Arial"/>
          <w:sz w:val="18"/>
          <w:szCs w:val="18"/>
          <w:color w:val="auto"/>
        </w:rPr>
        <w:t>Vice President-Finance</w:t>
      </w:r>
    </w:p>
    <w:p>
      <w:pPr>
        <w:spacing w:after="0" w:line="9" w:lineRule="exact"/>
        <w:rPr>
          <w:sz w:val="20"/>
          <w:szCs w:val="20"/>
          <w:color w:val="auto"/>
        </w:rPr>
      </w:pPr>
    </w:p>
    <w:p>
      <w:pPr>
        <w:jc w:val="center"/>
        <w:ind w:left="6300"/>
        <w:spacing w:after="0"/>
        <w:rPr>
          <w:sz w:val="20"/>
          <w:szCs w:val="20"/>
          <w:color w:val="auto"/>
        </w:rPr>
      </w:pPr>
      <w:r>
        <w:rPr>
          <w:rFonts w:ascii="Arial" w:cs="Arial" w:eastAsia="Arial" w:hAnsi="Arial"/>
          <w:sz w:val="18"/>
          <w:szCs w:val="18"/>
          <w:color w:val="auto"/>
        </w:rPr>
        <w:t>(Principal Financial Officer)</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280" w:right="259" w:bottom="1440" w:gutter="0" w:footer="0" w:header="0"/>
        </w:sectPr>
      </w:pPr>
    </w:p>
    <w:bookmarkStart w:id="26" w:name="page27"/>
    <w:bookmarkEnd w:id="26"/>
    <w:p>
      <w:pPr>
        <w:jc w:val="right"/>
        <w:ind w:right="1779"/>
        <w:spacing w:after="0"/>
        <w:rPr>
          <w:sz w:val="20"/>
          <w:szCs w:val="20"/>
          <w:color w:val="auto"/>
        </w:rPr>
      </w:pPr>
      <w:r>
        <w:rPr>
          <w:rFonts w:ascii="Courier New" w:cs="Courier New" w:eastAsia="Courier New" w:hAnsi="Courier New"/>
          <w:sz w:val="18"/>
          <w:szCs w:val="18"/>
          <w:color w:val="auto"/>
        </w:rPr>
        <w:t>Exhibit 4.5</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THE WASHINGTON POST COMPANY</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STOCK OPTION PLAN</w:t>
      </w:r>
    </w:p>
    <w:p>
      <w:pPr>
        <w:spacing w:after="0" w:line="20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As Amended and Restated</w:t>
      </w:r>
    </w:p>
    <w:p>
      <w:pPr>
        <w:ind w:left="3060"/>
        <w:spacing w:after="0" w:line="238" w:lineRule="auto"/>
        <w:rPr>
          <w:sz w:val="20"/>
          <w:szCs w:val="20"/>
          <w:color w:val="auto"/>
        </w:rPr>
      </w:pPr>
      <w:r>
        <w:rPr>
          <w:rFonts w:ascii="Courier New" w:cs="Courier New" w:eastAsia="Courier New" w:hAnsi="Courier New"/>
          <w:sz w:val="18"/>
          <w:szCs w:val="18"/>
          <w:color w:val="auto"/>
        </w:rPr>
        <w:t>Effective May 31, 2003</w:t>
      </w:r>
    </w:p>
    <w:p>
      <w:pPr>
        <w:spacing w:after="0" w:line="202"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Purpose of the Plan</w:t>
      </w:r>
    </w:p>
    <w:p>
      <w:pPr>
        <w:spacing w:after="0" w:line="207"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The purpose of this Stock Option Plan (hereinafter called the Plan) of The Washington Post Company, a Delaware corporation (hereinafter called the Company), is to secure for the Company and its stockholders the benefits of incentive inherent in the ownership of Class B Common Stock of the Company by employees of the Company and its subsidiaries who will be responsible for its future growth and continued success. It is generally recognized that stock option plans aid in retaining and encouraging key employees of ability and in attracting other able employees.</w:t>
      </w:r>
    </w:p>
    <w:p>
      <w:pPr>
        <w:spacing w:after="0" w:line="207" w:lineRule="exact"/>
        <w:rPr>
          <w:sz w:val="20"/>
          <w:szCs w:val="20"/>
          <w:color w:val="auto"/>
        </w:rPr>
      </w:pPr>
    </w:p>
    <w:p>
      <w:pPr>
        <w:ind w:left="420" w:hanging="412"/>
        <w:spacing w:after="0"/>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Stock Subject to the Plan</w:t>
      </w:r>
    </w:p>
    <w:p>
      <w:pPr>
        <w:spacing w:after="0" w:line="207"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There are hereby authorized and reserved for issuance upon the exercise of options to be granted from time to time under the Plan an aggregate of 1,900,000 shares* of the Company's Class B Common Stock, which shares may be in whole or in part, as the Board of Directors shall from time to time determine, issued shares which shall have been reacquired by the Company or authorized but unissued shares, whether now or hereafter authorized. If any option granted under the Plan shall expire, terminate or be canceled for any reason without having been exercised in full, the corresponding number of unpurchased shares which were reserved for issuance upon exercise thereof shall again be available for the purposes of the Plan. To the extent that options provide that the exercise of one shall reduce the number of shares purchasable under the other, then, for purposes of the Plan, the Company shall be deemed to have awarded options only for the aggregate number of shares which in fact may be purchased under such options (and not for the number of shares covered by both such options).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 Adjusted to give effect to stock spilts in 1971, 1976 and 1978.</w:t>
      </w:r>
    </w:p>
    <w:p>
      <w:pPr>
        <w:sectPr>
          <w:pgSz w:w="11900" w:h="16838" w:orient="portrait"/>
          <w:cols w:equalWidth="0" w:num="1">
            <w:col w:w="10219"/>
          </w:cols>
          <w:pgMar w:left="240" w:top="541" w:right="1440" w:bottom="1440" w:gutter="0" w:footer="0" w:header="0"/>
        </w:sectPr>
      </w:pPr>
    </w:p>
    <w:bookmarkStart w:id="27" w:name="page28"/>
    <w:bookmarkEnd w:id="27"/>
    <w:p>
      <w:pPr>
        <w:jc w:val="right"/>
        <w:ind w:right="1779"/>
        <w:spacing w:after="0"/>
        <w:rPr>
          <w:sz w:val="20"/>
          <w:szCs w:val="20"/>
          <w:color w:val="auto"/>
        </w:rPr>
      </w:pPr>
      <w:r>
        <w:rPr>
          <w:rFonts w:ascii="Courier New" w:cs="Courier New" w:eastAsia="Courier New" w:hAnsi="Courier New"/>
          <w:sz w:val="18"/>
          <w:szCs w:val="18"/>
          <w:color w:val="auto"/>
        </w:rPr>
        <w:t>2</w:t>
      </w:r>
    </w:p>
    <w:p>
      <w:pPr>
        <w:spacing w:after="0" w:line="201" w:lineRule="exact"/>
        <w:rPr>
          <w:sz w:val="20"/>
          <w:szCs w:val="20"/>
          <w:color w:val="auto"/>
        </w:rPr>
      </w:pPr>
    </w:p>
    <w:p>
      <w:pPr>
        <w:ind w:left="420" w:hanging="412"/>
        <w:spacing w:after="0"/>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Administration of the Plan</w:t>
      </w:r>
    </w:p>
    <w:p>
      <w:pPr>
        <w:spacing w:after="0" w:line="207"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The Plan shall be administered by the Committee referred to in paragraph 4 (hereinafter called the Committee). Subject to the express provisions of the Plan, the Committee shall have plenary authority, in its discretion, to determine the individuals to whom, and the time or times at which, options shall be granted and the number of shares to be subject to each option. In making such determinations, the Committee may take into account the nature of the services rendered or expected to be rendered by the respective employees, their present and potential contributions to the Company's success, the anticipated number of years of effective service remaining and such other factors as the Committee in its discretion shall deem relevant. Subject to the express provisions of the Plan, the Committee shall also have plenary authority to interpret the Plan, to prescribe, amend and rescind rules and regulations relating to it, to determine the terms and provisions of the respective options (which terms and provisions need not be the same in each case), and to make all other determinations deemed necessary or advisable in administering the Plan. The determinations of the Committee on the matters referred to in this paragraph 3 shall be conclusive.</w:t>
      </w:r>
    </w:p>
    <w:p>
      <w:pPr>
        <w:spacing w:after="0" w:line="203" w:lineRule="exact"/>
        <w:rPr>
          <w:sz w:val="20"/>
          <w:szCs w:val="20"/>
          <w:color w:val="auto"/>
        </w:rPr>
      </w:pPr>
    </w:p>
    <w:p>
      <w:pPr>
        <w:ind w:left="420" w:hanging="412"/>
        <w:spacing w:after="0"/>
        <w:tabs>
          <w:tab w:leader="none" w:pos="4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Committee</w:t>
      </w:r>
    </w:p>
    <w:p>
      <w:pPr>
        <w:spacing w:after="0" w:line="207" w:lineRule="exact"/>
        <w:rPr>
          <w:sz w:val="20"/>
          <w:szCs w:val="20"/>
          <w:color w:val="auto"/>
        </w:rPr>
      </w:pPr>
    </w:p>
    <w:p>
      <w:pPr>
        <w:ind w:right="1779" w:firstLine="948"/>
        <w:spacing w:after="0" w:line="269" w:lineRule="auto"/>
        <w:rPr>
          <w:sz w:val="20"/>
          <w:szCs w:val="20"/>
          <w:color w:val="auto"/>
        </w:rPr>
      </w:pPr>
      <w:r>
        <w:rPr>
          <w:rFonts w:ascii="Courier New" w:cs="Courier New" w:eastAsia="Courier New" w:hAnsi="Courier New"/>
          <w:sz w:val="16"/>
          <w:szCs w:val="16"/>
          <w:color w:val="auto"/>
        </w:rPr>
        <w:t>The Committee shall consist of not less than three members of the Board of Directors, each of whom shall be a "disinterested" person within the meaning of Rule 16b-3 of the Securities Exchange Act of 1934, as amended (or any successor rule or regulation). No member of the Committee shall be eligible to receive an option under the Plan. The Committee shall be appointed by the Board of Directors, which may from time to time appoint members to the Committee in substitution for or in addition to members previously appointed and may fill vacancies, however caused, in the Committee; the Board of Directors shall also designate one of the members of the Committee as its Chairman. The Committee shall hold its meetings at such times and places as it may determine. A majority of its members shall constitute a quorum. All determinations of the Committee shall be made by a majority of its members. Any decision or determination reduced to writing and signed by all the members shall be fully as effective as if it had been made by a majority vote at a meeting duly called and held. The Committee may appoint a secretary (who need not be a member of the Committee) and may make such rules and regulations for the conduct of its business as it shall deem advisable. No member of the Committee shall be liable, in the absence of bad faith, for any act or omission with respect to his service on the Committee. Service on the Committee shall constitute service as a Director of the Company so that the members of the Committee shall</w:t>
      </w:r>
    </w:p>
    <w:p>
      <w:pPr>
        <w:sectPr>
          <w:pgSz w:w="11900" w:h="16838" w:orient="portrait"/>
          <w:cols w:equalWidth="0" w:num="1">
            <w:col w:w="10219"/>
          </w:cols>
          <w:pgMar w:left="240" w:top="514" w:right="1440" w:bottom="1440" w:gutter="0" w:footer="0" w:header="0"/>
        </w:sectPr>
      </w:pPr>
    </w:p>
    <w:bookmarkStart w:id="28" w:name="page29"/>
    <w:bookmarkEnd w:id="28"/>
    <w:p>
      <w:pPr>
        <w:jc w:val="right"/>
        <w:ind w:right="1779"/>
        <w:spacing w:after="0"/>
        <w:rPr>
          <w:sz w:val="20"/>
          <w:szCs w:val="20"/>
          <w:color w:val="auto"/>
        </w:rPr>
      </w:pPr>
      <w:r>
        <w:rPr>
          <w:rFonts w:ascii="Courier New" w:cs="Courier New" w:eastAsia="Courier New" w:hAnsi="Courier New"/>
          <w:sz w:val="18"/>
          <w:szCs w:val="18"/>
          <w:color w:val="auto"/>
        </w:rPr>
        <w:t>3</w:t>
      </w:r>
    </w:p>
    <w:p>
      <w:pPr>
        <w:spacing w:after="0" w:line="207"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be entitled to indemnification and reimbursement as Directors of the Company pursuant to its Certificate of Incorporation.</w:t>
      </w:r>
    </w:p>
    <w:p>
      <w:pPr>
        <w:spacing w:after="0" w:line="203" w:lineRule="exact"/>
        <w:rPr>
          <w:sz w:val="20"/>
          <w:szCs w:val="20"/>
          <w:color w:val="auto"/>
        </w:rPr>
      </w:pPr>
    </w:p>
    <w:p>
      <w:pPr>
        <w:ind w:left="420" w:hanging="412"/>
        <w:spacing w:after="0"/>
        <w:tabs>
          <w:tab w:leader="none" w:pos="4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Time of Granting of Options</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Nothing contained in the Plan or in any resolution adopted or to be adopted by the Board of Directors or by the stockholders of the Company shall constitute the granting of any option hereunder. The action of the Committee with respect to the granting of an option shall take place on such date as a majority of the members of the Committee at a meeting shall make a determination with respect to the granting of an option or, in the absence of a meeting, on such date as a written Designation covering such option shall have been executed by all the members of the Committee. The effective date of the grant of an option (hereinafter called the Granting Date) shall be the date specified by the Committee in its determination or Designation relating to the award of such option.</w:t>
      </w:r>
    </w:p>
    <w:p>
      <w:pPr>
        <w:spacing w:after="0" w:line="210" w:lineRule="exact"/>
        <w:rPr>
          <w:sz w:val="20"/>
          <w:szCs w:val="20"/>
          <w:color w:val="auto"/>
        </w:rPr>
      </w:pPr>
    </w:p>
    <w:p>
      <w:pPr>
        <w:ind w:left="420" w:hanging="412"/>
        <w:spacing w:after="0"/>
        <w:tabs>
          <w:tab w:leader="none" w:pos="4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Eligibility</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Options may be granted only to key employees (which term shall be deemed to include officers) who on the Granting Date are in the employ of the Company or one of its present or future subsidiary corporations, as defined in Section 424 of the Internal Revenue Code of 1986, as the same shall be amended from time to time (hereinafter called Subsidiaries). A Director of the Company or of a Subsidiary who is not also such an employee of the Company or one of its Subsidiaries shall not be eligible to receive an option. During the life of the Plan options may be granted to eligible employees whether or not they hold or have held options under the Plan or other options previously granted by the Company.</w:t>
      </w:r>
    </w:p>
    <w:p>
      <w:pPr>
        <w:spacing w:after="0" w:line="209" w:lineRule="exact"/>
        <w:rPr>
          <w:sz w:val="20"/>
          <w:szCs w:val="20"/>
          <w:color w:val="auto"/>
        </w:rPr>
      </w:pPr>
    </w:p>
    <w:p>
      <w:pPr>
        <w:ind w:left="420" w:hanging="412"/>
        <w:spacing w:after="0"/>
        <w:tabs>
          <w:tab w:leader="none" w:pos="4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Option Prices</w:t>
      </w:r>
    </w:p>
    <w:p>
      <w:pPr>
        <w:spacing w:after="0" w:line="207"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The purchase price of the Class B Common Stock under each option shall be determined by the Committee, but shall not be less than 100% of the fair market value of the Class B Common Stock on the Granting Date of such option, as determined by the Committee. The purchase price of shares purchased upon the exercise of an option is to be paid in full upon the issuance of such shares, either in cash or by the surrender of whole shares of Class B Common Stock having a fair market value, as determined by the Committee, equal to such purchase price, or by a combination of cash and whole shares. If paid in cash, the purchase price paid for stock upon the exercise of options shall be added to the general funds of the Company and used for corporate purposes. If paid in whole or in part in shares, the shares surrendered shall be held as Treasury shares.</w:t>
      </w:r>
    </w:p>
    <w:p>
      <w:pPr>
        <w:sectPr>
          <w:pgSz w:w="11900" w:h="16838" w:orient="portrait"/>
          <w:cols w:equalWidth="0" w:num="1">
            <w:col w:w="10219"/>
          </w:cols>
          <w:pgMar w:left="240" w:top="717" w:right="1440" w:bottom="1440" w:gutter="0" w:footer="0" w:header="0"/>
        </w:sectPr>
      </w:pPr>
    </w:p>
    <w:bookmarkStart w:id="29" w:name="page30"/>
    <w:bookmarkEnd w:id="29"/>
    <w:p>
      <w:pPr>
        <w:jc w:val="right"/>
        <w:ind w:right="1779"/>
        <w:spacing w:after="0"/>
        <w:rPr>
          <w:sz w:val="20"/>
          <w:szCs w:val="20"/>
          <w:color w:val="auto"/>
        </w:rPr>
      </w:pPr>
      <w:r>
        <w:rPr>
          <w:rFonts w:ascii="Courier New" w:cs="Courier New" w:eastAsia="Courier New" w:hAnsi="Courier New"/>
          <w:sz w:val="18"/>
          <w:szCs w:val="18"/>
          <w:color w:val="auto"/>
        </w:rPr>
        <w:t>4</w:t>
      </w:r>
    </w:p>
    <w:p>
      <w:pPr>
        <w:spacing w:after="0" w:line="201" w:lineRule="exact"/>
        <w:rPr>
          <w:sz w:val="20"/>
          <w:szCs w:val="20"/>
          <w:color w:val="auto"/>
        </w:rPr>
      </w:pPr>
    </w:p>
    <w:p>
      <w:pPr>
        <w:jc w:val="center"/>
        <w:ind w:right="2099"/>
        <w:spacing w:after="0"/>
        <w:rPr>
          <w:sz w:val="20"/>
          <w:szCs w:val="20"/>
          <w:color w:val="auto"/>
        </w:rPr>
      </w:pPr>
      <w:r>
        <w:rPr>
          <w:rFonts w:ascii="Courier New" w:cs="Courier New" w:eastAsia="Courier New" w:hAnsi="Courier New"/>
          <w:sz w:val="18"/>
          <w:szCs w:val="18"/>
          <w:color w:val="auto"/>
        </w:rPr>
        <w:t>In the alternative, the Committee may, in its discretion at</w:t>
      </w:r>
    </w:p>
    <w:p>
      <w:pPr>
        <w:spacing w:after="0" w:line="4"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any time, determine whether to permit an optionee the right to elect to make a "cashless exercise" of all or some portion of an option by tendering to the Company some or all of the vested otherwise exercisable portion of the option in return for a cash payment from the Company equal to the positive difference, if any, between the fair market value of the number of shares of Class B Common Stock covered by such tendered portion of the option and the aggregate option price attributable to such shares. The Company shall cause appropriate tax withholding to be made with respect to any such cash payment upon a "cashless exercise" of an option by withholding the appropriate amount from the aggregate proceeds made available through the "cashless exercise." Finally, an optionee may direct, in connection with a "cashless exercise," that some or all of the cash otherwise payable to the optionee from the Company be instead applied to the payment of the option price of shares of Class B Common Stock with respect to which the optionee has a vested currently exercisable option and which are not the subject of the current "cashless exercise." As such, the optionee would be using the value inherent in some existing options to create a source for funding the exercise of other options. The Company shall effectuate appropriate income tax withholding with respect to any "cashless exercise" used to fund the purchase of shares of Class B Common Stock by withholding the appropriate amount from the aggregate proceeds made available through the "cashless exercise" (including the amount of tax withholding required with respect to the purchase of such additional shares of Class B Common Stock) and applying the remaining amount of consideration to the purchase of additional shares of Class B Common Stock.</w:t>
      </w:r>
    </w:p>
    <w:p>
      <w:pPr>
        <w:spacing w:after="0" w:line="206" w:lineRule="exact"/>
        <w:rPr>
          <w:sz w:val="20"/>
          <w:szCs w:val="20"/>
          <w:color w:val="auto"/>
        </w:rPr>
      </w:pPr>
    </w:p>
    <w:p>
      <w:pPr>
        <w:ind w:left="420" w:hanging="412"/>
        <w:spacing w:after="0"/>
        <w:tabs>
          <w:tab w:leader="none" w:pos="4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Option Types, Terms and Conditions</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Options granted under the Plan shall be in the form of non-qualified stock options. The term of each option shall be for such period as the Committee shall determine but not more than ten years from the Granting Date, subject to earlier termination as the Committee may determine and as provided in paragraphs 10 and 11 hereof.</w:t>
      </w:r>
    </w:p>
    <w:p>
      <w:pPr>
        <w:spacing w:after="0" w:line="209"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The Committee shall, in its discretion, prescribe the terms and conditions upon which options may be exercised, which terms and provisions need not be the same in each case. Except as provided in paragraphs 10 and 11 below, no option may be exercised at any time unless the holder thereof is then an employee of the Company or of a Subsidiary. An employee shall have none of the rights of a stockholder with respect to any of the shares subject to option until such</w:t>
      </w:r>
    </w:p>
    <w:p>
      <w:pPr>
        <w:sectPr>
          <w:pgSz w:w="11900" w:h="16838" w:orient="portrait"/>
          <w:cols w:equalWidth="0" w:num="1">
            <w:col w:w="10219"/>
          </w:cols>
          <w:pgMar w:left="240" w:top="717" w:right="1440" w:bottom="1440" w:gutter="0" w:footer="0" w:header="0"/>
        </w:sectPr>
      </w:pPr>
    </w:p>
    <w:bookmarkStart w:id="30" w:name="page31"/>
    <w:bookmarkEnd w:id="30"/>
    <w:p>
      <w:pPr>
        <w:jc w:val="right"/>
        <w:ind w:right="1779"/>
        <w:spacing w:after="0"/>
        <w:rPr>
          <w:sz w:val="20"/>
          <w:szCs w:val="20"/>
          <w:color w:val="auto"/>
        </w:rPr>
      </w:pPr>
      <w:r>
        <w:rPr>
          <w:rFonts w:ascii="Courier New" w:cs="Courier New" w:eastAsia="Courier New" w:hAnsi="Courier New"/>
          <w:sz w:val="18"/>
          <w:szCs w:val="18"/>
          <w:color w:val="auto"/>
        </w:rPr>
        <w:t>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shares shall be issued to him upon the exercise of his option.</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The Committee may grant to holders of outstanding options, in</w:t>
      </w:r>
    </w:p>
    <w:p>
      <w:pPr>
        <w:spacing w:after="0" w:line="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exchange for the surrender and cancellation of such options, new options having purchase prices lower than the purchase prices provided in the options so surrendered and canceled and containing such other terms and conditions as the Committee may prescribe in accordance with the provisions of the Plan; provided that such new options shall provide for the purchase of not more than 90% of the number of shares covered by the options so surrendered and canceled and that the purchase price under such new options shall be determined in accordance with paragraph 7 hereof.</w:t>
      </w:r>
    </w:p>
    <w:p>
      <w:pPr>
        <w:spacing w:after="0" w:line="212" w:lineRule="exact"/>
        <w:rPr>
          <w:sz w:val="20"/>
          <w:szCs w:val="20"/>
          <w:color w:val="auto"/>
        </w:rPr>
      </w:pPr>
    </w:p>
    <w:p>
      <w:pPr>
        <w:jc w:val="both"/>
        <w:ind w:right="2099" w:firstLine="948"/>
        <w:spacing w:after="0" w:line="236" w:lineRule="auto"/>
        <w:rPr>
          <w:sz w:val="20"/>
          <w:szCs w:val="20"/>
          <w:color w:val="auto"/>
        </w:rPr>
      </w:pPr>
      <w:r>
        <w:rPr>
          <w:rFonts w:ascii="Courier New" w:cs="Courier New" w:eastAsia="Courier New" w:hAnsi="Courier New"/>
          <w:sz w:val="18"/>
          <w:szCs w:val="18"/>
          <w:color w:val="auto"/>
        </w:rPr>
        <w:t>The maximum number of shares subject to options which may be granted under this Plan to any individual employee during the life of this Plan shall not exceed 75,000 in the aggregate.</w:t>
      </w:r>
    </w:p>
    <w:p>
      <w:pPr>
        <w:spacing w:after="0" w:line="203" w:lineRule="exact"/>
        <w:rPr>
          <w:sz w:val="20"/>
          <w:szCs w:val="20"/>
          <w:color w:val="auto"/>
        </w:rPr>
      </w:pPr>
    </w:p>
    <w:p>
      <w:pPr>
        <w:ind w:left="420" w:hanging="412"/>
        <w:spacing w:after="0"/>
        <w:tabs>
          <w:tab w:leader="none" w:pos="4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Non-Transferability of Options</w:t>
      </w:r>
    </w:p>
    <w:p>
      <w:pPr>
        <w:spacing w:after="0" w:line="207"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No option granted under the Plan shall be transferable otherwise than by will or the laws of descent and distribution and an option may be exercised, during the lifetime of the holder thereof, only by him.</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 Termination of Employment</w:t>
      </w:r>
    </w:p>
    <w:p>
      <w:pPr>
        <w:spacing w:after="0" w:line="207"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In the event that the employment of an employee to whom an option has been granted under the Plan shall be terminated (otherwise than by reason of death), such option may, subject to the provisions of paragraphs 8 and 12, be exercised (only to the extent that the employee was entitled to do so at the termination of his employment) at any time within three months after such termination, but in no event after the expiration of the term of the option. Notwithstanding the foregoing, the Committee may permit any option granted to an employee whose employment is being terminated (otherwise than by reason of death) to remain exercisable for such period as the Committee shall determine, but in no event beyond the expiration of the term of the option. In the event the Committee so extends the exercise period of an option held by a terminating employee and such option is exercisable as to additional shares in installments, such installments shall continue to accrue after the termination of employment unless the Committee determines that the exercise period shall be extended only with respect to the number of shares purchasable at the date of the termination of employment. Options granted under the Plan shall not be affected by any change of employment so long as the holder continues to be an employee of the Company or of a Subsidiary. Retirement pursuant to any retirement plan of the Company or any</w:t>
      </w:r>
    </w:p>
    <w:p>
      <w:pPr>
        <w:sectPr>
          <w:pgSz w:w="11900" w:h="16838" w:orient="portrait"/>
          <w:cols w:equalWidth="0" w:num="1">
            <w:col w:w="10219"/>
          </w:cols>
          <w:pgMar w:left="240" w:top="717" w:right="1440" w:bottom="1440" w:gutter="0" w:footer="0" w:header="0"/>
        </w:sectPr>
      </w:pPr>
    </w:p>
    <w:bookmarkStart w:id="31" w:name="page32"/>
    <w:bookmarkEnd w:id="31"/>
    <w:p>
      <w:pPr>
        <w:ind w:left="8340"/>
        <w:spacing w:after="0"/>
        <w:rPr>
          <w:sz w:val="20"/>
          <w:szCs w:val="20"/>
          <w:color w:val="auto"/>
        </w:rPr>
      </w:pPr>
      <w:r>
        <w:rPr>
          <w:rFonts w:ascii="Courier New" w:cs="Courier New" w:eastAsia="Courier New" w:hAnsi="Courier New"/>
          <w:sz w:val="16"/>
          <w:szCs w:val="16"/>
          <w:color w:val="auto"/>
        </w:rPr>
        <w:t>6</w:t>
      </w:r>
    </w:p>
    <w:p>
      <w:pPr>
        <w:spacing w:after="0" w:line="22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Subsidiary shall be deemed to be a termination of employment for the purposes of this paragraph. The Committee may specify in the original terms of an option, or if not so specified shall determine, whether any authorized leave of absence or absence on military or governmental service or for any other reason shall constitute a termination of employment for purposes of this paragraph. Nothing in the Plan or in any option granted pursuant to the Plan (in the absence of an express provision to the contrary) shall confer on any individual any right to continue in the employ of the Company or any of its Subsidiaries or interfere in any way with the right of the Company or any of its Subsidiaries to terminate his employment at any time.</w:t>
      </w:r>
    </w:p>
    <w:p>
      <w:pPr>
        <w:spacing w:after="0" w:line="209" w:lineRule="exact"/>
        <w:rPr>
          <w:sz w:val="20"/>
          <w:szCs w:val="20"/>
          <w:color w:val="auto"/>
        </w:rPr>
      </w:pPr>
    </w:p>
    <w:p>
      <w:pPr>
        <w:ind w:left="540" w:hanging="532"/>
        <w:spacing w:after="0"/>
        <w:tabs>
          <w:tab w:leader="none" w:pos="5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Death of Holder of Option</w:t>
      </w:r>
    </w:p>
    <w:p>
      <w:pPr>
        <w:spacing w:after="0" w:line="207"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Upon the death of the holder of an option granted under the Plan, such option may be exercised (unless the option otherwise provides) for the following specified number of shares by a legatee or legatees of such option under the holder's last will, or by the holder's personal representatives or distributees, at any time within one year after the holder's death, but in no event after the expiration of the term of the option: (i) if death occurs while the holder is employed by the Company or a subsidiary, to the extent of (a) the shares purchasable by such holder at the date of his death plus (b) the additional shares covered by the next installment, if any, of such option, or (ii) if death occurs within three months after the termination of the holder's employment or during any extension of the post-termination exercise period permitted by the Committee pursuant to paragraph 10 hereof, to the extent of the shares purchasable by such holder at the date of his death.</w:t>
      </w:r>
    </w:p>
    <w:p>
      <w:pPr>
        <w:spacing w:after="0" w:line="202" w:lineRule="exact"/>
        <w:rPr>
          <w:sz w:val="20"/>
          <w:szCs w:val="20"/>
          <w:color w:val="auto"/>
        </w:rPr>
      </w:pPr>
    </w:p>
    <w:p>
      <w:pPr>
        <w:ind w:left="540" w:hanging="532"/>
        <w:spacing w:after="0"/>
        <w:tabs>
          <w:tab w:leader="none" w:pos="5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Employee's Agreement to Serve</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The recipient of any option exercisable by the optionee within twelve months of the Granting Date shall agree to serve in the employ of the Company or, at the election of the Company from time to time, one of its Subsidiaries, for such period as the Committee shall determine, which shall not be less than twelve months following the Granting Date. The Committee shall be authorized in its discretion to grant options not exercisable by the optionee within twelve months of the Granting Date, in which case the recipient of such option need not (unless otherwise determined by the Committee) agree to serve in the employ of the Company or its Subsidiaries.</w:t>
      </w:r>
    </w:p>
    <w:p>
      <w:pPr>
        <w:spacing w:after="0" w:line="208" w:lineRule="exact"/>
        <w:rPr>
          <w:sz w:val="20"/>
          <w:szCs w:val="20"/>
          <w:color w:val="auto"/>
        </w:rPr>
      </w:pPr>
    </w:p>
    <w:p>
      <w:pPr>
        <w:ind w:left="540" w:hanging="532"/>
        <w:spacing w:after="0"/>
        <w:tabs>
          <w:tab w:leader="none" w:pos="5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Adjustments in Class B Common Stock</w:t>
      </w:r>
    </w:p>
    <w:p>
      <w:pPr>
        <w:spacing w:after="0" w:line="207" w:lineRule="exact"/>
        <w:rPr>
          <w:sz w:val="20"/>
          <w:szCs w:val="20"/>
          <w:color w:val="auto"/>
        </w:rPr>
      </w:pPr>
    </w:p>
    <w:p>
      <w:pPr>
        <w:ind w:right="2519" w:firstLine="948"/>
        <w:spacing w:after="0" w:line="235" w:lineRule="auto"/>
        <w:rPr>
          <w:sz w:val="20"/>
          <w:szCs w:val="20"/>
          <w:color w:val="auto"/>
        </w:rPr>
      </w:pPr>
      <w:r>
        <w:rPr>
          <w:rFonts w:ascii="Courier New" w:cs="Courier New" w:eastAsia="Courier New" w:hAnsi="Courier New"/>
          <w:sz w:val="18"/>
          <w:szCs w:val="18"/>
          <w:color w:val="auto"/>
        </w:rPr>
        <w:t>Notwithstanding any other provision of the Plan, each option may contain such provisions as the Committee</w:t>
      </w:r>
    </w:p>
    <w:p>
      <w:pPr>
        <w:sectPr>
          <w:pgSz w:w="11900" w:h="16838" w:orient="portrait"/>
          <w:cols w:equalWidth="0" w:num="1">
            <w:col w:w="10219"/>
          </w:cols>
          <w:pgMar w:left="240" w:top="723" w:right="1440" w:bottom="1440" w:gutter="0" w:footer="0" w:header="0"/>
        </w:sectPr>
      </w:pPr>
    </w:p>
    <w:bookmarkStart w:id="32" w:name="page33"/>
    <w:bookmarkEnd w:id="32"/>
    <w:p>
      <w:pPr>
        <w:jc w:val="right"/>
        <w:ind w:right="1779"/>
        <w:spacing w:after="0"/>
        <w:rPr>
          <w:sz w:val="20"/>
          <w:szCs w:val="20"/>
          <w:color w:val="auto"/>
        </w:rPr>
      </w:pPr>
      <w:r>
        <w:rPr>
          <w:rFonts w:ascii="Courier New" w:cs="Courier New" w:eastAsia="Courier New" w:hAnsi="Courier New"/>
          <w:sz w:val="18"/>
          <w:szCs w:val="18"/>
          <w:color w:val="auto"/>
        </w:rPr>
        <w:t>7</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shall determine to be appropriate for the adjustment of the number and class of shares subject to such option, the option price and the number of shares as to which the option shall be exercisable at any time in the event of changes in the outstanding Class B Common Stock by reason of any stock dividend, split-up, recapitalization, combination or exchange of shares, merger, consolidation, separation, reorganization, liquidation and the like. In the event of any such change in the outstanding Class B Common Stock, the class and aggregate number of shares available under the Plan shall be appropriately adjusted by the Committee, whose determination shall be conclusive.</w:t>
      </w:r>
    </w:p>
    <w:p>
      <w:pPr>
        <w:spacing w:after="0" w:line="208" w:lineRule="exact"/>
        <w:rPr>
          <w:sz w:val="20"/>
          <w:szCs w:val="20"/>
          <w:color w:val="auto"/>
        </w:rPr>
      </w:pPr>
    </w:p>
    <w:p>
      <w:pPr>
        <w:ind w:left="540" w:hanging="532"/>
        <w:spacing w:after="0"/>
        <w:tabs>
          <w:tab w:leader="none" w:pos="5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Amendment and Termination</w:t>
      </w:r>
    </w:p>
    <w:p>
      <w:pPr>
        <w:spacing w:after="0" w:line="207" w:lineRule="exact"/>
        <w:rPr>
          <w:sz w:val="20"/>
          <w:szCs w:val="20"/>
          <w:color w:val="auto"/>
        </w:rPr>
      </w:pPr>
    </w:p>
    <w:p>
      <w:pPr>
        <w:ind w:right="1879" w:firstLine="948"/>
        <w:spacing w:after="0" w:line="268" w:lineRule="auto"/>
        <w:rPr>
          <w:sz w:val="20"/>
          <w:szCs w:val="20"/>
          <w:color w:val="auto"/>
        </w:rPr>
      </w:pPr>
      <w:r>
        <w:rPr>
          <w:rFonts w:ascii="Courier New" w:cs="Courier New" w:eastAsia="Courier New" w:hAnsi="Courier New"/>
          <w:sz w:val="16"/>
          <w:szCs w:val="16"/>
          <w:color w:val="auto"/>
        </w:rPr>
        <w:t>Unless the Plan shall theretofore have been terminated as hereinafter provided, the Plan shall terminate on, and no non-qualified option shall be granted thereunder, after December 31, 2013, provided that the Board of Directors may at any time prior to that date terminate the Plan. The Board of Directors shall have complete power and authority to amend the Plan, provided, however, that the Board of Directors shall not, without the affirmative vote of the holders of a majority of the voting stock of the Company entitled to vote thereon, (i) increase the maximum number of shares for which options may be granted under the Plan, (ii) change the formula as to minimum option prices,</w:t>
      </w:r>
    </w:p>
    <w:p>
      <w:pPr>
        <w:spacing w:after="0" w:line="2" w:lineRule="exact"/>
        <w:rPr>
          <w:sz w:val="20"/>
          <w:szCs w:val="20"/>
          <w:color w:val="auto"/>
        </w:rPr>
      </w:pPr>
    </w:p>
    <w:p>
      <w:pPr>
        <w:ind w:right="1779" w:firstLine="8"/>
        <w:spacing w:after="0" w:line="237" w:lineRule="auto"/>
        <w:tabs>
          <w:tab w:leader="none" w:pos="632"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extend the period during which options may be granted or exercised or (iv) change the class of employees to whom options may be granted. No termination or amendment of the Plan may, without the consent of the individual to whom any option shall theretofore have been granted, adversely affect the rights of such individual under such option.</w:t>
      </w:r>
    </w:p>
    <w:p>
      <w:pPr>
        <w:spacing w:after="0" w:line="203" w:lineRule="exact"/>
        <w:rPr>
          <w:sz w:val="20"/>
          <w:szCs w:val="20"/>
          <w:color w:val="auto"/>
        </w:rPr>
      </w:pPr>
    </w:p>
    <w:p>
      <w:pPr>
        <w:ind w:left="540" w:hanging="532"/>
        <w:spacing w:after="0"/>
        <w:tabs>
          <w:tab w:leader="none" w:pos="5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Government and Other Regulations</w:t>
      </w:r>
    </w:p>
    <w:p>
      <w:pPr>
        <w:spacing w:after="0" w:line="207"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The obligation of the Company to sell and deliver shares under options granted under the Plan shall be subject to all applicable laws, rules and regulations, and to such approvals by any governmental agencies as may be required, including, but not by way of limitation, the effectiveness of a Registration Statement under the Securities Act of 1933, as amended, as deemed necessary or appropriate by counsel for the Company.</w:t>
      </w:r>
    </w:p>
    <w:p>
      <w:pPr>
        <w:spacing w:after="0" w:line="204" w:lineRule="exact"/>
        <w:rPr>
          <w:sz w:val="20"/>
          <w:szCs w:val="20"/>
          <w:color w:val="auto"/>
        </w:rPr>
      </w:pPr>
    </w:p>
    <w:p>
      <w:pPr>
        <w:ind w:left="540" w:hanging="532"/>
        <w:spacing w:after="0"/>
        <w:tabs>
          <w:tab w:leader="none" w:pos="54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 Actions</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Nothing contained in the Plan shall be construed to limit the authority of the Company to exercise its corporate rights and powers, including, but not by way of limitation, the right of the Company (i) to grant options for proper corporate purposes otherwise than under the Plan to any employee or other person, firm, corporation or association or</w:t>
      </w:r>
    </w:p>
    <w:p>
      <w:pPr>
        <w:sectPr>
          <w:pgSz w:w="11900" w:h="16838" w:orient="portrait"/>
          <w:cols w:equalWidth="0" w:num="1">
            <w:col w:w="10219"/>
          </w:cols>
          <w:pgMar w:left="240" w:top="717" w:right="1440" w:bottom="1440" w:gutter="0" w:footer="0" w:header="0"/>
        </w:sectPr>
      </w:pPr>
    </w:p>
    <w:bookmarkStart w:id="33" w:name="page34"/>
    <w:bookmarkEnd w:id="33"/>
    <w:p>
      <w:pPr>
        <w:jc w:val="right"/>
        <w:ind w:right="1779"/>
        <w:spacing w:after="0"/>
        <w:rPr>
          <w:sz w:val="20"/>
          <w:szCs w:val="20"/>
          <w:color w:val="auto"/>
        </w:rPr>
      </w:pPr>
      <w:r>
        <w:rPr>
          <w:rFonts w:ascii="Courier New" w:cs="Courier New" w:eastAsia="Courier New" w:hAnsi="Courier New"/>
          <w:sz w:val="18"/>
          <w:szCs w:val="18"/>
          <w:color w:val="auto"/>
        </w:rPr>
        <w:t>8</w:t>
      </w:r>
    </w:p>
    <w:p>
      <w:pPr>
        <w:spacing w:after="0" w:line="207" w:lineRule="exact"/>
        <w:rPr>
          <w:sz w:val="20"/>
          <w:szCs w:val="20"/>
          <w:color w:val="auto"/>
        </w:rPr>
      </w:pPr>
    </w:p>
    <w:p>
      <w:pPr>
        <w:ind w:right="1779" w:firstLine="8"/>
        <w:spacing w:after="0" w:line="237" w:lineRule="auto"/>
        <w:tabs>
          <w:tab w:leader="none" w:pos="527"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grant options to, or assume the option of, any person in connection with the acquisition, by purchase, lease, merger, consolidation or otherwise, of the business and assets (in whole or in part) of any person, firm, corporation or association.</w:t>
      </w:r>
    </w:p>
    <w:p>
      <w:pPr>
        <w:sectPr>
          <w:pgSz w:w="11900" w:h="16838" w:orient="portrait"/>
          <w:cols w:equalWidth="0" w:num="1">
            <w:col w:w="10219"/>
          </w:cols>
          <w:pgMar w:left="240" w:top="717" w:right="1440" w:bottom="1440" w:gutter="0" w:footer="0" w:header="0"/>
        </w:sectPr>
      </w:pPr>
    </w:p>
    <w:bookmarkStart w:id="34" w:name="page35"/>
    <w:bookmarkEnd w:id="34"/>
    <w:p>
      <w:pPr>
        <w:jc w:val="right"/>
        <w:ind w:right="1779"/>
        <w:spacing w:after="0"/>
        <w:rPr>
          <w:sz w:val="20"/>
          <w:szCs w:val="20"/>
          <w:color w:val="auto"/>
        </w:rPr>
      </w:pPr>
      <w:r>
        <w:rPr>
          <w:rFonts w:ascii="Courier New" w:cs="Courier New" w:eastAsia="Courier New" w:hAnsi="Courier New"/>
          <w:sz w:val="18"/>
          <w:szCs w:val="18"/>
          <w:color w:val="auto"/>
        </w:rPr>
        <w:t>Exhibit 11</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THE WASHINGTON POST COMPANY</w:t>
      </w:r>
    </w:p>
    <w:p>
      <w:pPr>
        <w:sectPr>
          <w:pgSz w:w="11900" w:h="16838" w:orient="portrait"/>
          <w:cols w:equalWidth="0" w:num="1">
            <w:col w:w="10219"/>
          </w:cols>
          <w:pgMar w:left="240" w:top="54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200"/>
        <w:spacing w:after="0" w:line="237" w:lineRule="auto"/>
        <w:rPr>
          <w:sz w:val="20"/>
          <w:szCs w:val="20"/>
          <w:color w:val="auto"/>
        </w:rPr>
      </w:pPr>
      <w:r>
        <w:rPr>
          <w:rFonts w:ascii="Courier New" w:cs="Courier New" w:eastAsia="Courier New" w:hAnsi="Courier New"/>
          <w:sz w:val="18"/>
          <w:szCs w:val="18"/>
          <w:color w:val="auto"/>
        </w:rPr>
        <w:t>Number of shares of Class A and Class B common stock outstanding at beginning of Period</w:t>
      </w:r>
    </w:p>
    <w:p>
      <w:pPr>
        <w:spacing w:after="0" w:line="209" w:lineRule="exact"/>
        <w:rPr>
          <w:sz w:val="20"/>
          <w:szCs w:val="20"/>
          <w:color w:val="auto"/>
        </w:rPr>
      </w:pPr>
    </w:p>
    <w:p>
      <w:pPr>
        <w:ind w:right="200"/>
        <w:spacing w:after="0" w:line="237" w:lineRule="auto"/>
        <w:rPr>
          <w:sz w:val="20"/>
          <w:szCs w:val="20"/>
          <w:color w:val="auto"/>
        </w:rPr>
      </w:pPr>
      <w:r>
        <w:rPr>
          <w:rFonts w:ascii="Courier New" w:cs="Courier New" w:eastAsia="Courier New" w:hAnsi="Courier New"/>
          <w:sz w:val="18"/>
          <w:szCs w:val="18"/>
          <w:color w:val="auto"/>
        </w:rPr>
        <w:t>Issuance of shares of Class B common stock (weighted), net of forfeiture of restricted stock awards</w:t>
      </w:r>
    </w:p>
    <w:p>
      <w:pPr>
        <w:spacing w:after="0" w:line="200" w:lineRule="exact"/>
        <w:rPr>
          <w:sz w:val="20"/>
          <w:szCs w:val="20"/>
          <w:color w:val="auto"/>
        </w:rPr>
      </w:pPr>
    </w:p>
    <w:p>
      <w:pPr>
        <w:spacing w:after="0" w:line="211" w:lineRule="exact"/>
        <w:rPr>
          <w:sz w:val="20"/>
          <w:szCs w:val="20"/>
          <w:color w:val="auto"/>
        </w:rPr>
      </w:pPr>
    </w:p>
    <w:p>
      <w:pPr>
        <w:ind w:right="100"/>
        <w:spacing w:after="0" w:line="279" w:lineRule="auto"/>
        <w:rPr>
          <w:sz w:val="20"/>
          <w:szCs w:val="20"/>
          <w:color w:val="auto"/>
        </w:rPr>
      </w:pPr>
      <w:r>
        <w:rPr>
          <w:rFonts w:ascii="Courier New" w:cs="Courier New" w:eastAsia="Courier New" w:hAnsi="Courier New"/>
          <w:sz w:val="16"/>
          <w:szCs w:val="16"/>
          <w:color w:val="auto"/>
        </w:rPr>
        <w:t>Shares used in the computation of basic earnings per common share</w:t>
      </w:r>
    </w:p>
    <w:p>
      <w:pPr>
        <w:spacing w:after="0" w:line="178" w:lineRule="exact"/>
        <w:rPr>
          <w:sz w:val="20"/>
          <w:szCs w:val="20"/>
          <w:color w:val="auto"/>
        </w:rPr>
      </w:pPr>
    </w:p>
    <w:p>
      <w:pPr>
        <w:spacing w:after="0" w:line="236" w:lineRule="auto"/>
        <w:rPr>
          <w:sz w:val="20"/>
          <w:szCs w:val="20"/>
          <w:color w:val="auto"/>
        </w:rPr>
      </w:pPr>
      <w:r>
        <w:rPr>
          <w:rFonts w:ascii="Courier New" w:cs="Courier New" w:eastAsia="Courier New" w:hAnsi="Courier New"/>
          <w:sz w:val="18"/>
          <w:szCs w:val="18"/>
          <w:color w:val="auto"/>
        </w:rPr>
        <w:t>Adjustment to reflect dilution from common stock equivalents</w:t>
      </w:r>
    </w:p>
    <w:p>
      <w:pPr>
        <w:spacing w:after="0" w:line="200" w:lineRule="exact"/>
        <w:rPr>
          <w:sz w:val="20"/>
          <w:szCs w:val="20"/>
          <w:color w:val="auto"/>
        </w:rPr>
      </w:pPr>
    </w:p>
    <w:p>
      <w:pPr>
        <w:spacing w:after="0" w:line="211" w:lineRule="exact"/>
        <w:rPr>
          <w:sz w:val="20"/>
          <w:szCs w:val="20"/>
          <w:color w:val="auto"/>
        </w:rPr>
      </w:pPr>
    </w:p>
    <w:p>
      <w:pPr>
        <w:ind w:right="100"/>
        <w:spacing w:after="0" w:line="279" w:lineRule="auto"/>
        <w:rPr>
          <w:sz w:val="20"/>
          <w:szCs w:val="20"/>
          <w:color w:val="auto"/>
        </w:rPr>
      </w:pPr>
      <w:r>
        <w:rPr>
          <w:rFonts w:ascii="Courier New" w:cs="Courier New" w:eastAsia="Courier New" w:hAnsi="Courier New"/>
          <w:sz w:val="16"/>
          <w:szCs w:val="16"/>
          <w:color w:val="auto"/>
        </w:rPr>
        <w:t>Shares used in the computation of diluted earnings per common share</w:t>
      </w:r>
    </w:p>
    <w:p>
      <w:pPr>
        <w:spacing w:after="0" w:line="381" w:lineRule="exact"/>
        <w:rPr>
          <w:sz w:val="20"/>
          <w:szCs w:val="20"/>
          <w:color w:val="auto"/>
        </w:rPr>
      </w:pPr>
    </w:p>
    <w:p>
      <w:pPr>
        <w:ind w:right="200"/>
        <w:spacing w:after="0" w:line="235" w:lineRule="auto"/>
        <w:rPr>
          <w:sz w:val="20"/>
          <w:szCs w:val="20"/>
          <w:color w:val="auto"/>
        </w:rPr>
      </w:pPr>
      <w:r>
        <w:rPr>
          <w:rFonts w:ascii="Courier New" w:cs="Courier New" w:eastAsia="Courier New" w:hAnsi="Courier New"/>
          <w:sz w:val="18"/>
          <w:szCs w:val="18"/>
          <w:color w:val="auto"/>
        </w:rPr>
        <w:t>Net income available for common shares</w:t>
      </w:r>
    </w:p>
    <w:p>
      <w:pPr>
        <w:spacing w:after="0" w:line="200" w:lineRule="exact"/>
        <w:rPr>
          <w:sz w:val="20"/>
          <w:szCs w:val="20"/>
          <w:color w:val="auto"/>
        </w:rPr>
      </w:pPr>
    </w:p>
    <w:p>
      <w:pPr>
        <w:spacing w:after="0" w:line="211" w:lineRule="exact"/>
        <w:rPr>
          <w:sz w:val="20"/>
          <w:szCs w:val="20"/>
          <w:color w:val="auto"/>
        </w:rPr>
      </w:pPr>
    </w:p>
    <w:p>
      <w:pPr>
        <w:ind w:right="100"/>
        <w:spacing w:after="0" w:line="235" w:lineRule="auto"/>
        <w:rPr>
          <w:sz w:val="20"/>
          <w:szCs w:val="20"/>
          <w:color w:val="auto"/>
        </w:rPr>
      </w:pPr>
      <w:r>
        <w:rPr>
          <w:rFonts w:ascii="Courier New" w:cs="Courier New" w:eastAsia="Courier New" w:hAnsi="Courier New"/>
          <w:sz w:val="18"/>
          <w:szCs w:val="18"/>
          <w:color w:val="auto"/>
        </w:rPr>
        <w:t>Basic earnings per common Share</w:t>
      </w:r>
    </w:p>
    <w:p>
      <w:pPr>
        <w:spacing w:after="0" w:line="200" w:lineRule="exact"/>
        <w:rPr>
          <w:sz w:val="20"/>
          <w:szCs w:val="20"/>
          <w:color w:val="auto"/>
        </w:rPr>
      </w:pPr>
    </w:p>
    <w:p>
      <w:pPr>
        <w:spacing w:after="0" w:line="211" w:lineRule="exact"/>
        <w:rPr>
          <w:sz w:val="20"/>
          <w:szCs w:val="20"/>
          <w:color w:val="auto"/>
        </w:rPr>
      </w:pPr>
    </w:p>
    <w:p>
      <w:pPr>
        <w:ind w:right="620"/>
        <w:spacing w:after="0" w:line="235" w:lineRule="auto"/>
        <w:rPr>
          <w:sz w:val="20"/>
          <w:szCs w:val="20"/>
          <w:color w:val="auto"/>
        </w:rPr>
      </w:pPr>
      <w:r>
        <w:rPr>
          <w:rFonts w:ascii="Courier New" w:cs="Courier New" w:eastAsia="Courier New" w:hAnsi="Courier New"/>
          <w:sz w:val="18"/>
          <w:szCs w:val="18"/>
          <w:color w:val="auto"/>
        </w:rPr>
        <w:t>Diluted earnings per common share</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CALCULATION OF EARNINGS</w:t>
      </w:r>
    </w:p>
    <w:p>
      <w:pPr>
        <w:spacing w:after="0" w:line="238" w:lineRule="auto"/>
        <w:rPr>
          <w:sz w:val="20"/>
          <w:szCs w:val="20"/>
          <w:color w:val="auto"/>
        </w:rPr>
      </w:pPr>
      <w:r>
        <w:rPr>
          <w:rFonts w:ascii="Courier New" w:cs="Courier New" w:eastAsia="Courier New" w:hAnsi="Courier New"/>
          <w:sz w:val="18"/>
          <w:szCs w:val="18"/>
          <w:color w:val="auto"/>
        </w:rPr>
        <w:t>PER SHARE OF COMMON STOCK</w:t>
      </w:r>
    </w:p>
    <w:p>
      <w:pPr>
        <w:spacing w:after="0"/>
        <w:rPr>
          <w:sz w:val="20"/>
          <w:szCs w:val="20"/>
          <w:color w:val="auto"/>
        </w:rPr>
      </w:pPr>
      <w:r>
        <w:rPr>
          <w:rFonts w:ascii="Courier New" w:cs="Courier New" w:eastAsia="Courier New" w:hAnsi="Courier New"/>
          <w:sz w:val="18"/>
          <w:szCs w:val="18"/>
          <w:color w:val="auto"/>
        </w:rPr>
        <w:t>(In thousands of shares)</w:t>
      </w:r>
    </w:p>
    <w:p>
      <w:pPr>
        <w:spacing w:after="0" w:line="200" w:lineRule="exact"/>
        <w:rPr>
          <w:sz w:val="20"/>
          <w:szCs w:val="20"/>
          <w:color w:val="auto"/>
        </w:rPr>
      </w:pPr>
    </w:p>
    <w:tbl>
      <w:tblPr>
        <w:tblLayout w:type="fixed"/>
        <w:tblInd w:w="520" w:type="dxa"/>
        <w:tblCellMar>
          <w:top w:w="0" w:type="dxa"/>
          <w:left w:w="0" w:type="dxa"/>
          <w:bottom w:w="0" w:type="dxa"/>
          <w:right w:w="0" w:type="dxa"/>
        </w:tblCellMar>
      </w:tblPr>
      <w:tr>
        <w:trPr>
          <w:trHeight w:val="204"/>
        </w:trPr>
        <w:tc>
          <w:tcPr>
            <w:tcW w:w="2420" w:type="dxa"/>
            <w:vAlign w:val="bottom"/>
            <w:gridSpan w:val="2"/>
          </w:tcPr>
          <w:p>
            <w:pPr>
              <w:spacing w:after="0"/>
              <w:rPr>
                <w:sz w:val="20"/>
                <w:szCs w:val="20"/>
                <w:color w:val="auto"/>
              </w:rPr>
            </w:pPr>
            <w:r>
              <w:rPr>
                <w:rFonts w:ascii="Courier New" w:cs="Courier New" w:eastAsia="Courier New" w:hAnsi="Courier New"/>
                <w:sz w:val="18"/>
                <w:szCs w:val="18"/>
                <w:color w:val="auto"/>
              </w:rPr>
              <w:t>Thirteen Weeks Ended</w:t>
            </w:r>
          </w:p>
        </w:tc>
        <w:tc>
          <w:tcPr>
            <w:tcW w:w="2540" w:type="dxa"/>
            <w:vAlign w:val="bottom"/>
            <w:gridSpan w:val="2"/>
          </w:tcPr>
          <w:p>
            <w:pPr>
              <w:ind w:left="220"/>
              <w:spacing w:after="0"/>
              <w:rPr>
                <w:sz w:val="20"/>
                <w:szCs w:val="20"/>
                <w:color w:val="auto"/>
              </w:rPr>
            </w:pPr>
            <w:r>
              <w:rPr>
                <w:rFonts w:ascii="Courier New" w:cs="Courier New" w:eastAsia="Courier New" w:hAnsi="Courier New"/>
                <w:sz w:val="18"/>
                <w:szCs w:val="18"/>
                <w:color w:val="auto"/>
                <w:w w:val="96"/>
              </w:rPr>
              <w:t>Twenty-six Weeks Ended</w:t>
            </w:r>
          </w:p>
        </w:tc>
      </w:tr>
      <w:tr>
        <w:trPr>
          <w:trHeight w:val="203"/>
        </w:trPr>
        <w:tc>
          <w:tcPr>
            <w:tcW w:w="242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w w:val="96"/>
              </w:rPr>
              <w:t>---------------------</w:t>
            </w:r>
          </w:p>
        </w:tc>
        <w:tc>
          <w:tcPr>
            <w:tcW w:w="254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June 29,</w:t>
            </w: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4"/>
              </w:rPr>
              <w:t>June 30,</w:t>
            </w:r>
          </w:p>
        </w:tc>
        <w:tc>
          <w:tcPr>
            <w:tcW w:w="1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June 29,</w:t>
            </w:r>
          </w:p>
        </w:tc>
        <w:tc>
          <w:tcPr>
            <w:tcW w:w="12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June 30,</w:t>
            </w:r>
          </w:p>
        </w:tc>
      </w:tr>
      <w:tr>
        <w:trPr>
          <w:trHeight w:val="203"/>
        </w:trPr>
        <w:tc>
          <w:tcPr>
            <w:tcW w:w="138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2003</w:t>
            </w:r>
          </w:p>
        </w:tc>
        <w:tc>
          <w:tcPr>
            <w:tcW w:w="10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2002</w:t>
            </w:r>
          </w:p>
        </w:tc>
        <w:tc>
          <w:tcPr>
            <w:tcW w:w="13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2003</w:t>
            </w:r>
          </w:p>
        </w:tc>
        <w:tc>
          <w:tcPr>
            <w:tcW w:w="12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2002</w:t>
            </w:r>
          </w:p>
        </w:tc>
      </w:tr>
      <w:tr>
        <w:trPr>
          <w:trHeight w:val="203"/>
        </w:trPr>
        <w:tc>
          <w:tcPr>
            <w:tcW w:w="13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w w:val="94"/>
              </w:rPr>
              <w:t>--------</w:t>
            </w: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4"/>
              </w:rPr>
              <w:t>--------</w:t>
            </w:r>
          </w:p>
        </w:tc>
        <w:tc>
          <w:tcPr>
            <w:tcW w:w="1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both"/>
        <w:ind w:left="840"/>
        <w:spacing w:after="0"/>
        <w:tabs>
          <w:tab w:leader="none" w:pos="2180" w:val="left"/>
          <w:tab w:leader="none" w:pos="3460" w:val="left"/>
          <w:tab w:leader="none" w:pos="4820" w:val="left"/>
        </w:tabs>
        <w:rPr>
          <w:sz w:val="20"/>
          <w:szCs w:val="20"/>
          <w:color w:val="auto"/>
        </w:rPr>
      </w:pPr>
      <w:r>
        <w:rPr>
          <w:rFonts w:ascii="Courier New" w:cs="Courier New" w:eastAsia="Courier New" w:hAnsi="Courier New"/>
          <w:sz w:val="18"/>
          <w:szCs w:val="18"/>
          <w:color w:val="auto"/>
        </w:rPr>
        <w:t>9,526</w:t>
      </w:r>
      <w:r>
        <w:rPr>
          <w:sz w:val="20"/>
          <w:szCs w:val="20"/>
          <w:color w:val="auto"/>
        </w:rPr>
        <w:tab/>
      </w:r>
      <w:r>
        <w:rPr>
          <w:rFonts w:ascii="Courier New" w:cs="Courier New" w:eastAsia="Courier New" w:hAnsi="Courier New"/>
          <w:sz w:val="18"/>
          <w:szCs w:val="18"/>
          <w:color w:val="auto"/>
        </w:rPr>
        <w:t>9,498</w:t>
      </w:r>
      <w:r>
        <w:rPr>
          <w:sz w:val="20"/>
          <w:szCs w:val="20"/>
          <w:color w:val="auto"/>
        </w:rPr>
        <w:tab/>
      </w:r>
      <w:r>
        <w:rPr>
          <w:rFonts w:ascii="Courier New" w:cs="Courier New" w:eastAsia="Courier New" w:hAnsi="Courier New"/>
          <w:sz w:val="18"/>
          <w:szCs w:val="18"/>
          <w:color w:val="auto"/>
        </w:rPr>
        <w:t>9,511</w:t>
      </w:r>
      <w:r>
        <w:rPr>
          <w:sz w:val="20"/>
          <w:szCs w:val="20"/>
          <w:color w:val="auto"/>
        </w:rPr>
        <w:tab/>
      </w:r>
      <w:r>
        <w:rPr>
          <w:rFonts w:ascii="Courier New" w:cs="Courier New" w:eastAsia="Courier New" w:hAnsi="Courier New"/>
          <w:sz w:val="18"/>
          <w:szCs w:val="18"/>
          <w:color w:val="auto"/>
        </w:rPr>
        <w:t>9,495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520" w:type="dxa"/>
        <w:tblCellMar>
          <w:top w:w="0" w:type="dxa"/>
          <w:left w:w="0" w:type="dxa"/>
          <w:bottom w:w="0" w:type="dxa"/>
          <w:right w:w="0" w:type="dxa"/>
        </w:tblCellMar>
      </w:tblPr>
      <w:tr>
        <w:trPr>
          <w:trHeight w:val="204"/>
        </w:trPr>
        <w:tc>
          <w:tcPr>
            <w:tcW w:w="220" w:type="dxa"/>
            <w:vAlign w:val="bottom"/>
          </w:tcPr>
          <w:p>
            <w:pPr>
              <w:spacing w:after="0"/>
              <w:rPr>
                <w:sz w:val="17"/>
                <w:szCs w:val="17"/>
                <w:color w:val="auto"/>
              </w:rPr>
            </w:pPr>
          </w:p>
        </w:tc>
        <w:tc>
          <w:tcPr>
            <w:tcW w:w="900" w:type="dxa"/>
            <w:vAlign w:val="bottom"/>
          </w:tcPr>
          <w:p>
            <w:pPr>
              <w:jc w:val="right"/>
              <w:ind w:right="192"/>
              <w:spacing w:after="0"/>
              <w:rPr>
                <w:sz w:val="20"/>
                <w:szCs w:val="20"/>
                <w:color w:val="auto"/>
              </w:rPr>
            </w:pPr>
            <w:r>
              <w:rPr>
                <w:rFonts w:ascii="Courier New" w:cs="Courier New" w:eastAsia="Courier New" w:hAnsi="Courier New"/>
                <w:sz w:val="18"/>
                <w:szCs w:val="18"/>
                <w:color w:val="auto"/>
              </w:rPr>
              <w:t>1</w:t>
            </w:r>
          </w:p>
        </w:tc>
        <w:tc>
          <w:tcPr>
            <w:tcW w:w="460" w:type="dxa"/>
            <w:vAlign w:val="bottom"/>
          </w:tcPr>
          <w:p>
            <w:pPr>
              <w:spacing w:after="0"/>
              <w:rPr>
                <w:sz w:val="17"/>
                <w:szCs w:val="17"/>
                <w:color w:val="auto"/>
              </w:rPr>
            </w:pPr>
          </w:p>
        </w:tc>
        <w:tc>
          <w:tcPr>
            <w:tcW w:w="8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5</w:t>
            </w:r>
          </w:p>
        </w:tc>
        <w:tc>
          <w:tcPr>
            <w:tcW w:w="420" w:type="dxa"/>
            <w:vAlign w:val="bottom"/>
          </w:tcPr>
          <w:p>
            <w:pPr>
              <w:spacing w:after="0"/>
              <w:rPr>
                <w:sz w:val="17"/>
                <w:szCs w:val="17"/>
                <w:color w:val="auto"/>
              </w:rPr>
            </w:pPr>
          </w:p>
        </w:tc>
        <w:tc>
          <w:tcPr>
            <w:tcW w:w="9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16</w:t>
            </w:r>
          </w:p>
        </w:tc>
        <w:tc>
          <w:tcPr>
            <w:tcW w:w="4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8"/>
                <w:szCs w:val="18"/>
                <w:color w:val="auto"/>
              </w:rPr>
              <w:t>6</w:t>
            </w:r>
          </w:p>
        </w:tc>
      </w:tr>
      <w:tr>
        <w:trPr>
          <w:trHeight w:val="203"/>
        </w:trPr>
        <w:tc>
          <w:tcPr>
            <w:tcW w:w="1120" w:type="dxa"/>
            <w:vAlign w:val="bottom"/>
            <w:gridSpan w:val="2"/>
          </w:tcPr>
          <w:p>
            <w:pPr>
              <w:jc w:val="right"/>
              <w:ind w:right="192"/>
              <w:spacing w:after="0" w:line="203" w:lineRule="exact"/>
              <w:rPr>
                <w:sz w:val="20"/>
                <w:szCs w:val="20"/>
                <w:color w:val="auto"/>
              </w:rPr>
            </w:pPr>
            <w:r>
              <w:rPr>
                <w:rFonts w:ascii="Courier New" w:cs="Courier New" w:eastAsia="Courier New" w:hAnsi="Courier New"/>
                <w:sz w:val="18"/>
                <w:szCs w:val="18"/>
                <w:color w:val="auto"/>
                <w:w w:val="94"/>
              </w:rPr>
              <w:t>--------</w:t>
            </w:r>
          </w:p>
        </w:tc>
        <w:tc>
          <w:tcPr>
            <w:tcW w:w="130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810"/>
        </w:trPr>
        <w:tc>
          <w:tcPr>
            <w:tcW w:w="220" w:type="dxa"/>
            <w:vAlign w:val="bottom"/>
          </w:tcPr>
          <w:p>
            <w:pPr>
              <w:spacing w:after="0"/>
              <w:rPr>
                <w:sz w:val="24"/>
                <w:szCs w:val="24"/>
                <w:color w:val="auto"/>
              </w:rPr>
            </w:pPr>
          </w:p>
        </w:tc>
        <w:tc>
          <w:tcPr>
            <w:tcW w:w="900" w:type="dxa"/>
            <w:vAlign w:val="bottom"/>
          </w:tcPr>
          <w:p>
            <w:pPr>
              <w:jc w:val="right"/>
              <w:ind w:right="192"/>
              <w:spacing w:after="0"/>
              <w:rPr>
                <w:sz w:val="20"/>
                <w:szCs w:val="20"/>
                <w:color w:val="auto"/>
              </w:rPr>
            </w:pPr>
            <w:r>
              <w:rPr>
                <w:rFonts w:ascii="Courier New" w:cs="Courier New" w:eastAsia="Courier New" w:hAnsi="Courier New"/>
                <w:sz w:val="18"/>
                <w:szCs w:val="18"/>
                <w:color w:val="auto"/>
              </w:rPr>
              <w:t>9,527</w:t>
            </w:r>
          </w:p>
        </w:tc>
        <w:tc>
          <w:tcPr>
            <w:tcW w:w="460" w:type="dxa"/>
            <w:vAlign w:val="bottom"/>
          </w:tcPr>
          <w:p>
            <w:pPr>
              <w:spacing w:after="0"/>
              <w:rPr>
                <w:sz w:val="24"/>
                <w:szCs w:val="24"/>
                <w:color w:val="auto"/>
              </w:rPr>
            </w:pPr>
          </w:p>
        </w:tc>
        <w:tc>
          <w:tcPr>
            <w:tcW w:w="8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9,503</w:t>
            </w:r>
          </w:p>
        </w:tc>
        <w:tc>
          <w:tcPr>
            <w:tcW w:w="420" w:type="dxa"/>
            <w:vAlign w:val="bottom"/>
          </w:tcPr>
          <w:p>
            <w:pPr>
              <w:spacing w:after="0"/>
              <w:rPr>
                <w:sz w:val="24"/>
                <w:szCs w:val="24"/>
                <w:color w:val="auto"/>
              </w:rPr>
            </w:pPr>
          </w:p>
        </w:tc>
        <w:tc>
          <w:tcPr>
            <w:tcW w:w="9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9,527</w:t>
            </w:r>
          </w:p>
        </w:tc>
        <w:tc>
          <w:tcPr>
            <w:tcW w:w="4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8"/>
                <w:szCs w:val="18"/>
                <w:color w:val="auto"/>
              </w:rPr>
              <w:t>9,501</w:t>
            </w:r>
          </w:p>
        </w:tc>
      </w:tr>
      <w:tr>
        <w:trPr>
          <w:trHeight w:val="810"/>
        </w:trPr>
        <w:tc>
          <w:tcPr>
            <w:tcW w:w="220" w:type="dxa"/>
            <w:vAlign w:val="bottom"/>
          </w:tcPr>
          <w:p>
            <w:pPr>
              <w:spacing w:after="0"/>
              <w:rPr>
                <w:sz w:val="24"/>
                <w:szCs w:val="24"/>
                <w:color w:val="auto"/>
              </w:rPr>
            </w:pPr>
          </w:p>
        </w:tc>
        <w:tc>
          <w:tcPr>
            <w:tcW w:w="900" w:type="dxa"/>
            <w:vAlign w:val="bottom"/>
          </w:tcPr>
          <w:p>
            <w:pPr>
              <w:jc w:val="right"/>
              <w:ind w:right="192"/>
              <w:spacing w:after="0"/>
              <w:rPr>
                <w:sz w:val="20"/>
                <w:szCs w:val="20"/>
                <w:color w:val="auto"/>
              </w:rPr>
            </w:pPr>
            <w:r>
              <w:rPr>
                <w:rFonts w:ascii="Courier New" w:cs="Courier New" w:eastAsia="Courier New" w:hAnsi="Courier New"/>
                <w:sz w:val="18"/>
                <w:szCs w:val="18"/>
                <w:color w:val="auto"/>
              </w:rPr>
              <w:t>28</w:t>
            </w:r>
          </w:p>
        </w:tc>
        <w:tc>
          <w:tcPr>
            <w:tcW w:w="460" w:type="dxa"/>
            <w:vAlign w:val="bottom"/>
          </w:tcPr>
          <w:p>
            <w:pPr>
              <w:spacing w:after="0"/>
              <w:rPr>
                <w:sz w:val="24"/>
                <w:szCs w:val="24"/>
                <w:color w:val="auto"/>
              </w:rPr>
            </w:pPr>
          </w:p>
        </w:tc>
        <w:tc>
          <w:tcPr>
            <w:tcW w:w="8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18</w:t>
            </w:r>
          </w:p>
        </w:tc>
        <w:tc>
          <w:tcPr>
            <w:tcW w:w="420" w:type="dxa"/>
            <w:vAlign w:val="bottom"/>
          </w:tcPr>
          <w:p>
            <w:pPr>
              <w:spacing w:after="0"/>
              <w:rPr>
                <w:sz w:val="24"/>
                <w:szCs w:val="24"/>
                <w:color w:val="auto"/>
              </w:rPr>
            </w:pPr>
          </w:p>
        </w:tc>
        <w:tc>
          <w:tcPr>
            <w:tcW w:w="9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27</w:t>
            </w:r>
          </w:p>
        </w:tc>
        <w:tc>
          <w:tcPr>
            <w:tcW w:w="4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8"/>
                <w:szCs w:val="18"/>
                <w:color w:val="auto"/>
              </w:rPr>
              <w:t>15</w:t>
            </w:r>
          </w:p>
        </w:tc>
      </w:tr>
      <w:tr>
        <w:trPr>
          <w:trHeight w:val="203"/>
        </w:trPr>
        <w:tc>
          <w:tcPr>
            <w:tcW w:w="1120" w:type="dxa"/>
            <w:vAlign w:val="bottom"/>
            <w:gridSpan w:val="2"/>
          </w:tcPr>
          <w:p>
            <w:pPr>
              <w:jc w:val="right"/>
              <w:ind w:right="192"/>
              <w:spacing w:after="0" w:line="203" w:lineRule="exact"/>
              <w:rPr>
                <w:sz w:val="20"/>
                <w:szCs w:val="20"/>
                <w:color w:val="auto"/>
              </w:rPr>
            </w:pPr>
            <w:r>
              <w:rPr>
                <w:rFonts w:ascii="Courier New" w:cs="Courier New" w:eastAsia="Courier New" w:hAnsi="Courier New"/>
                <w:sz w:val="18"/>
                <w:szCs w:val="18"/>
                <w:color w:val="auto"/>
                <w:w w:val="94"/>
              </w:rPr>
              <w:t>--------</w:t>
            </w:r>
          </w:p>
        </w:tc>
        <w:tc>
          <w:tcPr>
            <w:tcW w:w="130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810"/>
        </w:trPr>
        <w:tc>
          <w:tcPr>
            <w:tcW w:w="220" w:type="dxa"/>
            <w:vAlign w:val="bottom"/>
          </w:tcPr>
          <w:p>
            <w:pPr>
              <w:spacing w:after="0"/>
              <w:rPr>
                <w:sz w:val="24"/>
                <w:szCs w:val="24"/>
                <w:color w:val="auto"/>
              </w:rPr>
            </w:pPr>
          </w:p>
        </w:tc>
        <w:tc>
          <w:tcPr>
            <w:tcW w:w="900" w:type="dxa"/>
            <w:vAlign w:val="bottom"/>
          </w:tcPr>
          <w:p>
            <w:pPr>
              <w:jc w:val="right"/>
              <w:ind w:right="192"/>
              <w:spacing w:after="0"/>
              <w:rPr>
                <w:sz w:val="20"/>
                <w:szCs w:val="20"/>
                <w:color w:val="auto"/>
              </w:rPr>
            </w:pPr>
            <w:r>
              <w:rPr>
                <w:rFonts w:ascii="Courier New" w:cs="Courier New" w:eastAsia="Courier New" w:hAnsi="Courier New"/>
                <w:sz w:val="18"/>
                <w:szCs w:val="18"/>
                <w:color w:val="auto"/>
              </w:rPr>
              <w:t>9,555</w:t>
            </w:r>
          </w:p>
        </w:tc>
        <w:tc>
          <w:tcPr>
            <w:tcW w:w="460" w:type="dxa"/>
            <w:vAlign w:val="bottom"/>
          </w:tcPr>
          <w:p>
            <w:pPr>
              <w:spacing w:after="0"/>
              <w:rPr>
                <w:sz w:val="24"/>
                <w:szCs w:val="24"/>
                <w:color w:val="auto"/>
              </w:rPr>
            </w:pPr>
          </w:p>
        </w:tc>
        <w:tc>
          <w:tcPr>
            <w:tcW w:w="8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9,521</w:t>
            </w:r>
          </w:p>
        </w:tc>
        <w:tc>
          <w:tcPr>
            <w:tcW w:w="420" w:type="dxa"/>
            <w:vAlign w:val="bottom"/>
          </w:tcPr>
          <w:p>
            <w:pPr>
              <w:spacing w:after="0"/>
              <w:rPr>
                <w:sz w:val="24"/>
                <w:szCs w:val="24"/>
                <w:color w:val="auto"/>
              </w:rPr>
            </w:pPr>
          </w:p>
        </w:tc>
        <w:tc>
          <w:tcPr>
            <w:tcW w:w="9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9,554</w:t>
            </w:r>
          </w:p>
        </w:tc>
        <w:tc>
          <w:tcPr>
            <w:tcW w:w="4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8"/>
                <w:szCs w:val="18"/>
                <w:color w:val="auto"/>
              </w:rPr>
              <w:t>9,516</w:t>
            </w:r>
          </w:p>
        </w:tc>
      </w:tr>
      <w:tr>
        <w:trPr>
          <w:trHeight w:val="203"/>
        </w:trPr>
        <w:tc>
          <w:tcPr>
            <w:tcW w:w="1120" w:type="dxa"/>
            <w:vAlign w:val="bottom"/>
            <w:gridSpan w:val="2"/>
          </w:tcPr>
          <w:p>
            <w:pPr>
              <w:jc w:val="right"/>
              <w:ind w:right="192"/>
              <w:spacing w:after="0" w:line="203" w:lineRule="exact"/>
              <w:rPr>
                <w:sz w:val="20"/>
                <w:szCs w:val="20"/>
                <w:color w:val="auto"/>
              </w:rPr>
            </w:pPr>
            <w:r>
              <w:rPr>
                <w:rFonts w:ascii="Courier New" w:cs="Courier New" w:eastAsia="Courier New" w:hAnsi="Courier New"/>
                <w:sz w:val="18"/>
                <w:szCs w:val="18"/>
                <w:color w:val="auto"/>
                <w:w w:val="94"/>
              </w:rPr>
              <w:t>--------</w:t>
            </w:r>
          </w:p>
        </w:tc>
        <w:tc>
          <w:tcPr>
            <w:tcW w:w="130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220" w:type="dxa"/>
            <w:vAlign w:val="bottom"/>
          </w:tcPr>
          <w:p>
            <w:pPr>
              <w:jc w:val="right"/>
              <w:ind w:right="32"/>
              <w:spacing w:after="0"/>
              <w:rPr>
                <w:sz w:val="20"/>
                <w:szCs w:val="20"/>
                <w:color w:val="auto"/>
              </w:rPr>
            </w:pPr>
            <w:r>
              <w:rPr>
                <w:rFonts w:ascii="Courier New" w:cs="Courier New" w:eastAsia="Courier New" w:hAnsi="Courier New"/>
                <w:sz w:val="18"/>
                <w:szCs w:val="18"/>
                <w:color w:val="auto"/>
                <w:w w:val="73"/>
              </w:rPr>
              <w:t>$</w:t>
            </w:r>
          </w:p>
        </w:tc>
        <w:tc>
          <w:tcPr>
            <w:tcW w:w="900" w:type="dxa"/>
            <w:vAlign w:val="bottom"/>
          </w:tcPr>
          <w:p>
            <w:pPr>
              <w:jc w:val="right"/>
              <w:ind w:right="192"/>
              <w:spacing w:after="0"/>
              <w:rPr>
                <w:sz w:val="20"/>
                <w:szCs w:val="20"/>
                <w:color w:val="auto"/>
              </w:rPr>
            </w:pPr>
            <w:r>
              <w:rPr>
                <w:rFonts w:ascii="Courier New" w:cs="Courier New" w:eastAsia="Courier New" w:hAnsi="Courier New"/>
                <w:sz w:val="18"/>
                <w:szCs w:val="18"/>
                <w:color w:val="auto"/>
                <w:w w:val="92"/>
              </w:rPr>
              <w:t>60,390</w:t>
            </w:r>
          </w:p>
        </w:tc>
        <w:tc>
          <w:tcPr>
            <w:tcW w:w="1300" w:type="dxa"/>
            <w:vAlign w:val="bottom"/>
            <w:gridSpan w:val="2"/>
          </w:tcPr>
          <w:p>
            <w:pPr>
              <w:jc w:val="right"/>
              <w:ind w:right="112"/>
              <w:spacing w:after="0"/>
              <w:rPr>
                <w:sz w:val="20"/>
                <w:szCs w:val="20"/>
                <w:color w:val="auto"/>
              </w:rPr>
            </w:pPr>
            <w:r>
              <w:rPr>
                <w:rFonts w:ascii="Courier New" w:cs="Courier New" w:eastAsia="Courier New" w:hAnsi="Courier New"/>
                <w:sz w:val="18"/>
                <w:szCs w:val="18"/>
                <w:color w:val="auto"/>
              </w:rPr>
              <w:t>$ 50,885</w:t>
            </w:r>
          </w:p>
        </w:tc>
        <w:tc>
          <w:tcPr>
            <w:tcW w:w="1320" w:type="dxa"/>
            <w:vAlign w:val="bottom"/>
            <w:gridSpan w:val="2"/>
          </w:tcPr>
          <w:p>
            <w:pPr>
              <w:jc w:val="right"/>
              <w:ind w:right="172"/>
              <w:spacing w:after="0"/>
              <w:rPr>
                <w:sz w:val="20"/>
                <w:szCs w:val="20"/>
                <w:color w:val="auto"/>
              </w:rPr>
            </w:pPr>
            <w:r>
              <w:rPr>
                <w:rFonts w:ascii="Courier New" w:cs="Courier New" w:eastAsia="Courier New" w:hAnsi="Courier New"/>
                <w:sz w:val="18"/>
                <w:szCs w:val="18"/>
                <w:color w:val="auto"/>
              </w:rPr>
              <w:t>$132,935</w:t>
            </w:r>
          </w:p>
        </w:tc>
        <w:tc>
          <w:tcPr>
            <w:tcW w:w="112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$ 61,966</w:t>
            </w:r>
          </w:p>
        </w:tc>
      </w:tr>
      <w:tr>
        <w:trPr>
          <w:trHeight w:val="203"/>
        </w:trPr>
        <w:tc>
          <w:tcPr>
            <w:tcW w:w="1120" w:type="dxa"/>
            <w:vAlign w:val="bottom"/>
            <w:gridSpan w:val="2"/>
          </w:tcPr>
          <w:p>
            <w:pPr>
              <w:jc w:val="right"/>
              <w:ind w:right="192"/>
              <w:spacing w:after="0" w:line="203" w:lineRule="exact"/>
              <w:rPr>
                <w:sz w:val="20"/>
                <w:szCs w:val="20"/>
                <w:color w:val="auto"/>
              </w:rPr>
            </w:pPr>
            <w:r>
              <w:rPr>
                <w:rFonts w:ascii="Courier New" w:cs="Courier New" w:eastAsia="Courier New" w:hAnsi="Courier New"/>
                <w:sz w:val="18"/>
                <w:szCs w:val="18"/>
                <w:color w:val="auto"/>
                <w:w w:val="94"/>
              </w:rPr>
              <w:t>--------</w:t>
            </w:r>
          </w:p>
        </w:tc>
        <w:tc>
          <w:tcPr>
            <w:tcW w:w="130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220" w:type="dxa"/>
            <w:vAlign w:val="bottom"/>
          </w:tcPr>
          <w:p>
            <w:pPr>
              <w:jc w:val="right"/>
              <w:ind w:right="32"/>
              <w:spacing w:after="0"/>
              <w:rPr>
                <w:sz w:val="20"/>
                <w:szCs w:val="20"/>
                <w:color w:val="auto"/>
              </w:rPr>
            </w:pPr>
            <w:r>
              <w:rPr>
                <w:rFonts w:ascii="Courier New" w:cs="Courier New" w:eastAsia="Courier New" w:hAnsi="Courier New"/>
                <w:sz w:val="18"/>
                <w:szCs w:val="18"/>
                <w:color w:val="auto"/>
                <w:w w:val="73"/>
              </w:rPr>
              <w:t>$</w:t>
            </w:r>
          </w:p>
        </w:tc>
        <w:tc>
          <w:tcPr>
            <w:tcW w:w="900" w:type="dxa"/>
            <w:vAlign w:val="bottom"/>
          </w:tcPr>
          <w:p>
            <w:pPr>
              <w:jc w:val="right"/>
              <w:ind w:right="192"/>
              <w:spacing w:after="0"/>
              <w:rPr>
                <w:sz w:val="20"/>
                <w:szCs w:val="20"/>
                <w:color w:val="auto"/>
              </w:rPr>
            </w:pPr>
            <w:r>
              <w:rPr>
                <w:rFonts w:ascii="Courier New" w:cs="Courier New" w:eastAsia="Courier New" w:hAnsi="Courier New"/>
                <w:sz w:val="18"/>
                <w:szCs w:val="18"/>
                <w:color w:val="auto"/>
              </w:rPr>
              <w:t>6.34</w:t>
            </w:r>
          </w:p>
        </w:tc>
        <w:tc>
          <w:tcPr>
            <w:tcW w:w="4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5.35</w:t>
            </w:r>
          </w:p>
        </w:tc>
        <w:tc>
          <w:tcPr>
            <w:tcW w:w="4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13.95</w:t>
            </w:r>
          </w:p>
        </w:tc>
        <w:tc>
          <w:tcPr>
            <w:tcW w:w="4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8"/>
                <w:szCs w:val="18"/>
                <w:color w:val="auto"/>
              </w:rPr>
              <w:t>6.52</w:t>
            </w:r>
          </w:p>
        </w:tc>
      </w:tr>
      <w:tr>
        <w:trPr>
          <w:trHeight w:val="203"/>
        </w:trPr>
        <w:tc>
          <w:tcPr>
            <w:tcW w:w="1120" w:type="dxa"/>
            <w:vAlign w:val="bottom"/>
            <w:gridSpan w:val="2"/>
          </w:tcPr>
          <w:p>
            <w:pPr>
              <w:jc w:val="right"/>
              <w:ind w:right="192"/>
              <w:spacing w:after="0" w:line="203" w:lineRule="exact"/>
              <w:rPr>
                <w:sz w:val="20"/>
                <w:szCs w:val="20"/>
                <w:color w:val="auto"/>
              </w:rPr>
            </w:pPr>
            <w:r>
              <w:rPr>
                <w:rFonts w:ascii="Courier New" w:cs="Courier New" w:eastAsia="Courier New" w:hAnsi="Courier New"/>
                <w:sz w:val="18"/>
                <w:szCs w:val="18"/>
                <w:color w:val="auto"/>
                <w:w w:val="94"/>
              </w:rPr>
              <w:t>--------</w:t>
            </w:r>
          </w:p>
        </w:tc>
        <w:tc>
          <w:tcPr>
            <w:tcW w:w="130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220" w:type="dxa"/>
            <w:vAlign w:val="bottom"/>
          </w:tcPr>
          <w:p>
            <w:pPr>
              <w:jc w:val="right"/>
              <w:ind w:right="32"/>
              <w:spacing w:after="0"/>
              <w:rPr>
                <w:sz w:val="20"/>
                <w:szCs w:val="20"/>
                <w:color w:val="auto"/>
              </w:rPr>
            </w:pPr>
            <w:r>
              <w:rPr>
                <w:rFonts w:ascii="Courier New" w:cs="Courier New" w:eastAsia="Courier New" w:hAnsi="Courier New"/>
                <w:sz w:val="18"/>
                <w:szCs w:val="18"/>
                <w:color w:val="auto"/>
                <w:w w:val="73"/>
              </w:rPr>
              <w:t>$</w:t>
            </w:r>
          </w:p>
        </w:tc>
        <w:tc>
          <w:tcPr>
            <w:tcW w:w="900" w:type="dxa"/>
            <w:vAlign w:val="bottom"/>
          </w:tcPr>
          <w:p>
            <w:pPr>
              <w:jc w:val="right"/>
              <w:ind w:right="192"/>
              <w:spacing w:after="0"/>
              <w:rPr>
                <w:sz w:val="20"/>
                <w:szCs w:val="20"/>
                <w:color w:val="auto"/>
              </w:rPr>
            </w:pPr>
            <w:r>
              <w:rPr>
                <w:rFonts w:ascii="Courier New" w:cs="Courier New" w:eastAsia="Courier New" w:hAnsi="Courier New"/>
                <w:sz w:val="18"/>
                <w:szCs w:val="18"/>
                <w:color w:val="auto"/>
              </w:rPr>
              <w:t>6.32</w:t>
            </w:r>
          </w:p>
        </w:tc>
        <w:tc>
          <w:tcPr>
            <w:tcW w:w="4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5.34</w:t>
            </w:r>
          </w:p>
        </w:tc>
        <w:tc>
          <w:tcPr>
            <w:tcW w:w="4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13.91</w:t>
            </w:r>
          </w:p>
        </w:tc>
        <w:tc>
          <w:tcPr>
            <w:tcW w:w="4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8"/>
                <w:szCs w:val="18"/>
                <w:color w:val="auto"/>
              </w:rPr>
              <w:t>6.51</w:t>
            </w:r>
          </w:p>
        </w:tc>
      </w:tr>
      <w:tr>
        <w:trPr>
          <w:trHeight w:val="203"/>
        </w:trPr>
        <w:tc>
          <w:tcPr>
            <w:tcW w:w="1120" w:type="dxa"/>
            <w:vAlign w:val="bottom"/>
            <w:gridSpan w:val="2"/>
          </w:tcPr>
          <w:p>
            <w:pPr>
              <w:jc w:val="right"/>
              <w:ind w:right="192"/>
              <w:spacing w:after="0" w:line="203" w:lineRule="exact"/>
              <w:rPr>
                <w:sz w:val="20"/>
                <w:szCs w:val="20"/>
                <w:color w:val="auto"/>
              </w:rPr>
            </w:pPr>
            <w:r>
              <w:rPr>
                <w:rFonts w:ascii="Courier New" w:cs="Courier New" w:eastAsia="Courier New" w:hAnsi="Courier New"/>
                <w:sz w:val="18"/>
                <w:szCs w:val="18"/>
                <w:color w:val="auto"/>
                <w:w w:val="94"/>
              </w:rPr>
              <w:t>--------</w:t>
            </w:r>
          </w:p>
        </w:tc>
        <w:tc>
          <w:tcPr>
            <w:tcW w:w="130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ectPr>
          <w:pgSz w:w="11900" w:h="16838" w:orient="portrait"/>
          <w:cols w:equalWidth="0" w:num="2">
            <w:col w:w="2740" w:space="220"/>
            <w:col w:w="7259"/>
          </w:cols>
          <w:pgMar w:left="240" w:top="541" w:right="1440" w:bottom="1440" w:gutter="0" w:footer="0" w:header="0"/>
          <w:type w:val="continuous"/>
        </w:sectPr>
      </w:pPr>
    </w:p>
    <w:bookmarkStart w:id="35" w:name="page36"/>
    <w:bookmarkEnd w:id="35"/>
    <w:p>
      <w:pPr>
        <w:jc w:val="right"/>
        <w:ind w:right="1779"/>
        <w:spacing w:after="0"/>
        <w:rPr>
          <w:sz w:val="20"/>
          <w:szCs w:val="20"/>
          <w:color w:val="auto"/>
        </w:rPr>
      </w:pPr>
      <w:r>
        <w:rPr>
          <w:rFonts w:ascii="Courier New" w:cs="Courier New" w:eastAsia="Courier New" w:hAnsi="Courier New"/>
          <w:sz w:val="18"/>
          <w:szCs w:val="18"/>
          <w:color w:val="auto"/>
        </w:rPr>
        <w:t>Exhibit 31.1</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CERTIFICATION PURSUANT TO</w:t>
      </w:r>
    </w:p>
    <w:p>
      <w:pPr>
        <w:jc w:val="center"/>
        <w:ind w:right="1659"/>
        <w:spacing w:after="0" w:line="238" w:lineRule="auto"/>
        <w:rPr>
          <w:sz w:val="20"/>
          <w:szCs w:val="20"/>
          <w:color w:val="auto"/>
        </w:rPr>
      </w:pPr>
      <w:r>
        <w:rPr>
          <w:rFonts w:ascii="Courier New" w:cs="Courier New" w:eastAsia="Courier New" w:hAnsi="Courier New"/>
          <w:sz w:val="18"/>
          <w:szCs w:val="18"/>
          <w:color w:val="auto"/>
        </w:rPr>
        <w:t>SECTION 302 OF THE SARBANES-OXLEY ACT OF 2002</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 Donald E. Graham, certify that:</w:t>
      </w:r>
    </w:p>
    <w:p>
      <w:pPr>
        <w:spacing w:after="0" w:line="207" w:lineRule="exact"/>
        <w:rPr>
          <w:sz w:val="20"/>
          <w:szCs w:val="20"/>
          <w:color w:val="auto"/>
        </w:rPr>
      </w:pPr>
    </w:p>
    <w:p>
      <w:pPr>
        <w:ind w:right="1999" w:firstLine="8"/>
        <w:spacing w:after="0" w:line="235" w:lineRule="auto"/>
        <w:tabs>
          <w:tab w:leader="none" w:pos="527"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have reviewed this quarterly report on Form 10-Q of The Washington Post Company;</w:t>
      </w:r>
    </w:p>
    <w:p>
      <w:pPr>
        <w:spacing w:after="0" w:line="208" w:lineRule="exact"/>
        <w:rPr>
          <w:rFonts w:ascii="Courier New" w:cs="Courier New" w:eastAsia="Courier New" w:hAnsi="Courier New"/>
          <w:sz w:val="18"/>
          <w:szCs w:val="18"/>
          <w:color w:val="auto"/>
        </w:rPr>
      </w:pPr>
    </w:p>
    <w:p>
      <w:pPr>
        <w:ind w:right="1779" w:firstLine="8"/>
        <w:spacing w:after="0" w:line="237" w:lineRule="auto"/>
        <w:tabs>
          <w:tab w:leader="none" w:pos="527"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7" w:lineRule="exact"/>
        <w:rPr>
          <w:rFonts w:ascii="Courier New" w:cs="Courier New" w:eastAsia="Courier New" w:hAnsi="Courier New"/>
          <w:sz w:val="18"/>
          <w:szCs w:val="18"/>
          <w:color w:val="auto"/>
        </w:rPr>
      </w:pPr>
    </w:p>
    <w:p>
      <w:pPr>
        <w:ind w:right="1779" w:firstLine="8"/>
        <w:spacing w:after="0" w:line="237" w:lineRule="auto"/>
        <w:tabs>
          <w:tab w:leader="none" w:pos="527"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7" w:lineRule="exact"/>
        <w:rPr>
          <w:rFonts w:ascii="Courier New" w:cs="Courier New" w:eastAsia="Courier New" w:hAnsi="Courier New"/>
          <w:sz w:val="18"/>
          <w:szCs w:val="18"/>
          <w:color w:val="auto"/>
        </w:rPr>
      </w:pPr>
    </w:p>
    <w:p>
      <w:pPr>
        <w:ind w:right="1999" w:firstLine="8"/>
        <w:spacing w:after="0" w:line="236" w:lineRule="auto"/>
        <w:tabs>
          <w:tab w:leader="none" w:pos="527"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208" w:lineRule="exact"/>
        <w:rPr>
          <w:rFonts w:ascii="Courier New" w:cs="Courier New" w:eastAsia="Courier New" w:hAnsi="Courier New"/>
          <w:sz w:val="18"/>
          <w:szCs w:val="18"/>
          <w:color w:val="auto"/>
        </w:rPr>
      </w:pPr>
    </w:p>
    <w:p>
      <w:pPr>
        <w:ind w:left="1700" w:right="1779" w:hanging="639"/>
        <w:spacing w:after="0" w:line="237" w:lineRule="auto"/>
        <w:tabs>
          <w:tab w:leader="none" w:pos="1700" w:val="left"/>
        </w:tabs>
        <w:numPr>
          <w:ilvl w:val="1"/>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9" w:lineRule="exact"/>
        <w:rPr>
          <w:rFonts w:ascii="Courier New" w:cs="Courier New" w:eastAsia="Courier New" w:hAnsi="Courier New"/>
          <w:sz w:val="18"/>
          <w:szCs w:val="18"/>
          <w:color w:val="auto"/>
        </w:rPr>
      </w:pPr>
    </w:p>
    <w:p>
      <w:pPr>
        <w:ind w:left="1700" w:right="1999" w:hanging="639"/>
        <w:spacing w:after="0" w:line="237" w:lineRule="auto"/>
        <w:tabs>
          <w:tab w:leader="none" w:pos="1700" w:val="left"/>
        </w:tabs>
        <w:numPr>
          <w:ilvl w:val="1"/>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8" w:lineRule="exact"/>
        <w:rPr>
          <w:rFonts w:ascii="Courier New" w:cs="Courier New" w:eastAsia="Courier New" w:hAnsi="Courier New"/>
          <w:sz w:val="18"/>
          <w:szCs w:val="18"/>
          <w:color w:val="auto"/>
        </w:rPr>
      </w:pPr>
    </w:p>
    <w:p>
      <w:pPr>
        <w:ind w:left="1700" w:right="1779" w:hanging="639"/>
        <w:spacing w:after="0" w:line="237" w:lineRule="auto"/>
        <w:tabs>
          <w:tab w:leader="none" w:pos="1700" w:val="left"/>
        </w:tabs>
        <w:numPr>
          <w:ilvl w:val="1"/>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1" w:lineRule="exact"/>
        <w:rPr>
          <w:rFonts w:ascii="Courier New" w:cs="Courier New" w:eastAsia="Courier New" w:hAnsi="Courier New"/>
          <w:sz w:val="18"/>
          <w:szCs w:val="18"/>
          <w:color w:val="auto"/>
        </w:rPr>
      </w:pPr>
    </w:p>
    <w:p>
      <w:pPr>
        <w:ind w:right="1779" w:firstLine="8"/>
        <w:spacing w:after="0" w:line="237" w:lineRule="auto"/>
        <w:tabs>
          <w:tab w:leader="none" w:pos="527"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207" w:lineRule="exact"/>
        <w:rPr>
          <w:rFonts w:ascii="Courier New" w:cs="Courier New" w:eastAsia="Courier New" w:hAnsi="Courier New"/>
          <w:sz w:val="18"/>
          <w:szCs w:val="18"/>
          <w:color w:val="auto"/>
        </w:rPr>
      </w:pPr>
    </w:p>
    <w:p>
      <w:pPr>
        <w:ind w:left="1700" w:right="1779" w:hanging="639"/>
        <w:spacing w:after="0" w:line="237" w:lineRule="auto"/>
        <w:tabs>
          <w:tab w:leader="none" w:pos="1700" w:val="left"/>
        </w:tabs>
        <w:numPr>
          <w:ilvl w:val="1"/>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significant deficiencies and material weaknesses in the design or operation of internal control over financial reporting which are reasonable likely to adversely affect the registrant's ability to record, process, summarize and report financial information; and</w:t>
      </w:r>
    </w:p>
    <w:p>
      <w:pPr>
        <w:spacing w:after="0" w:line="208" w:lineRule="exact"/>
        <w:rPr>
          <w:rFonts w:ascii="Courier New" w:cs="Courier New" w:eastAsia="Courier New" w:hAnsi="Courier New"/>
          <w:sz w:val="18"/>
          <w:szCs w:val="18"/>
          <w:color w:val="auto"/>
        </w:rPr>
      </w:pPr>
    </w:p>
    <w:p>
      <w:pPr>
        <w:jc w:val="both"/>
        <w:ind w:left="1700" w:right="1879" w:hanging="639"/>
        <w:spacing w:after="0" w:line="236" w:lineRule="auto"/>
        <w:tabs>
          <w:tab w:leader="none" w:pos="1700" w:val="left"/>
        </w:tabs>
        <w:numPr>
          <w:ilvl w:val="1"/>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fraud, whether or not material, that involves management or other employees who have a significant role in the registrant's internal control over financial reporting.</w:t>
      </w:r>
    </w:p>
    <w:p>
      <w:pPr>
        <w:spacing w:after="0" w:line="203"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/s/ Donald E. Graham</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Donald E. Graham</w:t>
      </w:r>
    </w:p>
    <w:p>
      <w:pPr>
        <w:spacing w:after="0" w:line="238" w:lineRule="auto"/>
        <w:rPr>
          <w:sz w:val="20"/>
          <w:szCs w:val="20"/>
          <w:color w:val="auto"/>
        </w:rPr>
      </w:pPr>
      <w:r>
        <w:rPr>
          <w:rFonts w:ascii="Courier New" w:cs="Courier New" w:eastAsia="Courier New" w:hAnsi="Courier New"/>
          <w:sz w:val="18"/>
          <w:szCs w:val="18"/>
          <w:color w:val="auto"/>
        </w:rPr>
        <w:t>Chief Executive Officer</w:t>
      </w:r>
    </w:p>
    <w:p>
      <w:pPr>
        <w:spacing w:after="0"/>
        <w:rPr>
          <w:sz w:val="20"/>
          <w:szCs w:val="20"/>
          <w:color w:val="auto"/>
        </w:rPr>
      </w:pPr>
      <w:r>
        <w:rPr>
          <w:rFonts w:ascii="Courier New" w:cs="Courier New" w:eastAsia="Courier New" w:hAnsi="Courier New"/>
          <w:sz w:val="18"/>
          <w:szCs w:val="18"/>
          <w:color w:val="auto"/>
        </w:rPr>
        <w:t>July 31, 2003</w:t>
      </w:r>
    </w:p>
    <w:p>
      <w:pPr>
        <w:sectPr>
          <w:pgSz w:w="11900" w:h="16838" w:orient="portrait"/>
          <w:cols w:equalWidth="0" w:num="1">
            <w:col w:w="10219"/>
          </w:cols>
          <w:pgMar w:left="240" w:top="541" w:right="1440" w:bottom="1440" w:gutter="0" w:footer="0" w:header="0"/>
        </w:sectPr>
      </w:pPr>
    </w:p>
    <w:bookmarkStart w:id="36" w:name="page37"/>
    <w:bookmarkEnd w:id="36"/>
    <w:p>
      <w:pPr>
        <w:jc w:val="right"/>
        <w:ind w:right="1779"/>
        <w:spacing w:after="0"/>
        <w:rPr>
          <w:sz w:val="20"/>
          <w:szCs w:val="20"/>
          <w:color w:val="auto"/>
        </w:rPr>
      </w:pPr>
      <w:r>
        <w:rPr>
          <w:rFonts w:ascii="Courier New" w:cs="Courier New" w:eastAsia="Courier New" w:hAnsi="Courier New"/>
          <w:sz w:val="18"/>
          <w:szCs w:val="18"/>
          <w:color w:val="auto"/>
        </w:rPr>
        <w:t>Exhibit 31.2</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CERTIFICATION PURSUANT TO</w:t>
      </w:r>
    </w:p>
    <w:p>
      <w:pPr>
        <w:jc w:val="center"/>
        <w:ind w:right="1659"/>
        <w:spacing w:after="0" w:line="238" w:lineRule="auto"/>
        <w:rPr>
          <w:sz w:val="20"/>
          <w:szCs w:val="20"/>
          <w:color w:val="auto"/>
        </w:rPr>
      </w:pPr>
      <w:r>
        <w:rPr>
          <w:rFonts w:ascii="Courier New" w:cs="Courier New" w:eastAsia="Courier New" w:hAnsi="Courier New"/>
          <w:sz w:val="18"/>
          <w:szCs w:val="18"/>
          <w:color w:val="auto"/>
        </w:rPr>
        <w:t>SECTION 302 OF THE SARBANES-OXLEY ACT OF 2002</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 John B. Morse, Jr., certify that:</w:t>
      </w:r>
    </w:p>
    <w:p>
      <w:pPr>
        <w:spacing w:after="0" w:line="207" w:lineRule="exact"/>
        <w:rPr>
          <w:sz w:val="20"/>
          <w:szCs w:val="20"/>
          <w:color w:val="auto"/>
        </w:rPr>
      </w:pPr>
    </w:p>
    <w:p>
      <w:pPr>
        <w:ind w:right="1999" w:firstLine="8"/>
        <w:spacing w:after="0" w:line="235" w:lineRule="auto"/>
        <w:tabs>
          <w:tab w:leader="none" w:pos="527"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have reviewed this quarterly report on Form 10-Q of The Washington Post Company;</w:t>
      </w:r>
    </w:p>
    <w:p>
      <w:pPr>
        <w:spacing w:after="0" w:line="208" w:lineRule="exact"/>
        <w:rPr>
          <w:rFonts w:ascii="Courier New" w:cs="Courier New" w:eastAsia="Courier New" w:hAnsi="Courier New"/>
          <w:sz w:val="18"/>
          <w:szCs w:val="18"/>
          <w:color w:val="auto"/>
        </w:rPr>
      </w:pPr>
    </w:p>
    <w:p>
      <w:pPr>
        <w:ind w:right="1779" w:firstLine="8"/>
        <w:spacing w:after="0" w:line="237" w:lineRule="auto"/>
        <w:tabs>
          <w:tab w:leader="none" w:pos="527"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7" w:lineRule="exact"/>
        <w:rPr>
          <w:rFonts w:ascii="Courier New" w:cs="Courier New" w:eastAsia="Courier New" w:hAnsi="Courier New"/>
          <w:sz w:val="18"/>
          <w:szCs w:val="18"/>
          <w:color w:val="auto"/>
        </w:rPr>
      </w:pPr>
    </w:p>
    <w:p>
      <w:pPr>
        <w:ind w:right="1779" w:firstLine="8"/>
        <w:spacing w:after="0" w:line="237" w:lineRule="auto"/>
        <w:tabs>
          <w:tab w:leader="none" w:pos="527"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7" w:lineRule="exact"/>
        <w:rPr>
          <w:rFonts w:ascii="Courier New" w:cs="Courier New" w:eastAsia="Courier New" w:hAnsi="Courier New"/>
          <w:sz w:val="18"/>
          <w:szCs w:val="18"/>
          <w:color w:val="auto"/>
        </w:rPr>
      </w:pPr>
    </w:p>
    <w:p>
      <w:pPr>
        <w:ind w:right="1999" w:firstLine="8"/>
        <w:spacing w:after="0" w:line="236" w:lineRule="auto"/>
        <w:tabs>
          <w:tab w:leader="none" w:pos="527"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208" w:lineRule="exact"/>
        <w:rPr>
          <w:rFonts w:ascii="Courier New" w:cs="Courier New" w:eastAsia="Courier New" w:hAnsi="Courier New"/>
          <w:sz w:val="18"/>
          <w:szCs w:val="18"/>
          <w:color w:val="auto"/>
        </w:rPr>
      </w:pPr>
    </w:p>
    <w:p>
      <w:pPr>
        <w:ind w:left="1700" w:right="1779" w:hanging="639"/>
        <w:spacing w:after="0" w:line="237" w:lineRule="auto"/>
        <w:tabs>
          <w:tab w:leader="none" w:pos="1700" w:val="left"/>
        </w:tabs>
        <w:numPr>
          <w:ilvl w:val="1"/>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9" w:lineRule="exact"/>
        <w:rPr>
          <w:rFonts w:ascii="Courier New" w:cs="Courier New" w:eastAsia="Courier New" w:hAnsi="Courier New"/>
          <w:sz w:val="18"/>
          <w:szCs w:val="18"/>
          <w:color w:val="auto"/>
        </w:rPr>
      </w:pPr>
    </w:p>
    <w:p>
      <w:pPr>
        <w:ind w:left="1700" w:right="1999" w:hanging="639"/>
        <w:spacing w:after="0" w:line="237" w:lineRule="auto"/>
        <w:tabs>
          <w:tab w:leader="none" w:pos="1700" w:val="left"/>
        </w:tabs>
        <w:numPr>
          <w:ilvl w:val="1"/>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8" w:lineRule="exact"/>
        <w:rPr>
          <w:rFonts w:ascii="Courier New" w:cs="Courier New" w:eastAsia="Courier New" w:hAnsi="Courier New"/>
          <w:sz w:val="18"/>
          <w:szCs w:val="18"/>
          <w:color w:val="auto"/>
        </w:rPr>
      </w:pPr>
    </w:p>
    <w:p>
      <w:pPr>
        <w:ind w:left="1700" w:right="1779" w:hanging="639"/>
        <w:spacing w:after="0" w:line="237" w:lineRule="auto"/>
        <w:tabs>
          <w:tab w:leader="none" w:pos="1700" w:val="left"/>
        </w:tabs>
        <w:numPr>
          <w:ilvl w:val="1"/>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1" w:lineRule="exact"/>
        <w:rPr>
          <w:rFonts w:ascii="Courier New" w:cs="Courier New" w:eastAsia="Courier New" w:hAnsi="Courier New"/>
          <w:sz w:val="18"/>
          <w:szCs w:val="18"/>
          <w:color w:val="auto"/>
        </w:rPr>
      </w:pPr>
    </w:p>
    <w:p>
      <w:pPr>
        <w:ind w:right="1779" w:firstLine="8"/>
        <w:spacing w:after="0" w:line="237" w:lineRule="auto"/>
        <w:tabs>
          <w:tab w:leader="none" w:pos="527"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207" w:lineRule="exact"/>
        <w:rPr>
          <w:rFonts w:ascii="Courier New" w:cs="Courier New" w:eastAsia="Courier New" w:hAnsi="Courier New"/>
          <w:sz w:val="18"/>
          <w:szCs w:val="18"/>
          <w:color w:val="auto"/>
        </w:rPr>
      </w:pPr>
    </w:p>
    <w:p>
      <w:pPr>
        <w:ind w:left="1700" w:right="1779" w:hanging="639"/>
        <w:spacing w:after="0" w:line="237" w:lineRule="auto"/>
        <w:tabs>
          <w:tab w:leader="none" w:pos="1700" w:val="left"/>
        </w:tabs>
        <w:numPr>
          <w:ilvl w:val="1"/>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8" w:lineRule="exact"/>
        <w:rPr>
          <w:rFonts w:ascii="Courier New" w:cs="Courier New" w:eastAsia="Courier New" w:hAnsi="Courier New"/>
          <w:sz w:val="18"/>
          <w:szCs w:val="18"/>
          <w:color w:val="auto"/>
        </w:rPr>
      </w:pPr>
    </w:p>
    <w:p>
      <w:pPr>
        <w:jc w:val="both"/>
        <w:ind w:left="1700" w:right="1879" w:hanging="639"/>
        <w:spacing w:after="0" w:line="236" w:lineRule="auto"/>
        <w:tabs>
          <w:tab w:leader="none" w:pos="1700" w:val="left"/>
        </w:tabs>
        <w:numPr>
          <w:ilvl w:val="1"/>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fraud, whether or not material, that involves management or other employees who have a significant role in the registrant's internal control over financial reporting.</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/s/ John B. Morse, Jr.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John B. Morse, Jr.</w:t>
      </w:r>
    </w:p>
    <w:p>
      <w:pPr>
        <w:spacing w:after="0" w:line="238" w:lineRule="auto"/>
        <w:rPr>
          <w:sz w:val="20"/>
          <w:szCs w:val="20"/>
          <w:color w:val="auto"/>
        </w:rPr>
      </w:pPr>
      <w:r>
        <w:rPr>
          <w:rFonts w:ascii="Courier New" w:cs="Courier New" w:eastAsia="Courier New" w:hAnsi="Courier New"/>
          <w:sz w:val="18"/>
          <w:szCs w:val="18"/>
          <w:color w:val="auto"/>
        </w:rPr>
        <w:t>Vice President-Finance</w:t>
      </w:r>
    </w:p>
    <w:p>
      <w:pPr>
        <w:spacing w:after="0"/>
        <w:rPr>
          <w:sz w:val="20"/>
          <w:szCs w:val="20"/>
          <w:color w:val="auto"/>
        </w:rPr>
      </w:pPr>
      <w:r>
        <w:rPr>
          <w:rFonts w:ascii="Courier New" w:cs="Courier New" w:eastAsia="Courier New" w:hAnsi="Courier New"/>
          <w:sz w:val="18"/>
          <w:szCs w:val="18"/>
          <w:color w:val="auto"/>
        </w:rPr>
        <w:t>July 31, 2003</w:t>
      </w:r>
    </w:p>
    <w:p>
      <w:pPr>
        <w:sectPr>
          <w:pgSz w:w="11900" w:h="16838" w:orient="portrait"/>
          <w:cols w:equalWidth="0" w:num="1">
            <w:col w:w="10219"/>
          </w:cols>
          <w:pgMar w:left="240" w:top="541" w:right="1440" w:bottom="1440" w:gutter="0" w:footer="0" w:header="0"/>
        </w:sectPr>
      </w:pPr>
    </w:p>
    <w:bookmarkStart w:id="37" w:name="page38"/>
    <w:bookmarkEnd w:id="37"/>
    <w:p>
      <w:pPr>
        <w:jc w:val="right"/>
        <w:ind w:right="1779"/>
        <w:spacing w:after="0"/>
        <w:rPr>
          <w:sz w:val="20"/>
          <w:szCs w:val="20"/>
          <w:color w:val="auto"/>
        </w:rPr>
      </w:pPr>
      <w:r>
        <w:rPr>
          <w:rFonts w:ascii="Courier New" w:cs="Courier New" w:eastAsia="Courier New" w:hAnsi="Courier New"/>
          <w:sz w:val="18"/>
          <w:szCs w:val="18"/>
          <w:color w:val="auto"/>
        </w:rPr>
        <w:t>Exhibit 32.1</w:t>
      </w:r>
    </w:p>
    <w:p>
      <w:pPr>
        <w:spacing w:after="0" w:line="20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CERTIFICATION PURSUANT TO</w:t>
      </w:r>
    </w:p>
    <w:p>
      <w:pPr>
        <w:ind w:left="3060"/>
        <w:spacing w:after="0" w:line="238" w:lineRule="auto"/>
        <w:rPr>
          <w:sz w:val="20"/>
          <w:szCs w:val="20"/>
          <w:color w:val="auto"/>
        </w:rPr>
      </w:pPr>
      <w:r>
        <w:rPr>
          <w:rFonts w:ascii="Courier New" w:cs="Courier New" w:eastAsia="Courier New" w:hAnsi="Courier New"/>
          <w:sz w:val="18"/>
          <w:szCs w:val="18"/>
          <w:color w:val="auto"/>
        </w:rPr>
        <w:t>18 U.S.C. SECTION 1350</w:t>
      </w:r>
    </w:p>
    <w:p>
      <w:pPr>
        <w:ind w:left="3060"/>
        <w:spacing w:after="0"/>
        <w:rPr>
          <w:sz w:val="20"/>
          <w:szCs w:val="20"/>
          <w:color w:val="auto"/>
        </w:rPr>
      </w:pPr>
      <w:r>
        <w:rPr>
          <w:rFonts w:ascii="Courier New" w:cs="Courier New" w:eastAsia="Courier New" w:hAnsi="Courier New"/>
          <w:sz w:val="18"/>
          <w:szCs w:val="18"/>
          <w:color w:val="auto"/>
        </w:rPr>
        <w:t>AS ADOPTED PURSUANT TO</w:t>
      </w:r>
    </w:p>
    <w:p>
      <w:pPr>
        <w:ind w:left="1900"/>
        <w:spacing w:after="0" w:line="237" w:lineRule="auto"/>
        <w:rPr>
          <w:sz w:val="20"/>
          <w:szCs w:val="20"/>
          <w:color w:val="auto"/>
        </w:rPr>
      </w:pPr>
      <w:r>
        <w:rPr>
          <w:rFonts w:ascii="Courier New" w:cs="Courier New" w:eastAsia="Courier New" w:hAnsi="Courier New"/>
          <w:sz w:val="18"/>
          <w:szCs w:val="18"/>
          <w:color w:val="auto"/>
        </w:rPr>
        <w:t>SECTION 906 OF THE SARBANES-OXLEY ACT OF 2002</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 connection with the Quarterly Report of The Washington Post Company (the "Company") on Form 10-Q for the period ended June 29, 2003, as filed with the Securities and Exchange Commission on the date hereof (the "Report"), I, Donald E. Graham, Chief Executive Officer (principal executive officer) of the Company, certify, pursuant to 18 U.S.C. Section 1350, as adopted pursuant to Section 906 of the Sarbanes-Oxley Act of 2002, that:</w:t>
      </w:r>
    </w:p>
    <w:p>
      <w:pPr>
        <w:spacing w:after="0" w:line="210" w:lineRule="exact"/>
        <w:rPr>
          <w:sz w:val="20"/>
          <w:szCs w:val="20"/>
          <w:color w:val="auto"/>
        </w:rPr>
      </w:pPr>
    </w:p>
    <w:p>
      <w:pPr>
        <w:ind w:right="1999" w:firstLine="8"/>
        <w:spacing w:after="0" w:line="235" w:lineRule="auto"/>
        <w:tabs>
          <w:tab w:leader="none" w:pos="527"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Report fully complies with the requirements of Section 13(a) or 15(d) of the Securities Exchange Act of 1934; and</w:t>
      </w:r>
    </w:p>
    <w:p>
      <w:pPr>
        <w:spacing w:after="0" w:line="208" w:lineRule="exact"/>
        <w:rPr>
          <w:rFonts w:ascii="Courier New" w:cs="Courier New" w:eastAsia="Courier New" w:hAnsi="Courier New"/>
          <w:sz w:val="18"/>
          <w:szCs w:val="18"/>
          <w:color w:val="auto"/>
        </w:rPr>
      </w:pPr>
    </w:p>
    <w:p>
      <w:pPr>
        <w:ind w:right="2099" w:firstLine="8"/>
        <w:spacing w:after="0" w:line="290" w:lineRule="auto"/>
        <w:tabs>
          <w:tab w:leader="none" w:pos="527"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information contained in the Report fairly presents, in all material respects, the financial condition and results of operations of the Company.</w:t>
      </w:r>
    </w:p>
    <w:p>
      <w:pPr>
        <w:spacing w:after="0" w:line="164"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/s/ Donald E. Graham</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Donald E. Graham</w:t>
      </w:r>
    </w:p>
    <w:p>
      <w:pPr>
        <w:spacing w:after="0" w:line="238" w:lineRule="auto"/>
        <w:rPr>
          <w:sz w:val="20"/>
          <w:szCs w:val="20"/>
          <w:color w:val="auto"/>
        </w:rPr>
      </w:pPr>
      <w:r>
        <w:rPr>
          <w:rFonts w:ascii="Courier New" w:cs="Courier New" w:eastAsia="Courier New" w:hAnsi="Courier New"/>
          <w:sz w:val="18"/>
          <w:szCs w:val="18"/>
          <w:color w:val="auto"/>
        </w:rPr>
        <w:t>Chief Executive Officer</w:t>
      </w:r>
    </w:p>
    <w:p>
      <w:pPr>
        <w:spacing w:after="0"/>
        <w:rPr>
          <w:sz w:val="20"/>
          <w:szCs w:val="20"/>
          <w:color w:val="auto"/>
        </w:rPr>
      </w:pPr>
      <w:r>
        <w:rPr>
          <w:rFonts w:ascii="Courier New" w:cs="Courier New" w:eastAsia="Courier New" w:hAnsi="Courier New"/>
          <w:sz w:val="18"/>
          <w:szCs w:val="18"/>
          <w:color w:val="auto"/>
        </w:rPr>
        <w:t>July 31, 2003</w:t>
      </w:r>
    </w:p>
    <w:p>
      <w:pPr>
        <w:sectPr>
          <w:pgSz w:w="11900" w:h="16838" w:orient="portrait"/>
          <w:cols w:equalWidth="0" w:num="1">
            <w:col w:w="10219"/>
          </w:cols>
          <w:pgMar w:left="240" w:top="541" w:right="1440" w:bottom="1440" w:gutter="0" w:footer="0" w:header="0"/>
        </w:sectPr>
      </w:pPr>
    </w:p>
    <w:bookmarkStart w:id="38" w:name="page39"/>
    <w:bookmarkEnd w:id="38"/>
    <w:p>
      <w:pPr>
        <w:jc w:val="right"/>
        <w:ind w:right="1779"/>
        <w:spacing w:after="0"/>
        <w:rPr>
          <w:sz w:val="20"/>
          <w:szCs w:val="20"/>
          <w:color w:val="auto"/>
        </w:rPr>
      </w:pPr>
      <w:r>
        <w:rPr>
          <w:rFonts w:ascii="Courier New" w:cs="Courier New" w:eastAsia="Courier New" w:hAnsi="Courier New"/>
          <w:sz w:val="18"/>
          <w:szCs w:val="18"/>
          <w:color w:val="auto"/>
        </w:rPr>
        <w:t>Exhibit 32.2</w:t>
      </w:r>
    </w:p>
    <w:p>
      <w:pPr>
        <w:spacing w:after="0" w:line="20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CERTIFICATION PURSUANT TO</w:t>
      </w:r>
    </w:p>
    <w:p>
      <w:pPr>
        <w:ind w:left="3060"/>
        <w:spacing w:after="0" w:line="238" w:lineRule="auto"/>
        <w:rPr>
          <w:sz w:val="20"/>
          <w:szCs w:val="20"/>
          <w:color w:val="auto"/>
        </w:rPr>
      </w:pPr>
      <w:r>
        <w:rPr>
          <w:rFonts w:ascii="Courier New" w:cs="Courier New" w:eastAsia="Courier New" w:hAnsi="Courier New"/>
          <w:sz w:val="18"/>
          <w:szCs w:val="18"/>
          <w:color w:val="auto"/>
        </w:rPr>
        <w:t>18 U.S.C. SECTION 1350</w:t>
      </w:r>
    </w:p>
    <w:p>
      <w:pPr>
        <w:ind w:left="3060"/>
        <w:spacing w:after="0"/>
        <w:rPr>
          <w:sz w:val="20"/>
          <w:szCs w:val="20"/>
          <w:color w:val="auto"/>
        </w:rPr>
      </w:pPr>
      <w:r>
        <w:rPr>
          <w:rFonts w:ascii="Courier New" w:cs="Courier New" w:eastAsia="Courier New" w:hAnsi="Courier New"/>
          <w:sz w:val="18"/>
          <w:szCs w:val="18"/>
          <w:color w:val="auto"/>
        </w:rPr>
        <w:t>AS ADOPTED PURSUANT TO</w:t>
      </w:r>
    </w:p>
    <w:p>
      <w:pPr>
        <w:ind w:left="1900"/>
        <w:spacing w:after="0" w:line="237" w:lineRule="auto"/>
        <w:rPr>
          <w:sz w:val="20"/>
          <w:szCs w:val="20"/>
          <w:color w:val="auto"/>
        </w:rPr>
      </w:pPr>
      <w:r>
        <w:rPr>
          <w:rFonts w:ascii="Courier New" w:cs="Courier New" w:eastAsia="Courier New" w:hAnsi="Courier New"/>
          <w:sz w:val="18"/>
          <w:szCs w:val="18"/>
          <w:color w:val="auto"/>
        </w:rPr>
        <w:t>SECTION 906 OF THE SARBANES-OXLEY ACT OF 2002</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 connection with the Quarterly Report of The Washington Post Company (the "Company") on Form 10-Q for the period ended June 29, 2003, as filed with the Securities and Exchange Commission on the date hereof (the "Report"), I, John B. Morse, Jr., Vice President-Finance (chief financial officer) of the Company, certify, pursuant to 18 U.S.C. Section 1350, as adopted pursuant to Section 906 of the Sarbanes-Oxley Act of 2002, that:</w:t>
      </w:r>
    </w:p>
    <w:p>
      <w:pPr>
        <w:spacing w:after="0" w:line="210" w:lineRule="exact"/>
        <w:rPr>
          <w:sz w:val="20"/>
          <w:szCs w:val="20"/>
          <w:color w:val="auto"/>
        </w:rPr>
      </w:pPr>
    </w:p>
    <w:p>
      <w:pPr>
        <w:ind w:right="1999" w:firstLine="8"/>
        <w:spacing w:after="0" w:line="235" w:lineRule="auto"/>
        <w:tabs>
          <w:tab w:leader="none" w:pos="527"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Report fully complies with the requirements of Section 13(a) or 15(d) of the Securities Exchange Act of 1934; and</w:t>
      </w:r>
    </w:p>
    <w:p>
      <w:pPr>
        <w:spacing w:after="0" w:line="208" w:lineRule="exact"/>
        <w:rPr>
          <w:rFonts w:ascii="Courier New" w:cs="Courier New" w:eastAsia="Courier New" w:hAnsi="Courier New"/>
          <w:sz w:val="18"/>
          <w:szCs w:val="18"/>
          <w:color w:val="auto"/>
        </w:rPr>
      </w:pPr>
    </w:p>
    <w:p>
      <w:pPr>
        <w:ind w:right="2099" w:firstLine="8"/>
        <w:spacing w:after="0" w:line="290" w:lineRule="auto"/>
        <w:tabs>
          <w:tab w:leader="none" w:pos="527"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information contained in the Report fairly presents, in all material respects, the financial condition and results of operations of the Company.</w:t>
      </w:r>
    </w:p>
    <w:p>
      <w:pPr>
        <w:spacing w:after="0" w:line="164"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/s/ John B. Morse, Jr.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John B. Morse, Jr.</w:t>
      </w:r>
    </w:p>
    <w:p>
      <w:pPr>
        <w:spacing w:after="0" w:line="238" w:lineRule="auto"/>
        <w:rPr>
          <w:sz w:val="20"/>
          <w:szCs w:val="20"/>
          <w:color w:val="auto"/>
        </w:rPr>
      </w:pPr>
      <w:r>
        <w:rPr>
          <w:rFonts w:ascii="Courier New" w:cs="Courier New" w:eastAsia="Courier New" w:hAnsi="Courier New"/>
          <w:sz w:val="18"/>
          <w:szCs w:val="18"/>
          <w:color w:val="auto"/>
        </w:rPr>
        <w:t>Vice President-Finance</w:t>
      </w:r>
    </w:p>
    <w:p>
      <w:pPr>
        <w:spacing w:after="0"/>
        <w:rPr>
          <w:sz w:val="20"/>
          <w:szCs w:val="20"/>
          <w:color w:val="auto"/>
        </w:rPr>
      </w:pPr>
      <w:r>
        <w:rPr>
          <w:rFonts w:ascii="Courier New" w:cs="Courier New" w:eastAsia="Courier New" w:hAnsi="Courier New"/>
          <w:sz w:val="18"/>
          <w:szCs w:val="18"/>
          <w:color w:val="auto"/>
        </w:rPr>
        <w:t>July 31, 2003</w:t>
      </w:r>
    </w:p>
    <w:sectPr>
      <w:pgSz w:w="11900" w:h="16838" w:orient="portrait"/>
      <w:cols w:equalWidth="0" w:num="1">
        <w:col w:w="10219"/>
      </w:cols>
      <w:pgMar w:left="240" w:top="5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40E0F76"/>
    <w:multiLevelType w:val="hybridMultilevel"/>
    <w:lvl w:ilvl="0">
      <w:lvlJc w:val="left"/>
      <w:lvlText w:val="%1."/>
      <w:numFmt w:val="lowerLetter"/>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1)"/>
      <w:numFmt w:val="lowerLetter"/>
      <w:start w:val="1"/>
    </w:lvl>
  </w:abstractNum>
  <w:abstractNum w:abstractNumId="3">
    <w:nsid w:val="DED7263"/>
    <w:multiLevelType w:val="hybridMultilevel"/>
    <w:lvl w:ilvl="0">
      <w:lvlJc w:val="left"/>
      <w:lvlText w:val="%1."/>
      <w:numFmt w:val="decimal"/>
      <w:start w:val="1"/>
    </w:lvl>
  </w:abstractNum>
  <w:abstractNum w:abstractNumId="4">
    <w:nsid w:val="7FDCC233"/>
    <w:multiLevelType w:val="hybridMultilevel"/>
    <w:lvl w:ilvl="0">
      <w:lvlJc w:val="left"/>
      <w:lvlText w:val="%1."/>
      <w:numFmt w:val="decimal"/>
      <w:start w:val="2"/>
    </w:lvl>
  </w:abstractNum>
  <w:abstractNum w:abstractNumId="5">
    <w:nsid w:val="1BEFD79F"/>
    <w:multiLevelType w:val="hybridMultilevel"/>
    <w:lvl w:ilvl="0">
      <w:lvlJc w:val="left"/>
      <w:lvlText w:val="%1."/>
      <w:numFmt w:val="decimal"/>
      <w:start w:val="3"/>
    </w:lvl>
  </w:abstractNum>
  <w:abstractNum w:abstractNumId="6">
    <w:nsid w:val="41A7C4C9"/>
    <w:multiLevelType w:val="hybridMultilevel"/>
    <w:lvl w:ilvl="0">
      <w:lvlJc w:val="left"/>
      <w:lvlText w:val="%1."/>
      <w:numFmt w:val="decimal"/>
      <w:start w:val="4"/>
    </w:lvl>
  </w:abstractNum>
  <w:abstractNum w:abstractNumId="7">
    <w:nsid w:val="6B68079A"/>
    <w:multiLevelType w:val="hybridMultilevel"/>
    <w:lvl w:ilvl="0">
      <w:lvlJc w:val="left"/>
      <w:lvlText w:val="%1."/>
      <w:numFmt w:val="decimal"/>
      <w:start w:val="5"/>
    </w:lvl>
  </w:abstractNum>
  <w:abstractNum w:abstractNumId="8">
    <w:nsid w:val="4E6AFB66"/>
    <w:multiLevelType w:val="hybridMultilevel"/>
    <w:lvl w:ilvl="0">
      <w:lvlJc w:val="left"/>
      <w:lvlText w:val="%1."/>
      <w:numFmt w:val="decimal"/>
      <w:start w:val="6"/>
    </w:lvl>
  </w:abstractNum>
  <w:abstractNum w:abstractNumId="9">
    <w:nsid w:val="25E45D32"/>
    <w:multiLevelType w:val="hybridMultilevel"/>
    <w:lvl w:ilvl="0">
      <w:lvlJc w:val="left"/>
      <w:lvlText w:val="%1."/>
      <w:numFmt w:val="decimal"/>
      <w:start w:val="7"/>
    </w:lvl>
  </w:abstractNum>
  <w:abstractNum w:abstractNumId="10">
    <w:nsid w:val="519B500D"/>
    <w:multiLevelType w:val="hybridMultilevel"/>
    <w:lvl w:ilvl="0">
      <w:lvlJc w:val="left"/>
      <w:lvlText w:val="%1."/>
      <w:numFmt w:val="decimal"/>
      <w:start w:val="8"/>
    </w:lvl>
  </w:abstractNum>
  <w:abstractNum w:abstractNumId="11">
    <w:nsid w:val="431BD7B7"/>
    <w:multiLevelType w:val="hybridMultilevel"/>
    <w:lvl w:ilvl="0">
      <w:lvlJc w:val="left"/>
      <w:lvlText w:val="%1."/>
      <w:numFmt w:val="decimal"/>
      <w:start w:val="9"/>
    </w:lvl>
  </w:abstractNum>
  <w:abstractNum w:abstractNumId="12">
    <w:nsid w:val="3F2DBA31"/>
    <w:multiLevelType w:val="hybridMultilevel"/>
    <w:lvl w:ilvl="0">
      <w:lvlJc w:val="left"/>
      <w:lvlText w:val="%1."/>
      <w:numFmt w:val="decimal"/>
      <w:start w:val="11"/>
    </w:lvl>
  </w:abstractNum>
  <w:abstractNum w:abstractNumId="13">
    <w:nsid w:val="7C83E458"/>
    <w:multiLevelType w:val="hybridMultilevel"/>
    <w:lvl w:ilvl="0">
      <w:lvlJc w:val="left"/>
      <w:lvlText w:val="%1."/>
      <w:numFmt w:val="decimal"/>
      <w:start w:val="12"/>
    </w:lvl>
  </w:abstractNum>
  <w:abstractNum w:abstractNumId="14">
    <w:nsid w:val="257130A3"/>
    <w:multiLevelType w:val="hybridMultilevel"/>
    <w:lvl w:ilvl="0">
      <w:lvlJc w:val="left"/>
      <w:lvlText w:val="%1."/>
      <w:numFmt w:val="decimal"/>
      <w:start w:val="13"/>
    </w:lvl>
  </w:abstractNum>
  <w:abstractNum w:abstractNumId="15">
    <w:nsid w:val="62BBD95A"/>
    <w:multiLevelType w:val="hybridMultilevel"/>
    <w:lvl w:ilvl="0">
      <w:lvlJc w:val="left"/>
      <w:lvlText w:val="%1."/>
      <w:numFmt w:val="decimal"/>
      <w:start w:val="14"/>
    </w:lvl>
  </w:abstractNum>
  <w:abstractNum w:abstractNumId="16">
    <w:nsid w:val="436C6125"/>
    <w:multiLevelType w:val="hybridMultilevel"/>
    <w:lvl w:ilvl="0">
      <w:lvlJc w:val="left"/>
      <w:lvlText w:val="(%1)"/>
      <w:numFmt w:val="lowerRoman"/>
      <w:start w:val="3"/>
    </w:lvl>
  </w:abstractNum>
  <w:abstractNum w:abstractNumId="17">
    <w:nsid w:val="628C895D"/>
    <w:multiLevelType w:val="hybridMultilevel"/>
    <w:lvl w:ilvl="0">
      <w:lvlJc w:val="left"/>
      <w:lvlText w:val="%1."/>
      <w:numFmt w:val="decimal"/>
      <w:start w:val="15"/>
    </w:lvl>
  </w:abstractNum>
  <w:abstractNum w:abstractNumId="18">
    <w:nsid w:val="333AB105"/>
    <w:multiLevelType w:val="hybridMultilevel"/>
    <w:lvl w:ilvl="0">
      <w:lvlJc w:val="left"/>
      <w:lvlText w:val="%1."/>
      <w:numFmt w:val="decimal"/>
      <w:start w:val="16"/>
    </w:lvl>
  </w:abstractNum>
  <w:abstractNum w:abstractNumId="19">
    <w:nsid w:val="721DA317"/>
    <w:multiLevelType w:val="hybridMultilevel"/>
    <w:lvl w:ilvl="0">
      <w:lvlJc w:val="left"/>
      <w:lvlText w:val="(%1)"/>
      <w:numFmt w:val="lowerRoman"/>
      <w:start w:val="2"/>
    </w:lvl>
  </w:abstractNum>
  <w:abstractNum w:abstractNumId="20">
    <w:nsid w:val="2443A858"/>
    <w:multiLevelType w:val="hybridMultilevel"/>
    <w:lvl w:ilvl="0">
      <w:lvlJc w:val="left"/>
      <w:lvlText w:val="%1."/>
      <w:numFmt w:val="decimal"/>
      <w:start w:val="1"/>
    </w:lvl>
    <w:lvl w:ilvl="1">
      <w:lvlJc w:val="left"/>
      <w:lvlText w:val="(%2)"/>
      <w:numFmt w:val="lowerLetter"/>
      <w:start w:val="1"/>
    </w:lvl>
  </w:abstractNum>
  <w:abstractNum w:abstractNumId="21">
    <w:nsid w:val="2D1D5AE9"/>
    <w:multiLevelType w:val="hybridMultilevel"/>
    <w:lvl w:ilvl="0">
      <w:lvlJc w:val="left"/>
      <w:lvlText w:val="%1."/>
      <w:numFmt w:val="decimal"/>
      <w:start w:val="1"/>
    </w:lvl>
    <w:lvl w:ilvl="1">
      <w:lvlJc w:val="left"/>
      <w:lvlText w:val="(%2)"/>
      <w:numFmt w:val="lowerLetter"/>
      <w:start w:val="1"/>
    </w:lvl>
  </w:abstractNum>
  <w:abstractNum w:abstractNumId="22">
    <w:nsid w:val="6763845E"/>
    <w:multiLevelType w:val="hybridMultilevel"/>
    <w:lvl w:ilvl="0">
      <w:lvlJc w:val="left"/>
      <w:lvlText w:val="(%1)"/>
      <w:numFmt w:val="decimal"/>
      <w:start w:val="1"/>
    </w:lvl>
  </w:abstractNum>
  <w:abstractNum w:abstractNumId="23">
    <w:nsid w:val="75A2A8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2019-12-12T10:25:00Z</dcterms:created>
  <dcterms:modified xsi:type="dcterms:W3CDTF">2019-12-12T10:25:00Z</dcterms:modified>
</cp:coreProperties>
</file>