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 xml:space="preserve">Graham Holding Company </w:t>
      </w:r>
      <w:r>
        <w:rPr>
          <w:rFonts w:ascii="Arial" w:cs="Arial" w:eastAsia="Arial" w:hAnsi="Arial"/>
          <w:sz w:val="21"/>
          <w:szCs w:val="21"/>
          <w:color w:val="auto"/>
        </w:rPr>
        <w:t>(Formerly The Washington Post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B 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384637104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98"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939640108</w:t>
            </w:r>
          </w:p>
        </w:tc>
        <w:tc>
          <w:tcPr>
            <w:tcW w:w="6160" w:type="dxa"/>
            <w:vAlign w:val="bottom"/>
          </w:tcPr>
          <w:p>
            <w:pPr>
              <w:spacing w:after="0"/>
              <w:rPr>
                <w:sz w:val="19"/>
                <w:szCs w:val="19"/>
                <w:color w:val="auto"/>
              </w:rPr>
            </w:pPr>
          </w:p>
        </w:tc>
        <w:tc>
          <w:tcPr>
            <w:tcW w:w="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Page</w:t>
            </w:r>
          </w:p>
        </w:tc>
        <w:tc>
          <w:tcPr>
            <w:tcW w:w="42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9"/>
              </w:rPr>
              <w:t>6 pages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4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International Value Advisers, LLC</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74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74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138,426</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BY 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147,636</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147,636</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w w:val="96"/>
              </w:rPr>
              <w:t>CHECK IF THE AGGREGATE AMOUNT IN ROW (9) EXCLUDES CERTAIN SHARES (SEE INSTRUCTIONS)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64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1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760" w:hanging="320"/>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Graham Holding Company</w:t>
      </w:r>
    </w:p>
    <w:p>
      <w:pPr>
        <w:spacing w:after="0" w:line="225" w:lineRule="exact"/>
        <w:rPr>
          <w:rFonts w:ascii="Arial" w:cs="Arial" w:eastAsia="Arial" w:hAnsi="Arial"/>
          <w:sz w:val="18"/>
          <w:szCs w:val="18"/>
          <w:color w:val="auto"/>
        </w:rPr>
      </w:pPr>
    </w:p>
    <w:p>
      <w:pPr>
        <w:ind w:left="4200" w:right="4920" w:hanging="3760"/>
        <w:spacing w:after="0" w:line="342" w:lineRule="auto"/>
        <w:tabs>
          <w:tab w:leader="none" w:pos="756"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Issuer’s Principal Executive Offices 1150 15TH STREET NW WASHINGTON, D.C. 20071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 International Value Advisers, LLC</w:t>
      </w:r>
    </w:p>
    <w:p>
      <w:pPr>
        <w:spacing w:after="0" w:line="225" w:lineRule="exact"/>
        <w:rPr>
          <w:rFonts w:ascii="Arial" w:cs="Arial" w:eastAsia="Arial" w:hAnsi="Arial"/>
          <w:sz w:val="18"/>
          <w:szCs w:val="18"/>
          <w:color w:val="auto"/>
        </w:rPr>
      </w:pPr>
    </w:p>
    <w:p>
      <w:pPr>
        <w:ind w:left="5120" w:right="4060" w:hanging="4680"/>
        <w:spacing w:after="0" w:line="308" w:lineRule="auto"/>
        <w:tabs>
          <w:tab w:leader="none" w:pos="758"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Address of Principal Business Office or, if none, Residence 717 Fifth Avenue, 10th Floor New York, NY 10022</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Delaware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 Class B Common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CUSIP Number 939640108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Insurance company as defined in section 3(a)(l9) of the Act (15 U.S.C. 78c).</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192" w:lineRule="exact"/>
        <w:rPr>
          <w:rFonts w:ascii="Arial" w:cs="Arial" w:eastAsia="Arial" w:hAnsi="Arial"/>
          <w:sz w:val="18"/>
          <w:szCs w:val="18"/>
          <w:color w:val="auto"/>
        </w:rPr>
      </w:pPr>
    </w:p>
    <w:p>
      <w:pPr>
        <w:ind w:left="760" w:hanging="320"/>
        <w:spacing w:after="0" w:line="207" w:lineRule="exact"/>
        <w:tabs>
          <w:tab w:leader="none" w:pos="7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§240.l3d-l(b)(l)(ii)(E);</w:t>
      </w:r>
    </w:p>
    <w:p>
      <w:pPr>
        <w:spacing w:after="0" w:line="257"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§240.13d-l(b)(1)(ii)(F);</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240.13d-l(b)(1)(ii)(G);</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080" w:hanging="640"/>
        <w:spacing w:after="0" w:line="277" w:lineRule="auto"/>
        <w:tabs>
          <w:tab w:leader="none" w:pos="756"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3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3" w:name="page4"/>
    <w:bookmarkEnd w:id="3"/>
    <w:p>
      <w:pPr>
        <w:ind w:left="440"/>
        <w:spacing w:after="0"/>
        <w:tabs>
          <w:tab w:leader="none" w:pos="1020" w:val="left"/>
        </w:tabs>
        <w:rPr>
          <w:sz w:val="20"/>
          <w:szCs w:val="20"/>
          <w:color w:val="auto"/>
        </w:rPr>
      </w:pPr>
      <w:r>
        <w:rPr>
          <w:rFonts w:ascii="Arial" w:cs="Arial" w:eastAsia="Arial" w:hAnsi="Arial"/>
          <w:sz w:val="18"/>
          <w:szCs w:val="18"/>
          <w:color w:val="auto"/>
        </w:rPr>
        <w:t>(j) o</w:t>
      </w:r>
      <w:r>
        <w:rPr>
          <w:sz w:val="20"/>
          <w:szCs w:val="20"/>
          <w:color w:val="auto"/>
        </w:rPr>
        <w:tab/>
      </w:r>
      <w:r>
        <w:rPr>
          <w:rFonts w:ascii="Arial" w:cs="Arial" w:eastAsia="Arial" w:hAnsi="Arial"/>
          <w:sz w:val="16"/>
          <w:szCs w:val="16"/>
          <w:color w:val="auto"/>
        </w:rPr>
        <w:t>Group, in accordance with §240.l3d-l(b)(1)(ii)(J).</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147,636.</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2.4%.</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138,426.</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147,636.</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152" w:right="719" w:bottom="1440" w:gutter="0" w:footer="0" w:header="0"/>
        </w:sectPr>
      </w:pPr>
    </w:p>
    <w:bookmarkStart w:id="4" w:name="page5"/>
    <w:bookmarkEnd w:id="4"/>
    <w:p>
      <w:pPr>
        <w:jc w:val="both"/>
        <w:ind w:left="7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February 14,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Michael Malafronte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4942205</wp:posOffset>
            </wp:positionH>
            <wp:positionV relativeFrom="paragraph">
              <wp:posOffset>14605</wp:posOffset>
            </wp:positionV>
            <wp:extent cx="2169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jc w:val="center"/>
        <w:ind w:left="8000"/>
        <w:spacing w:after="0"/>
        <w:rPr>
          <w:sz w:val="20"/>
          <w:szCs w:val="20"/>
          <w:color w:val="auto"/>
        </w:rPr>
      </w:pPr>
      <w:r>
        <w:rPr>
          <w:rFonts w:ascii="Arial" w:cs="Arial" w:eastAsia="Arial" w:hAnsi="Arial"/>
          <w:sz w:val="18"/>
          <w:szCs w:val="18"/>
          <w:color w:val="auto"/>
        </w:rPr>
        <w:t>Name/Title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8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200"/>
      </w:cols>
      <w:pgMar w:left="46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2019-12-05T16:09:27Z</dcterms:created>
  <dcterms:modified xsi:type="dcterms:W3CDTF">2019-12-05T16:09:27Z</dcterms:modified>
</cp:coreProperties>
</file>