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171450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7"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001-06714</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GRAHAM HOLDINGS COMPANY</w:t>
      </w:r>
    </w:p>
    <w:p>
      <w:pPr>
        <w:spacing w:after="0" w:line="148" w:lineRule="exact"/>
        <w:rPr>
          <w:sz w:val="24"/>
          <w:szCs w:val="24"/>
          <w:color w:val="auto"/>
        </w:rPr>
      </w:pPr>
    </w:p>
    <w:tbl>
      <w:tblPr>
        <w:tblLayout w:type="fixed"/>
        <w:tblInd w:w="82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(Exact name of registrant as specified in its charter)</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2260" w:type="dxa"/>
            <w:vAlign w:val="bottom"/>
          </w:tcPr>
          <w:p>
            <w:pPr>
              <w:jc w:val="center"/>
              <w:ind w:left="1181"/>
              <w:spacing w:after="0"/>
              <w:rPr>
                <w:sz w:val="20"/>
                <w:szCs w:val="20"/>
                <w:color w:val="auto"/>
              </w:rPr>
            </w:pPr>
            <w:r>
              <w:rPr>
                <w:rFonts w:ascii="Arial" w:cs="Arial" w:eastAsia="Arial" w:hAnsi="Arial"/>
                <w:sz w:val="18"/>
                <w:szCs w:val="18"/>
                <w:b w:val="1"/>
                <w:bCs w:val="1"/>
                <w:color w:val="auto"/>
              </w:rPr>
              <w:t>Delaware</w:t>
            </w:r>
          </w:p>
        </w:tc>
        <w:tc>
          <w:tcPr>
            <w:tcW w:w="506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(State or other jurisdiction of</w:t>
            </w:r>
          </w:p>
        </w:tc>
        <w:tc>
          <w:tcPr>
            <w:tcW w:w="1600" w:type="dxa"/>
            <w:vAlign w:val="bottom"/>
          </w:tcPr>
          <w:p>
            <w:pPr>
              <w:jc w:val="center"/>
              <w:ind w:left="30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2"/>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incorporation or organization)</w:t>
            </w:r>
          </w:p>
        </w:tc>
        <w:tc>
          <w:tcPr>
            <w:tcW w:w="1600" w:type="dxa"/>
            <w:vAlign w:val="bottom"/>
          </w:tcPr>
          <w:p>
            <w:pPr>
              <w:jc w:val="center"/>
              <w:ind w:left="32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2260" w:type="dxa"/>
            <w:vAlign w:val="bottom"/>
          </w:tcPr>
          <w:p>
            <w:pPr>
              <w:spacing w:after="0"/>
              <w:rPr>
                <w:sz w:val="20"/>
                <w:szCs w:val="20"/>
                <w:color w:val="auto"/>
              </w:rPr>
            </w:pPr>
            <w:r>
              <w:rPr>
                <w:rFonts w:ascii="Arial" w:cs="Arial" w:eastAsia="Arial" w:hAnsi="Arial"/>
                <w:sz w:val="18"/>
                <w:szCs w:val="18"/>
                <w:b w:val="1"/>
                <w:bCs w:val="1"/>
                <w:color w:val="auto"/>
              </w:rPr>
              <w:t>1300 North 17th Street ,</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Arlington ,  Virginia</w:t>
            </w:r>
          </w:p>
        </w:tc>
        <w:tc>
          <w:tcPr>
            <w:tcW w:w="160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29"/>
        </w:trPr>
        <w:tc>
          <w:tcPr>
            <w:tcW w:w="7320" w:type="dxa"/>
            <w:vAlign w:val="bottom"/>
            <w:gridSpan w:val="2"/>
          </w:tcPr>
          <w:p>
            <w:pPr>
              <w:jc w:val="center"/>
              <w:ind w:right="371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vMerge w:val="restart"/>
          </w:tcPr>
          <w:p>
            <w:pPr>
              <w:jc w:val="center"/>
              <w:ind w:left="3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73"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4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20" w:type="dxa"/>
            <w:vAlign w:val="bottom"/>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504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GHC</w:t>
            </w:r>
          </w:p>
        </w:tc>
        <w:tc>
          <w:tcPr>
            <w:tcW w:w="4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9" w:lineRule="exact"/>
        <w:rPr>
          <w:sz w:val="24"/>
          <w:szCs w:val="24"/>
          <w:color w:val="auto"/>
        </w:rPr>
      </w:pPr>
    </w:p>
    <w:p>
      <w:pPr>
        <w:ind w:right="8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 w:lineRule="exact"/>
        <w:rPr>
          <w:sz w:val="24"/>
          <w:szCs w:val="24"/>
          <w:color w:val="auto"/>
        </w:rPr>
      </w:pPr>
    </w:p>
    <w:p>
      <w:pPr>
        <w:ind w:right="2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2"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400" w:type="dxa"/>
            <w:vAlign w:val="bottom"/>
            <w:vMerge w:val="restart"/>
          </w:tcPr>
          <w:p>
            <w:pPr>
              <w:spacing w:after="0" w:line="41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6"/>
                <w:szCs w:val="36"/>
                <w:color w:val="auto"/>
                <w:vertAlign w:val="superscript"/>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1"/>
        </w:trPr>
        <w:tc>
          <w:tcPr>
            <w:tcW w:w="2400" w:type="dxa"/>
            <w:vAlign w:val="bottom"/>
            <w:vMerge w:val="continue"/>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25, 2019:</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4,350,385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Condensed Consolidated Statements of Operations (Unaudited) for the Three and Nine Months Ended September 30, 2019 and 2018</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75"/>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Condensed Consolidated Statements of Comprehensive Income (Unaudited) for the Three and Nine Months Ended September 30,</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0340" w:type="dxa"/>
            <w:vAlign w:val="bottom"/>
          </w:tcPr>
          <w:p>
            <w:pPr>
              <w:ind w:left="200"/>
              <w:spacing w:after="0" w:line="181" w:lineRule="exact"/>
              <w:rPr>
                <w:sz w:val="20"/>
                <w:szCs w:val="20"/>
                <w:color w:val="auto"/>
              </w:rPr>
            </w:pPr>
            <w:r>
              <w:rPr>
                <w:rFonts w:ascii="Arial" w:cs="Arial" w:eastAsia="Arial" w:hAnsi="Arial"/>
                <w:sz w:val="16"/>
                <w:szCs w:val="16"/>
                <w:color w:val="auto"/>
              </w:rPr>
              <w:t>2019 and 2018</w:t>
            </w:r>
          </w:p>
        </w:tc>
        <w:tc>
          <w:tcPr>
            <w:tcW w:w="8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1"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Condensed Consolidated Balance Sheets at September 30, 2019 (Unaudited) and December 31,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Condensed Consolidated Statements of Cash Flows (Unaudited) for the Nine Months Ended September 30, 2019 and 2018</w:t>
            </w:r>
          </w:p>
        </w:tc>
        <w:tc>
          <w:tcPr>
            <w:tcW w:w="180" w:type="dxa"/>
            <w:vAlign w:val="bottom"/>
            <w:gridSpan w:val="2"/>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4</w:t>
              </w:r>
            </w:hyperlink>
          </w:p>
        </w:tc>
      </w:tr>
      <w:tr>
        <w:trPr>
          <w:trHeight w:val="529"/>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Condensed Consolidated Statements of Changes in Common Stockholders' Equity (Unaudited) for the Three and Nine Months Ended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0340" w:type="dxa"/>
            <w:vAlign w:val="bottom"/>
          </w:tcPr>
          <w:p>
            <w:pPr>
              <w:ind w:left="200"/>
              <w:spacing w:after="0" w:line="181" w:lineRule="exact"/>
              <w:rPr>
                <w:sz w:val="20"/>
                <w:szCs w:val="20"/>
                <w:color w:val="auto"/>
              </w:rPr>
            </w:pPr>
            <w:r>
              <w:rPr>
                <w:rFonts w:ascii="Arial" w:cs="Arial" w:eastAsia="Arial" w:hAnsi="Arial"/>
                <w:sz w:val="16"/>
                <w:szCs w:val="16"/>
                <w:color w:val="auto"/>
              </w:rPr>
              <w:t>September 30, 2019 and 2018</w:t>
            </w:r>
          </w:p>
        </w:tc>
        <w:tc>
          <w:tcPr>
            <w:tcW w:w="8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1"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7</w:t>
              </w:r>
            </w:hyperlink>
          </w:p>
        </w:tc>
      </w:tr>
      <w:tr>
        <w:trPr>
          <w:trHeight w:val="439"/>
        </w:trPr>
        <w:tc>
          <w:tcPr>
            <w:tcW w:w="840" w:type="dxa"/>
            <w:vAlign w:val="bottom"/>
          </w:tcPr>
          <w:p>
            <w:pPr>
              <w:spacing w:after="0"/>
              <w:rPr>
                <w:sz w:val="24"/>
                <w:szCs w:val="24"/>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Organization, Basis of Presentation and Recent Accounting Pronouncements</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7</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8</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Investments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10</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Inventories, Contracts in Progress and Vehicle Floor Plan Payable</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Leases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12</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Goodwill and Other Intangible Assets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14</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Debt</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15</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Fair Value Measurements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17</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18</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Earnings Per Share</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19</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Pension and Postretirement Plans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19</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Other Non-Operating Income</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21</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22</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Contingencies and Regulatory Matters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23</w:t>
              </w:r>
            </w:hyperlink>
          </w:p>
        </w:tc>
      </w:tr>
      <w:tr>
        <w:trPr>
          <w:trHeight w:val="250"/>
        </w:trPr>
        <w:tc>
          <w:tcPr>
            <w:tcW w:w="840" w:type="dxa"/>
            <w:vAlign w:val="bottom"/>
          </w:tcPr>
          <w:p>
            <w:pPr>
              <w:spacing w:after="0"/>
              <w:rPr>
                <w:sz w:val="21"/>
                <w:szCs w:val="21"/>
                <w:color w:val="auto"/>
              </w:rPr>
            </w:pPr>
          </w:p>
        </w:tc>
        <w:tc>
          <w:tcPr>
            <w:tcW w:w="10340" w:type="dxa"/>
            <w:vAlign w:val="bottom"/>
          </w:tcPr>
          <w:p>
            <w:pPr>
              <w:ind w:left="320"/>
              <w:spacing w:after="0"/>
              <w:rPr>
                <w:sz w:val="20"/>
                <w:szCs w:val="20"/>
                <w:color w:val="auto"/>
              </w:rPr>
            </w:pPr>
            <w:r>
              <w:rPr>
                <w:rFonts w:ascii="Arial" w:cs="Arial" w:eastAsia="Arial" w:hAnsi="Arial"/>
                <w:sz w:val="16"/>
                <w:szCs w:val="16"/>
                <w:color w:val="auto"/>
              </w:rPr>
              <w:t>Business Segments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25</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40</w:t>
              </w:r>
            </w:hyperlink>
          </w:p>
        </w:tc>
      </w:tr>
      <w:tr>
        <w:trPr>
          <w:trHeight w:val="505"/>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44</w:t>
              </w:r>
            </w:hyperlink>
          </w:p>
        </w:tc>
      </w:tr>
    </w:tbl>
    <w:p>
      <w:pPr>
        <w:sectPr>
          <w:pgSz w:w="11900" w:h="16838" w:orient="portrait"/>
          <w:cols w:equalWidth="0" w:num="1">
            <w:col w:w="11360"/>
          </w:cols>
          <w:pgMar w:left="280" w:top="70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738,820</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674,766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2,168,621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2,006,879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517,935</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448,920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1,498,928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1,254,726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175,322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131,081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472,124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497,504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15,351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13,648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42,758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41,909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13,572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12,269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39,512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34,052</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8,109</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1,065</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8,109</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722,552</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614,027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2,054,387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1,836,300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16,268</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60,739</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114,234</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170,579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4,683</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9,537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7,829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13,047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1,474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611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4,753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(6,776)</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(6,135)</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(22,587)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(31,371)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19,556</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22,214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51,737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66,641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17,404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44,962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49,261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28,306</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5,556</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3,142</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36,135</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14,662</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58,165</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135,070</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241,362</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254,370</w:t>
            </w:r>
          </w:p>
        </w:tc>
        <w:tc>
          <w:tcPr>
            <w:tcW w:w="0" w:type="dxa"/>
            <w:vAlign w:val="bottom"/>
          </w:tcPr>
          <w:p>
            <w:pPr>
              <w:spacing w:after="0"/>
              <w:rPr>
                <w:sz w:val="1"/>
                <w:szCs w:val="1"/>
                <w:color w:val="auto"/>
              </w:rPr>
            </w:pP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15,200</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59,500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42,965</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125,070</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181,862</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214,670</w:t>
            </w:r>
          </w:p>
        </w:tc>
        <w:tc>
          <w:tcPr>
            <w:tcW w:w="0" w:type="dxa"/>
            <w:vAlign w:val="bottom"/>
          </w:tcPr>
          <w:p>
            <w:pPr>
              <w:spacing w:after="0"/>
              <w:rPr>
                <w:sz w:val="1"/>
                <w:szCs w:val="1"/>
                <w:color w:val="auto"/>
              </w:rPr>
            </w:pPr>
          </w:p>
        </w:tc>
      </w:tr>
      <w:tr>
        <w:trPr>
          <w:trHeight w:val="27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180</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112</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2"/>
        </w:trPr>
        <w:tc>
          <w:tcPr>
            <w:tcW w:w="606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43,145</w:t>
            </w: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125,064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181,974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214,521</w:t>
            </w:r>
          </w:p>
        </w:tc>
        <w:tc>
          <w:tcPr>
            <w:tcW w:w="0" w:type="dxa"/>
            <w:vAlign w:val="bottom"/>
          </w:tcPr>
          <w:p>
            <w:pPr>
              <w:spacing w:after="0"/>
              <w:rPr>
                <w:sz w:val="1"/>
                <w:szCs w:val="1"/>
                <w:color w:val="auto"/>
              </w:rPr>
            </w:pPr>
          </w:p>
        </w:tc>
      </w:tr>
      <w:tr>
        <w:trPr>
          <w:trHeight w:val="228"/>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8.12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23.43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34.24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5,302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5,285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5,354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8.05</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23.28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33.96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5,329</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5,337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5,328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5,390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2018</w:t>
            </w: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42,965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125,070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181,862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214,670</w:t>
            </w: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2"/>
        </w:trPr>
        <w:tc>
          <w:tcPr>
            <w:tcW w:w="69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698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(16,684)</w:t>
            </w:r>
          </w:p>
        </w:tc>
        <w:tc>
          <w:tcPr>
            <w:tcW w:w="2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(2,844)</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(17,755)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(22,447)</w:t>
            </w:r>
          </w:p>
        </w:tc>
      </w:tr>
      <w:tr>
        <w:trPr>
          <w:trHeight w:val="262"/>
        </w:trPr>
        <w:tc>
          <w:tcPr>
            <w:tcW w:w="698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8"/>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24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(932)</w:t>
            </w:r>
          </w:p>
        </w:tc>
        <w:tc>
          <w:tcPr>
            <w:tcW w:w="280" w:type="dxa"/>
            <w:vAlign w:val="bottom"/>
          </w:tcPr>
          <w:p>
            <w:pPr>
              <w:spacing w:after="0"/>
              <w:rPr>
                <w:sz w:val="24"/>
                <w:szCs w:val="24"/>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(3,210)</w:t>
            </w:r>
          </w:p>
        </w:tc>
        <w:tc>
          <w:tcPr>
            <w:tcW w:w="30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215</w:t>
            </w:r>
          </w:p>
        </w:tc>
      </w:tr>
      <w:tr>
        <w:trPr>
          <w:trHeight w:val="274"/>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actuarial gain included in net income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(3,295)</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(1,534)</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r>
      <w:tr>
        <w:trPr>
          <w:trHeight w:val="260"/>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(1,443)</w:t>
            </w:r>
          </w:p>
        </w:tc>
        <w:tc>
          <w:tcPr>
            <w:tcW w:w="2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(3,226)</w:t>
            </w:r>
          </w:p>
        </w:tc>
        <w:tc>
          <w:tcPr>
            <w:tcW w:w="28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(4,744)</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(7,741)</w:t>
            </w:r>
          </w:p>
        </w:tc>
      </w:tr>
      <w:tr>
        <w:trPr>
          <w:trHeight w:val="274"/>
        </w:trPr>
        <w:tc>
          <w:tcPr>
            <w:tcW w:w="6980" w:type="dxa"/>
            <w:vAlign w:val="bottom"/>
          </w:tcPr>
          <w:p>
            <w:pPr>
              <w:ind w:left="180"/>
              <w:spacing w:after="0"/>
              <w:rPr>
                <w:sz w:val="20"/>
                <w:szCs w:val="20"/>
                <w:color w:val="auto"/>
              </w:rPr>
            </w:pPr>
            <w:r>
              <w:rPr>
                <w:rFonts w:ascii="Arial" w:cs="Arial" w:eastAsia="Arial" w:hAnsi="Arial"/>
                <w:sz w:val="16"/>
                <w:szCs w:val="16"/>
                <w:color w:val="auto"/>
              </w:rPr>
              <w:t>Cash flow hedges (loss) gain</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(477)</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(904)</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24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(18,604)</w:t>
            </w:r>
          </w:p>
        </w:tc>
        <w:tc>
          <w:tcPr>
            <w:tcW w:w="2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(6,076)</w:t>
            </w:r>
          </w:p>
        </w:tc>
        <w:tc>
          <w:tcPr>
            <w:tcW w:w="28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(23,403)</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(29,587)</w:t>
            </w:r>
          </w:p>
        </w:tc>
      </w:tr>
      <w:tr>
        <w:trPr>
          <w:trHeight w:val="274"/>
        </w:trPr>
        <w:tc>
          <w:tcPr>
            <w:tcW w:w="698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518</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874</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1,512</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1,976</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Net of Tax</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(18,086)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(5,202)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(21,891)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(27,611)</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2"/>
                <w:szCs w:val="22"/>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24,879</w:t>
            </w:r>
          </w:p>
        </w:tc>
        <w:tc>
          <w:tcPr>
            <w:tcW w:w="280" w:type="dxa"/>
            <w:vAlign w:val="bottom"/>
          </w:tcPr>
          <w:p>
            <w:pPr>
              <w:spacing w:after="0"/>
              <w:rPr>
                <w:sz w:val="22"/>
                <w:szCs w:val="22"/>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119,868</w:t>
            </w:r>
          </w:p>
        </w:tc>
        <w:tc>
          <w:tcPr>
            <w:tcW w:w="280" w:type="dxa"/>
            <w:vAlign w:val="bottom"/>
          </w:tcPr>
          <w:p>
            <w:pPr>
              <w:spacing w:after="0"/>
              <w:rPr>
                <w:sz w:val="22"/>
                <w:szCs w:val="22"/>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159,971</w:t>
            </w:r>
          </w:p>
        </w:tc>
        <w:tc>
          <w:tcPr>
            <w:tcW w:w="30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187,059</w:t>
            </w:r>
          </w:p>
        </w:tc>
      </w:tr>
      <w:tr>
        <w:trPr>
          <w:trHeight w:val="274"/>
        </w:trPr>
        <w:tc>
          <w:tcPr>
            <w:tcW w:w="6980" w:type="dxa"/>
            <w:vAlign w:val="bottom"/>
          </w:tcPr>
          <w:p>
            <w:pPr>
              <w:ind w:left="18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180</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112</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25,059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119,862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160,083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186,910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3"/>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142,264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253,256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15,143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10,859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554,211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514,581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612,141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582,280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9,440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19,166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113,196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69,477</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87,863</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82,723</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2"/>
                <w:szCs w:val="22"/>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1,534,258</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1,532,342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370,882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293,085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503,830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163,986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143,813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1,345,393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1,297,712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144,477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99,052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245,393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1,038,676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1,003,558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11,400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13,388</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129,451</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117,830</w:t>
            </w:r>
          </w:p>
        </w:tc>
        <w:tc>
          <w:tcPr>
            <w:tcW w:w="0" w:type="dxa"/>
            <w:vAlign w:val="bottom"/>
          </w:tcPr>
          <w:p>
            <w:pPr>
              <w:spacing w:after="0"/>
              <w:rPr>
                <w:sz w:val="1"/>
                <w:szCs w:val="1"/>
                <w:color w:val="auto"/>
              </w:rPr>
            </w:pP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5,487,746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477,522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486,578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337,573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308,728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6,668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10,496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78,114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81,697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6,360</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7,387</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22"/>
                <w:szCs w:val="22"/>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988,961</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812,162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177,116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179,652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27,398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57,901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348,054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322,421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462,868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420,535</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470,777</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2,424,932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1,842,913</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3,903</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4,346</w:t>
            </w:r>
          </w:p>
        </w:tc>
        <w:tc>
          <w:tcPr>
            <w:tcW w:w="0" w:type="dxa"/>
            <w:vAlign w:val="bottom"/>
          </w:tcPr>
          <w:p>
            <w:pPr>
              <w:spacing w:after="0"/>
              <w:rPr>
                <w:sz w:val="1"/>
                <w:szCs w:val="1"/>
                <w:color w:val="auto"/>
              </w:rPr>
            </w:pPr>
          </w:p>
        </w:tc>
      </w:tr>
      <w:tr>
        <w:trPr>
          <w:trHeight w:val="26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379,923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378,837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6,388,546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6,236,125</w:t>
            </w:r>
          </w:p>
        </w:tc>
        <w:tc>
          <w:tcPr>
            <w:tcW w:w="0" w:type="dxa"/>
            <w:vAlign w:val="bottom"/>
          </w:tcPr>
          <w:p>
            <w:pPr>
              <w:spacing w:after="0"/>
              <w:rPr>
                <w:sz w:val="1"/>
                <w:szCs w:val="1"/>
                <w:color w:val="auto"/>
              </w:rPr>
            </w:pPr>
          </w:p>
        </w:tc>
      </w:tr>
      <w:tr>
        <w:trPr>
          <w:trHeight w:val="262"/>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(47,025)</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(29,270)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229,373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232,836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(3,918,397)</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(3,922,009)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3,052,010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6,901</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3,058,911</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5,487,746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695" w:right="259" w:bottom="9"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181,862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214,670</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amortization and impairment of long-lived assets</w:t>
            </w:r>
          </w:p>
        </w:tc>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83,335</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84,070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61,797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(33,061)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(54,341)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(36,793)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(28,871)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(13,379)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for doubtful trade and other receivables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21,532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10,563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4,752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5,172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(1,284)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Write-down of cost method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(3,882)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(10,294)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26,310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(10,867)</w:t>
            </w:r>
          </w:p>
        </w:tc>
      </w:tr>
      <w:tr>
        <w:trPr>
          <w:trHeight w:val="262"/>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(47,308)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47,342</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(11,969)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(10,913)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(60,708)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(95,100)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24,920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38,148</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5,526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23,073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(96,913)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(12,844)</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1,905</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72,284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191,858</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(162,060)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(111,451)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(75,712)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(58,850)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(payments) from disposition of businesses, property, plant and equipment and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53,785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(13,483)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(25,836)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(10,679)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17,586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66,741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(7,499)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Loan to related party and advance related to Kaplan University transaction</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(3,500)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(28,061)</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786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4,521</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(202,450)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(151,262)</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(110,848)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30,000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borrowing under revolving credit facility</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5,000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15,106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(22,167)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noncontrolling interest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6,536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(550)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 and early redemption premium</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(7,901)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(417,112)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debt financing costs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(6,490)</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5,303</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25,635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(167,211)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(2,177)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(106,708)</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(130,831)</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264,115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407,566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157,407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276,735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09"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09"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Arial" w:cs="Arial" w:eastAsia="Arial" w:hAnsi="Arial"/>
                <w:sz w:val="11"/>
                <w:szCs w:val="11"/>
                <w:color w:val="auto"/>
              </w:rPr>
              <w:t>Capital in</w:t>
            </w:r>
          </w:p>
        </w:tc>
        <w:tc>
          <w:tcPr>
            <w:tcW w:w="8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7"/>
              </w:rPr>
              <w:t>Accumulated Other</w:t>
            </w: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jc w:val="center"/>
              <w:ind w:left="46"/>
              <w:spacing w:after="0"/>
              <w:rPr>
                <w:sz w:val="20"/>
                <w:szCs w:val="20"/>
                <w:color w:val="auto"/>
              </w:rPr>
            </w:pPr>
            <w:r>
              <w:rPr>
                <w:rFonts w:ascii="Arial" w:cs="Arial" w:eastAsia="Arial" w:hAnsi="Arial"/>
                <w:sz w:val="11"/>
                <w:szCs w:val="11"/>
                <w:color w:val="auto"/>
                <w:w w:val="96"/>
              </w:rPr>
              <w:t>Redeemable</w:t>
            </w:r>
          </w:p>
        </w:tc>
      </w:tr>
      <w:tr>
        <w:trPr>
          <w:trHeight w:val="122"/>
        </w:trPr>
        <w:tc>
          <w:tcPr>
            <w:tcW w:w="2240" w:type="dxa"/>
            <w:vAlign w:val="bottom"/>
          </w:tcPr>
          <w:p>
            <w:pPr>
              <w:spacing w:after="0"/>
              <w:rPr>
                <w:sz w:val="10"/>
                <w:szCs w:val="10"/>
                <w:color w:val="auto"/>
              </w:rPr>
            </w:pPr>
          </w:p>
        </w:tc>
        <w:tc>
          <w:tcPr>
            <w:tcW w:w="2120" w:type="dxa"/>
            <w:vAlign w:val="bottom"/>
          </w:tcPr>
          <w:p>
            <w:pPr>
              <w:ind w:left="1520"/>
              <w:spacing w:after="0" w:line="122" w:lineRule="exact"/>
              <w:rPr>
                <w:sz w:val="20"/>
                <w:szCs w:val="20"/>
                <w:color w:val="auto"/>
              </w:rPr>
            </w:pPr>
            <w:r>
              <w:rPr>
                <w:rFonts w:ascii="Arial" w:cs="Arial" w:eastAsia="Arial" w:hAnsi="Arial"/>
                <w:sz w:val="11"/>
                <w:szCs w:val="11"/>
                <w:color w:val="auto"/>
              </w:rPr>
              <w:t>Common</w:t>
            </w:r>
          </w:p>
        </w:tc>
        <w:tc>
          <w:tcPr>
            <w:tcW w:w="840" w:type="dxa"/>
            <w:vAlign w:val="bottom"/>
          </w:tcPr>
          <w:p>
            <w:pPr>
              <w:ind w:left="160"/>
              <w:spacing w:after="0" w:line="122" w:lineRule="exact"/>
              <w:rPr>
                <w:sz w:val="20"/>
                <w:szCs w:val="20"/>
                <w:color w:val="auto"/>
              </w:rPr>
            </w:pPr>
            <w:r>
              <w:rPr>
                <w:rFonts w:ascii="Arial" w:cs="Arial" w:eastAsia="Arial" w:hAnsi="Arial"/>
                <w:sz w:val="11"/>
                <w:szCs w:val="11"/>
                <w:color w:val="auto"/>
              </w:rPr>
              <w:t>Excess of</w:t>
            </w:r>
          </w:p>
        </w:tc>
        <w:tc>
          <w:tcPr>
            <w:tcW w:w="820" w:type="dxa"/>
            <w:vAlign w:val="bottom"/>
          </w:tcPr>
          <w:p>
            <w:pPr>
              <w:ind w:left="200"/>
              <w:spacing w:after="0" w:line="122" w:lineRule="exact"/>
              <w:rPr>
                <w:sz w:val="20"/>
                <w:szCs w:val="20"/>
                <w:color w:val="auto"/>
              </w:rPr>
            </w:pPr>
            <w:r>
              <w:rPr>
                <w:rFonts w:ascii="Arial" w:cs="Arial" w:eastAsia="Arial" w:hAnsi="Arial"/>
                <w:sz w:val="11"/>
                <w:szCs w:val="11"/>
                <w:color w:val="auto"/>
              </w:rPr>
              <w:t>Retained</w:t>
            </w:r>
          </w:p>
        </w:tc>
        <w:tc>
          <w:tcPr>
            <w:tcW w:w="1300" w:type="dxa"/>
            <w:vAlign w:val="bottom"/>
          </w:tcPr>
          <w:p>
            <w:pPr>
              <w:jc w:val="center"/>
              <w:spacing w:after="0" w:line="122" w:lineRule="exact"/>
              <w:rPr>
                <w:sz w:val="20"/>
                <w:szCs w:val="20"/>
                <w:color w:val="auto"/>
              </w:rPr>
            </w:pPr>
            <w:r>
              <w:rPr>
                <w:rFonts w:ascii="Arial" w:cs="Arial" w:eastAsia="Arial" w:hAnsi="Arial"/>
                <w:sz w:val="11"/>
                <w:szCs w:val="11"/>
                <w:color w:val="auto"/>
                <w:w w:val="98"/>
              </w:rPr>
              <w:t>Comprehensive</w:t>
            </w:r>
          </w:p>
        </w:tc>
        <w:tc>
          <w:tcPr>
            <w:tcW w:w="840" w:type="dxa"/>
            <w:vAlign w:val="bottom"/>
          </w:tcPr>
          <w:p>
            <w:pPr>
              <w:ind w:left="180"/>
              <w:spacing w:after="0" w:line="122" w:lineRule="exact"/>
              <w:rPr>
                <w:sz w:val="20"/>
                <w:szCs w:val="20"/>
                <w:color w:val="auto"/>
              </w:rPr>
            </w:pPr>
            <w:r>
              <w:rPr>
                <w:rFonts w:ascii="Arial" w:cs="Arial" w:eastAsia="Arial" w:hAnsi="Arial"/>
                <w:sz w:val="11"/>
                <w:szCs w:val="11"/>
                <w:color w:val="auto"/>
              </w:rPr>
              <w:t>Treasury</w:t>
            </w:r>
          </w:p>
        </w:tc>
        <w:tc>
          <w:tcPr>
            <w:tcW w:w="1120" w:type="dxa"/>
            <w:vAlign w:val="bottom"/>
          </w:tcPr>
          <w:p>
            <w:pPr>
              <w:ind w:left="220"/>
              <w:spacing w:after="0" w:line="122" w:lineRule="exact"/>
              <w:rPr>
                <w:sz w:val="20"/>
                <w:szCs w:val="20"/>
                <w:color w:val="auto"/>
              </w:rPr>
            </w:pPr>
            <w:r>
              <w:rPr>
                <w:rFonts w:ascii="Arial" w:cs="Arial" w:eastAsia="Arial" w:hAnsi="Arial"/>
                <w:sz w:val="11"/>
                <w:szCs w:val="11"/>
                <w:color w:val="auto"/>
              </w:rPr>
              <w:t>Noncontrolling</w:t>
            </w:r>
          </w:p>
        </w:tc>
        <w:tc>
          <w:tcPr>
            <w:tcW w:w="1000" w:type="dxa"/>
            <w:vAlign w:val="bottom"/>
          </w:tcPr>
          <w:p>
            <w:pPr>
              <w:spacing w:after="0"/>
              <w:rPr>
                <w:sz w:val="10"/>
                <w:szCs w:val="10"/>
                <w:color w:val="auto"/>
              </w:rPr>
            </w:pPr>
          </w:p>
        </w:tc>
        <w:tc>
          <w:tcPr>
            <w:tcW w:w="1100" w:type="dxa"/>
            <w:vAlign w:val="bottom"/>
          </w:tcPr>
          <w:p>
            <w:pPr>
              <w:jc w:val="center"/>
              <w:ind w:left="46"/>
              <w:spacing w:after="0" w:line="122" w:lineRule="exact"/>
              <w:rPr>
                <w:sz w:val="20"/>
                <w:szCs w:val="20"/>
                <w:color w:val="auto"/>
              </w:rPr>
            </w:pPr>
            <w:r>
              <w:rPr>
                <w:rFonts w:ascii="Arial" w:cs="Arial" w:eastAsia="Arial" w:hAnsi="Arial"/>
                <w:sz w:val="11"/>
                <w:szCs w:val="11"/>
                <w:color w:val="auto"/>
                <w:w w:val="96"/>
              </w:rPr>
              <w:t>Noncontrolling</w:t>
            </w:r>
          </w:p>
        </w:tc>
      </w:tr>
      <w:tr>
        <w:trPr>
          <w:trHeight w:val="146"/>
        </w:trPr>
        <w:tc>
          <w:tcPr>
            <w:tcW w:w="22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120" w:type="dxa"/>
            <w:vAlign w:val="bottom"/>
          </w:tcPr>
          <w:p>
            <w:pPr>
              <w:ind w:left="1620"/>
              <w:spacing w:after="0"/>
              <w:rPr>
                <w:sz w:val="20"/>
                <w:szCs w:val="20"/>
                <w:color w:val="auto"/>
              </w:rPr>
            </w:pPr>
            <w:r>
              <w:rPr>
                <w:rFonts w:ascii="Arial" w:cs="Arial" w:eastAsia="Arial" w:hAnsi="Arial"/>
                <w:sz w:val="11"/>
                <w:szCs w:val="11"/>
                <w:color w:val="auto"/>
              </w:rPr>
              <w:t>Stock</w:t>
            </w:r>
          </w:p>
        </w:tc>
        <w:tc>
          <w:tcPr>
            <w:tcW w:w="840" w:type="dxa"/>
            <w:vAlign w:val="bottom"/>
          </w:tcPr>
          <w:p>
            <w:pPr>
              <w:ind w:left="16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20"/>
              <w:spacing w:after="0"/>
              <w:rPr>
                <w:sz w:val="20"/>
                <w:szCs w:val="20"/>
                <w:color w:val="auto"/>
              </w:rPr>
            </w:pPr>
            <w:r>
              <w:rPr>
                <w:rFonts w:ascii="Arial" w:cs="Arial" w:eastAsia="Arial" w:hAnsi="Arial"/>
                <w:sz w:val="11"/>
                <w:szCs w:val="11"/>
                <w:color w:val="auto"/>
              </w:rPr>
              <w:t>Earnings</w:t>
            </w:r>
          </w:p>
        </w:tc>
        <w:tc>
          <w:tcPr>
            <w:tcW w:w="1300" w:type="dxa"/>
            <w:vAlign w:val="bottom"/>
          </w:tcPr>
          <w:p>
            <w:pPr>
              <w:jc w:val="center"/>
              <w:spacing w:after="0"/>
              <w:rPr>
                <w:sz w:val="20"/>
                <w:szCs w:val="20"/>
                <w:color w:val="auto"/>
              </w:rPr>
            </w:pPr>
            <w:r>
              <w:rPr>
                <w:rFonts w:ascii="Arial" w:cs="Arial" w:eastAsia="Arial" w:hAnsi="Arial"/>
                <w:sz w:val="11"/>
                <w:szCs w:val="11"/>
                <w:color w:val="auto"/>
                <w:w w:val="99"/>
              </w:rPr>
              <w:t>Income</w:t>
            </w:r>
          </w:p>
        </w:tc>
        <w:tc>
          <w:tcPr>
            <w:tcW w:w="840" w:type="dxa"/>
            <w:vAlign w:val="bottom"/>
          </w:tcPr>
          <w:p>
            <w:pPr>
              <w:ind w:left="280"/>
              <w:spacing w:after="0"/>
              <w:rPr>
                <w:sz w:val="20"/>
                <w:szCs w:val="20"/>
                <w:color w:val="auto"/>
              </w:rPr>
            </w:pPr>
            <w:r>
              <w:rPr>
                <w:rFonts w:ascii="Arial" w:cs="Arial" w:eastAsia="Arial" w:hAnsi="Arial"/>
                <w:sz w:val="11"/>
                <w:szCs w:val="11"/>
                <w:color w:val="auto"/>
              </w:rPr>
              <w:t>Stock</w:t>
            </w:r>
          </w:p>
        </w:tc>
        <w:tc>
          <w:tcPr>
            <w:tcW w:w="1120" w:type="dxa"/>
            <w:vAlign w:val="bottom"/>
          </w:tcPr>
          <w:p>
            <w:pPr>
              <w:ind w:left="400"/>
              <w:spacing w:after="0"/>
              <w:rPr>
                <w:sz w:val="20"/>
                <w:szCs w:val="20"/>
                <w:color w:val="auto"/>
              </w:rPr>
            </w:pPr>
            <w:r>
              <w:rPr>
                <w:rFonts w:ascii="Arial" w:cs="Arial" w:eastAsia="Arial" w:hAnsi="Arial"/>
                <w:sz w:val="11"/>
                <w:szCs w:val="11"/>
                <w:color w:val="auto"/>
              </w:rPr>
              <w:t>Interest</w:t>
            </w:r>
          </w:p>
        </w:tc>
        <w:tc>
          <w:tcPr>
            <w:tcW w:w="1000" w:type="dxa"/>
            <w:vAlign w:val="bottom"/>
          </w:tcPr>
          <w:p>
            <w:pPr>
              <w:ind w:left="200"/>
              <w:spacing w:after="0"/>
              <w:rPr>
                <w:sz w:val="20"/>
                <w:szCs w:val="20"/>
                <w:color w:val="auto"/>
              </w:rPr>
            </w:pPr>
            <w:r>
              <w:rPr>
                <w:rFonts w:ascii="Arial" w:cs="Arial" w:eastAsia="Arial" w:hAnsi="Arial"/>
                <w:sz w:val="11"/>
                <w:szCs w:val="11"/>
                <w:color w:val="auto"/>
              </w:rPr>
              <w:t>Total Equity</w:t>
            </w:r>
          </w:p>
        </w:tc>
        <w:tc>
          <w:tcPr>
            <w:tcW w:w="1100" w:type="dxa"/>
            <w:vAlign w:val="bottom"/>
          </w:tcPr>
          <w:p>
            <w:pPr>
              <w:jc w:val="center"/>
              <w:ind w:left="46"/>
              <w:spacing w:after="0"/>
              <w:rPr>
                <w:sz w:val="20"/>
                <w:szCs w:val="20"/>
                <w:color w:val="auto"/>
              </w:rPr>
            </w:pPr>
            <w:r>
              <w:rPr>
                <w:rFonts w:ascii="Arial" w:cs="Arial" w:eastAsia="Arial" w:hAnsi="Arial"/>
                <w:sz w:val="11"/>
                <w:szCs w:val="11"/>
                <w:color w:val="auto"/>
                <w:w w:val="97"/>
              </w:rPr>
              <w:t>Interest</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380"/>
          </w:cols>
          <w:pgMar w:left="260" w:top="709" w:right="25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As of December 31, 2018</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for the period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noncontrolling interest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 attributable to noncontrolling interest</w:t>
      </w:r>
    </w:p>
    <w:p>
      <w:pPr>
        <w:spacing w:after="0" w:line="42" w:lineRule="exact"/>
        <w:rPr>
          <w:sz w:val="20"/>
          <w:szCs w:val="20"/>
          <w:color w:val="auto"/>
        </w:rPr>
      </w:pPr>
    </w:p>
    <w:p>
      <w:pPr>
        <w:ind w:left="20" w:right="300"/>
        <w:spacing w:after="0" w:line="250"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16" w:lineRule="exact"/>
        <w:rPr>
          <w:sz w:val="20"/>
          <w:szCs w:val="20"/>
          <w:color w:val="auto"/>
        </w:rPr>
      </w:pPr>
    </w:p>
    <w:p>
      <w:pPr>
        <w:ind w:left="20"/>
        <w:spacing w:after="0" w:line="250"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on common stock</w:t>
      </w:r>
    </w:p>
    <w:p>
      <w:pPr>
        <w:spacing w:after="0" w:line="42" w:lineRule="exact"/>
        <w:rPr>
          <w:sz w:val="20"/>
          <w:szCs w:val="20"/>
          <w:color w:val="auto"/>
        </w:rPr>
      </w:pPr>
    </w:p>
    <w:p>
      <w:pPr>
        <w:ind w:left="20" w:right="20"/>
        <w:spacing w:after="0" w:line="250"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16" w:lineRule="exact"/>
        <w:rPr>
          <w:sz w:val="20"/>
          <w:szCs w:val="20"/>
          <w:color w:val="auto"/>
        </w:rPr>
      </w:pPr>
    </w:p>
    <w:p>
      <w:pPr>
        <w:ind w:left="20" w:right="120"/>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net of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redeemable noncontrolling interest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March 31, 2019</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for the period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attributable to noncontrolling interest</w:t>
      </w:r>
    </w:p>
    <w:p>
      <w:pPr>
        <w:spacing w:after="0" w:line="42" w:lineRule="exact"/>
        <w:rPr>
          <w:sz w:val="20"/>
          <w:szCs w:val="20"/>
          <w:color w:val="auto"/>
        </w:rPr>
      </w:pPr>
    </w:p>
    <w:p>
      <w:pPr>
        <w:ind w:left="20" w:right="300"/>
        <w:spacing w:after="0" w:line="250"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on common stock</w:t>
      </w:r>
    </w:p>
    <w:p>
      <w:pPr>
        <w:spacing w:after="0" w:line="42" w:lineRule="exact"/>
        <w:rPr>
          <w:sz w:val="20"/>
          <w:szCs w:val="20"/>
          <w:color w:val="auto"/>
        </w:rPr>
      </w:pPr>
    </w:p>
    <w:p>
      <w:pPr>
        <w:ind w:left="20" w:right="120"/>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 net of income taxes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June 30, 2019</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for the period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Issuance of noncontrolling interest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loss attributable to noncontrolling interest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Acquisition of noncontrolling interest</w:t>
      </w:r>
    </w:p>
    <w:p>
      <w:pPr>
        <w:spacing w:after="0" w:line="42" w:lineRule="exact"/>
        <w:rPr>
          <w:sz w:val="20"/>
          <w:szCs w:val="20"/>
          <w:color w:val="auto"/>
        </w:rPr>
      </w:pPr>
    </w:p>
    <w:p>
      <w:pPr>
        <w:ind w:left="20" w:right="40"/>
        <w:spacing w:after="0" w:line="265" w:lineRule="auto"/>
        <w:rPr>
          <w:sz w:val="20"/>
          <w:szCs w:val="20"/>
          <w:color w:val="auto"/>
        </w:rPr>
      </w:pPr>
      <w:r>
        <w:rPr>
          <w:rFonts w:ascii="Arial" w:cs="Arial" w:eastAsia="Arial" w:hAnsi="Arial"/>
          <w:sz w:val="14"/>
          <w:szCs w:val="14"/>
          <w:b w:val="1"/>
          <w:bCs w:val="1"/>
          <w:color w:val="auto"/>
        </w:rPr>
        <w:t>Net income attributable to redeemable noncontrolling interests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Dividends on common stock</w:t>
      </w:r>
    </w:p>
    <w:p>
      <w:pPr>
        <w:spacing w:after="0" w:line="42" w:lineRule="exact"/>
        <w:rPr>
          <w:sz w:val="20"/>
          <w:szCs w:val="20"/>
          <w:color w:val="auto"/>
        </w:rPr>
      </w:pPr>
    </w:p>
    <w:p>
      <w:pPr>
        <w:ind w:left="20" w:right="100"/>
        <w:spacing w:after="0" w:line="261"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1" w:lineRule="exact"/>
        <w:rPr>
          <w:sz w:val="20"/>
          <w:szCs w:val="20"/>
          <w:color w:val="auto"/>
        </w:rPr>
      </w:pPr>
    </w:p>
    <w:p>
      <w:pPr>
        <w:ind w:left="20" w:right="220"/>
        <w:spacing w:after="0" w:line="265"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63" w:lineRule="exact"/>
        <w:rPr>
          <w:sz w:val="20"/>
          <w:szCs w:val="20"/>
          <w:color w:val="auto"/>
        </w:rPr>
      </w:pPr>
    </w:p>
    <w:p>
      <w:pPr>
        <w:ind w:left="20" w:right="440"/>
        <w:spacing w:after="0" w:line="486" w:lineRule="auto"/>
        <w:rPr>
          <w:sz w:val="20"/>
          <w:szCs w:val="20"/>
          <w:color w:val="auto"/>
        </w:rPr>
      </w:pPr>
      <w:r>
        <w:rPr>
          <w:rFonts w:ascii="Arial" w:cs="Arial" w:eastAsia="Arial" w:hAnsi="Arial"/>
          <w:sz w:val="14"/>
          <w:szCs w:val="14"/>
          <w:b w:val="1"/>
          <w:bCs w:val="1"/>
          <w:color w:val="auto"/>
        </w:rPr>
        <w:t>Other comprehensive loss, net of income taxes As of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378,837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6,236,125</w:t>
            </w:r>
          </w:p>
        </w:tc>
        <w:tc>
          <w:tcPr>
            <w:tcW w:w="3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203,829</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(3,922,009)</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2,916,782</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4,346</w:t>
            </w:r>
          </w:p>
        </w:tc>
      </w:tr>
      <w:tr>
        <w:trPr>
          <w:trHeight w:val="262"/>
        </w:trPr>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81,702</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81,702</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6,000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16</w:t>
            </w: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(54)</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54</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(14,779)</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(14,779)</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3,755</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1,639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1,639</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8,290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8,290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6"/>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r>
      <w:tr>
        <w:trPr>
          <w:trHeight w:val="26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376,639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6,303,094</w:t>
            </w:r>
          </w:p>
        </w:tc>
        <w:tc>
          <w:tcPr>
            <w:tcW w:w="3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212,119</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(3,918,254)</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5,938</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2,999,536</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3,866</w:t>
            </w:r>
          </w:p>
        </w:tc>
      </w:tr>
      <w:tr>
        <w:trPr>
          <w:trHeight w:val="262"/>
        </w:trPr>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57,195</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57,195</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(7,388)</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(7,388)</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1,616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1,616</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(12,095)</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378,255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6,352,787</w:t>
            </w:r>
          </w:p>
        </w:tc>
        <w:tc>
          <w:tcPr>
            <w:tcW w:w="3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200,024</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(3,918,254)</w:t>
            </w:r>
          </w:p>
        </w:tc>
        <w:tc>
          <w:tcPr>
            <w:tcW w:w="3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6,042</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3,038,854</w:t>
            </w:r>
          </w:p>
        </w:tc>
        <w:tc>
          <w:tcPr>
            <w:tcW w:w="4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3,876</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42,965</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42,965</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536</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536</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207</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(207)</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530</w:t>
            </w:r>
          </w:p>
        </w:tc>
        <w:tc>
          <w:tcPr>
            <w:tcW w:w="2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530</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(27)</w:t>
            </w:r>
          </w:p>
        </w:tc>
        <w:tc>
          <w:tcPr>
            <w:tcW w:w="4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27</w:t>
            </w:r>
          </w:p>
        </w:tc>
      </w:tr>
      <w:tr>
        <w:trPr>
          <w:trHeight w:val="270"/>
        </w:trPr>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(7,386)</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(7,386)</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(144)</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1,669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1,669</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2"/>
        </w:trPr>
        <w:tc>
          <w:tcPr>
            <w:tcW w:w="6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(18,086)</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(18,086)</w:t>
            </w: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r>
        <w:trPr>
          <w:trHeight w:val="264"/>
        </w:trPr>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379,923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6,388,546</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181,938</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(3,918,397)</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6,901</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3,058,911</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3,903</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ectPr>
          <w:pgSz w:w="11900" w:h="16838" w:orient="portrait"/>
          <w:cols w:equalWidth="0" w:num="2">
            <w:col w:w="3500" w:space="140"/>
            <w:col w:w="7740"/>
          </w:cols>
          <w:pgMar w:left="260" w:top="709" w:right="25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709" w:right="259" w:bottom="1440" w:gutter="0" w:footer="0" w:header="0"/>
          <w:type w:val="continuous"/>
        </w:sectPr>
      </w:pPr>
    </w:p>
    <w:bookmarkStart w:id="8" w:name="page9"/>
    <w:bookmarkEnd w:id="8"/>
    <w:tbl>
      <w:tblPr>
        <w:tblLayout w:type="fixed"/>
        <w:tblInd w:w="2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7"/>
              </w:rPr>
              <w:t>Accumulated Other</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56"/>
              <w:spacing w:after="0"/>
              <w:rPr>
                <w:sz w:val="20"/>
                <w:szCs w:val="20"/>
                <w:color w:val="auto"/>
              </w:rPr>
            </w:pPr>
            <w:r>
              <w:rPr>
                <w:rFonts w:ascii="Arial" w:cs="Arial" w:eastAsia="Arial" w:hAnsi="Arial"/>
                <w:sz w:val="11"/>
                <w:szCs w:val="11"/>
                <w:color w:val="auto"/>
                <w:w w:val="96"/>
              </w:rPr>
              <w:t>Redeemable</w:t>
            </w:r>
          </w:p>
        </w:tc>
      </w:tr>
      <w:tr>
        <w:trPr>
          <w:trHeight w:val="122"/>
        </w:trPr>
        <w:tc>
          <w:tcPr>
            <w:tcW w:w="3640" w:type="dxa"/>
            <w:vAlign w:val="bottom"/>
          </w:tcPr>
          <w:p>
            <w:pPr>
              <w:spacing w:after="0"/>
              <w:rPr>
                <w:sz w:val="10"/>
                <w:szCs w:val="10"/>
                <w:color w:val="auto"/>
              </w:rPr>
            </w:pPr>
          </w:p>
        </w:tc>
        <w:tc>
          <w:tcPr>
            <w:tcW w:w="660" w:type="dxa"/>
            <w:vAlign w:val="bottom"/>
          </w:tcPr>
          <w:p>
            <w:pPr>
              <w:jc w:val="right"/>
              <w:ind w:right="37"/>
              <w:spacing w:after="0" w:line="122" w:lineRule="exact"/>
              <w:rPr>
                <w:sz w:val="20"/>
                <w:szCs w:val="20"/>
                <w:color w:val="auto"/>
              </w:rPr>
            </w:pPr>
            <w:r>
              <w:rPr>
                <w:rFonts w:ascii="Arial" w:cs="Arial" w:eastAsia="Arial" w:hAnsi="Arial"/>
                <w:sz w:val="11"/>
                <w:szCs w:val="11"/>
                <w:color w:val="auto"/>
              </w:rPr>
              <w:t>Common</w:t>
            </w:r>
          </w:p>
        </w:tc>
        <w:tc>
          <w:tcPr>
            <w:tcW w:w="180" w:type="dxa"/>
            <w:vAlign w:val="bottom"/>
          </w:tcPr>
          <w:p>
            <w:pPr>
              <w:spacing w:after="0"/>
              <w:rPr>
                <w:sz w:val="10"/>
                <w:szCs w:val="10"/>
                <w:color w:val="auto"/>
              </w:rPr>
            </w:pPr>
          </w:p>
        </w:tc>
        <w:tc>
          <w:tcPr>
            <w:tcW w:w="660" w:type="dxa"/>
            <w:vAlign w:val="bottom"/>
          </w:tcPr>
          <w:p>
            <w:pPr>
              <w:ind w:left="40"/>
              <w:spacing w:after="0" w:line="122"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10"/>
                <w:szCs w:val="10"/>
                <w:color w:val="auto"/>
              </w:rPr>
            </w:pPr>
          </w:p>
        </w:tc>
        <w:tc>
          <w:tcPr>
            <w:tcW w:w="760" w:type="dxa"/>
            <w:vAlign w:val="bottom"/>
          </w:tcPr>
          <w:p>
            <w:pPr>
              <w:jc w:val="right"/>
              <w:ind w:right="174"/>
              <w:spacing w:after="0" w:line="122" w:lineRule="exact"/>
              <w:rPr>
                <w:sz w:val="20"/>
                <w:szCs w:val="20"/>
                <w:color w:val="auto"/>
              </w:rPr>
            </w:pPr>
            <w:r>
              <w:rPr>
                <w:rFonts w:ascii="Arial" w:cs="Arial" w:eastAsia="Arial" w:hAnsi="Arial"/>
                <w:sz w:val="11"/>
                <w:szCs w:val="11"/>
                <w:color w:val="auto"/>
              </w:rPr>
              <w:t>Retained</w:t>
            </w:r>
          </w:p>
        </w:tc>
        <w:tc>
          <w:tcPr>
            <w:tcW w:w="160" w:type="dxa"/>
            <w:vAlign w:val="bottom"/>
          </w:tcPr>
          <w:p>
            <w:pPr>
              <w:spacing w:after="0"/>
              <w:rPr>
                <w:sz w:val="10"/>
                <w:szCs w:val="10"/>
                <w:color w:val="auto"/>
              </w:rPr>
            </w:pPr>
          </w:p>
        </w:tc>
        <w:tc>
          <w:tcPr>
            <w:tcW w:w="960" w:type="dxa"/>
            <w:vAlign w:val="bottom"/>
          </w:tcPr>
          <w:p>
            <w:pPr>
              <w:jc w:val="center"/>
              <w:ind w:right="55"/>
              <w:spacing w:after="0" w:line="122" w:lineRule="exact"/>
              <w:rPr>
                <w:sz w:val="20"/>
                <w:szCs w:val="20"/>
                <w:color w:val="auto"/>
              </w:rPr>
            </w:pPr>
            <w:r>
              <w:rPr>
                <w:rFonts w:ascii="Arial" w:cs="Arial" w:eastAsia="Arial" w:hAnsi="Arial"/>
                <w:sz w:val="11"/>
                <w:szCs w:val="11"/>
                <w:color w:val="auto"/>
                <w:w w:val="98"/>
              </w:rPr>
              <w:t>Comprehensive</w:t>
            </w:r>
          </w:p>
        </w:tc>
        <w:tc>
          <w:tcPr>
            <w:tcW w:w="200" w:type="dxa"/>
            <w:vAlign w:val="bottom"/>
          </w:tcPr>
          <w:p>
            <w:pPr>
              <w:spacing w:after="0"/>
              <w:rPr>
                <w:sz w:val="10"/>
                <w:szCs w:val="10"/>
                <w:color w:val="auto"/>
              </w:rPr>
            </w:pPr>
          </w:p>
        </w:tc>
        <w:tc>
          <w:tcPr>
            <w:tcW w:w="820" w:type="dxa"/>
            <w:vAlign w:val="bottom"/>
          </w:tcPr>
          <w:p>
            <w:pPr>
              <w:jc w:val="right"/>
              <w:ind w:right="235"/>
              <w:spacing w:after="0" w:line="122" w:lineRule="exact"/>
              <w:rPr>
                <w:sz w:val="20"/>
                <w:szCs w:val="20"/>
                <w:color w:val="auto"/>
              </w:rPr>
            </w:pPr>
            <w:r>
              <w:rPr>
                <w:rFonts w:ascii="Arial" w:cs="Arial" w:eastAsia="Arial" w:hAnsi="Arial"/>
                <w:sz w:val="11"/>
                <w:szCs w:val="11"/>
                <w:color w:val="auto"/>
              </w:rPr>
              <w:t>Treasury</w:t>
            </w:r>
          </w:p>
        </w:tc>
        <w:tc>
          <w:tcPr>
            <w:tcW w:w="140" w:type="dxa"/>
            <w:vAlign w:val="bottom"/>
          </w:tcPr>
          <w:p>
            <w:pPr>
              <w:spacing w:after="0"/>
              <w:rPr>
                <w:sz w:val="10"/>
                <w:szCs w:val="10"/>
                <w:color w:val="auto"/>
              </w:rPr>
            </w:pPr>
          </w:p>
        </w:tc>
        <w:tc>
          <w:tcPr>
            <w:tcW w:w="860" w:type="dxa"/>
            <w:vAlign w:val="bottom"/>
          </w:tcPr>
          <w:p>
            <w:pPr>
              <w:ind w:left="20"/>
              <w:spacing w:after="0" w:line="122" w:lineRule="exact"/>
              <w:rPr>
                <w:sz w:val="20"/>
                <w:szCs w:val="20"/>
                <w:color w:val="auto"/>
              </w:rPr>
            </w:pPr>
            <w:r>
              <w:rPr>
                <w:rFonts w:ascii="Arial" w:cs="Arial" w:eastAsia="Arial" w:hAnsi="Arial"/>
                <w:sz w:val="11"/>
                <w:szCs w:val="11"/>
                <w:color w:val="auto"/>
              </w:rPr>
              <w:t>Noncontrolling</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56"/>
              <w:spacing w:after="0" w:line="122" w:lineRule="exact"/>
              <w:rPr>
                <w:sz w:val="20"/>
                <w:szCs w:val="20"/>
                <w:color w:val="auto"/>
              </w:rPr>
            </w:pPr>
            <w:r>
              <w:rPr>
                <w:rFonts w:ascii="Arial" w:cs="Arial" w:eastAsia="Arial" w:hAnsi="Arial"/>
                <w:sz w:val="11"/>
                <w:szCs w:val="11"/>
                <w:color w:val="auto"/>
                <w:w w:val="96"/>
              </w:rPr>
              <w:t>Noncontrolling</w:t>
            </w:r>
          </w:p>
        </w:tc>
      </w:tr>
      <w:tr>
        <w:trPr>
          <w:trHeight w:val="146"/>
        </w:trPr>
        <w:tc>
          <w:tcPr>
            <w:tcW w:w="36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60" w:type="dxa"/>
            <w:vAlign w:val="bottom"/>
          </w:tcPr>
          <w:p>
            <w:pPr>
              <w:jc w:val="right"/>
              <w:ind w:right="97"/>
              <w:spacing w:after="0"/>
              <w:rPr>
                <w:sz w:val="20"/>
                <w:szCs w:val="20"/>
                <w:color w:val="auto"/>
              </w:rPr>
            </w:pPr>
            <w:r>
              <w:rPr>
                <w:rFonts w:ascii="Arial" w:cs="Arial" w:eastAsia="Arial" w:hAnsi="Arial"/>
                <w:sz w:val="11"/>
                <w:szCs w:val="11"/>
                <w:color w:val="auto"/>
              </w:rPr>
              <w:t>Stock</w:t>
            </w:r>
          </w:p>
        </w:tc>
        <w:tc>
          <w:tcPr>
            <w:tcW w:w="18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2"/>
                <w:szCs w:val="12"/>
                <w:color w:val="auto"/>
              </w:rPr>
            </w:pPr>
          </w:p>
        </w:tc>
        <w:tc>
          <w:tcPr>
            <w:tcW w:w="760" w:type="dxa"/>
            <w:vAlign w:val="bottom"/>
          </w:tcPr>
          <w:p>
            <w:pPr>
              <w:jc w:val="right"/>
              <w:ind w:right="154"/>
              <w:spacing w:after="0"/>
              <w:rPr>
                <w:sz w:val="20"/>
                <w:szCs w:val="20"/>
                <w:color w:val="auto"/>
              </w:rPr>
            </w:pPr>
            <w:r>
              <w:rPr>
                <w:rFonts w:ascii="Arial" w:cs="Arial" w:eastAsia="Arial" w:hAnsi="Arial"/>
                <w:sz w:val="11"/>
                <w:szCs w:val="11"/>
                <w:color w:val="auto"/>
              </w:rPr>
              <w:t>Earnings</w:t>
            </w:r>
          </w:p>
        </w:tc>
        <w:tc>
          <w:tcPr>
            <w:tcW w:w="160" w:type="dxa"/>
            <w:vAlign w:val="bottom"/>
          </w:tcPr>
          <w:p>
            <w:pPr>
              <w:spacing w:after="0"/>
              <w:rPr>
                <w:sz w:val="12"/>
                <w:szCs w:val="12"/>
                <w:color w:val="auto"/>
              </w:rPr>
            </w:pPr>
          </w:p>
        </w:tc>
        <w:tc>
          <w:tcPr>
            <w:tcW w:w="960" w:type="dxa"/>
            <w:vAlign w:val="bottom"/>
          </w:tcPr>
          <w:p>
            <w:pPr>
              <w:jc w:val="center"/>
              <w:ind w:right="55"/>
              <w:spacing w:after="0"/>
              <w:rPr>
                <w:sz w:val="20"/>
                <w:szCs w:val="20"/>
                <w:color w:val="auto"/>
              </w:rPr>
            </w:pPr>
            <w:r>
              <w:rPr>
                <w:rFonts w:ascii="Arial" w:cs="Arial" w:eastAsia="Arial" w:hAnsi="Arial"/>
                <w:sz w:val="11"/>
                <w:szCs w:val="11"/>
                <w:color w:val="auto"/>
                <w:w w:val="99"/>
              </w:rPr>
              <w:t>Income</w:t>
            </w:r>
          </w:p>
        </w:tc>
        <w:tc>
          <w:tcPr>
            <w:tcW w:w="200" w:type="dxa"/>
            <w:vAlign w:val="bottom"/>
          </w:tcPr>
          <w:p>
            <w:pPr>
              <w:spacing w:after="0"/>
              <w:rPr>
                <w:sz w:val="12"/>
                <w:szCs w:val="12"/>
                <w:color w:val="auto"/>
              </w:rPr>
            </w:pPr>
          </w:p>
        </w:tc>
        <w:tc>
          <w:tcPr>
            <w:tcW w:w="820" w:type="dxa"/>
            <w:vAlign w:val="bottom"/>
          </w:tcPr>
          <w:p>
            <w:pPr>
              <w:jc w:val="right"/>
              <w:ind w:right="295"/>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Arial" w:cs="Arial" w:eastAsia="Arial" w:hAnsi="Arial"/>
                <w:sz w:val="11"/>
                <w:szCs w:val="11"/>
                <w:color w:val="auto"/>
              </w:rPr>
              <w:t>Interest</w:t>
            </w:r>
          </w:p>
        </w:tc>
        <w:tc>
          <w:tcPr>
            <w:tcW w:w="200" w:type="dxa"/>
            <w:vAlign w:val="bottom"/>
          </w:tcPr>
          <w:p>
            <w:pPr>
              <w:spacing w:after="0"/>
              <w:rPr>
                <w:sz w:val="12"/>
                <w:szCs w:val="12"/>
                <w:color w:val="auto"/>
              </w:rPr>
            </w:pPr>
          </w:p>
        </w:tc>
        <w:tc>
          <w:tcPr>
            <w:tcW w:w="880" w:type="dxa"/>
            <w:vAlign w:val="bottom"/>
          </w:tcPr>
          <w:p>
            <w:pPr>
              <w:jc w:val="right"/>
              <w:ind w:right="193"/>
              <w:spacing w:after="0"/>
              <w:rPr>
                <w:sz w:val="20"/>
                <w:szCs w:val="20"/>
                <w:color w:val="auto"/>
              </w:rPr>
            </w:pPr>
            <w:r>
              <w:rPr>
                <w:rFonts w:ascii="Arial" w:cs="Arial" w:eastAsia="Arial" w:hAnsi="Arial"/>
                <w:sz w:val="11"/>
                <w:szCs w:val="11"/>
                <w:color w:val="auto"/>
              </w:rPr>
              <w:t>Total Equity</w:t>
            </w:r>
          </w:p>
        </w:tc>
        <w:tc>
          <w:tcPr>
            <w:tcW w:w="200" w:type="dxa"/>
            <w:vAlign w:val="bottom"/>
          </w:tcPr>
          <w:p>
            <w:pPr>
              <w:spacing w:after="0"/>
              <w:rPr>
                <w:sz w:val="12"/>
                <w:szCs w:val="12"/>
                <w:color w:val="auto"/>
              </w:rPr>
            </w:pPr>
          </w:p>
        </w:tc>
        <w:tc>
          <w:tcPr>
            <w:tcW w:w="880" w:type="dxa"/>
            <w:vAlign w:val="bottom"/>
          </w:tcPr>
          <w:p>
            <w:pPr>
              <w:jc w:val="center"/>
              <w:ind w:right="56"/>
              <w:spacing w:after="0"/>
              <w:rPr>
                <w:sz w:val="20"/>
                <w:szCs w:val="20"/>
                <w:color w:val="auto"/>
              </w:rPr>
            </w:pPr>
            <w:r>
              <w:rPr>
                <w:rFonts w:ascii="Arial" w:cs="Arial" w:eastAsia="Arial" w:hAnsi="Arial"/>
                <w:sz w:val="11"/>
                <w:szCs w:val="11"/>
                <w:color w:val="auto"/>
                <w:w w:val="97"/>
              </w:rPr>
              <w:t>Interest</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370,700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5,791,724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535,555</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(3,802,834)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2,915,145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4,607</w:t>
            </w:r>
          </w:p>
        </w:tc>
      </w:tr>
      <w:tr>
        <w:trPr>
          <w:trHeight w:val="262"/>
        </w:trPr>
        <w:tc>
          <w:tcPr>
            <w:tcW w:w="3640" w:type="dxa"/>
            <w:vAlign w:val="bottom"/>
          </w:tcPr>
          <w:p>
            <w:pPr>
              <w:ind w:left="20"/>
              <w:spacing w:after="0"/>
              <w:rPr>
                <w:sz w:val="20"/>
                <w:szCs w:val="20"/>
                <w:color w:val="auto"/>
              </w:rPr>
            </w:pPr>
            <w:r>
              <w:rPr>
                <w:rFonts w:ascii="Arial" w:cs="Arial" w:eastAsia="Arial" w:hAnsi="Arial"/>
                <w:sz w:val="14"/>
                <w:szCs w:val="14"/>
                <w:color w:val="auto"/>
              </w:rPr>
              <w:t>Net income for the period</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42,965</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42,965</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Net income attributable to redeemable noncontrolling</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73</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Dividends on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(14,638)</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(14,638)</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Repurchase of Class B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(79,001)</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(79,001)</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Class B common stock, net of restricted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award forfeitures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Amortization of unearned stock compensation and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option expense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2,325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2,325</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Other comprehensive income, net of income taxes</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10,812</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10,812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6"/>
        </w:trPr>
        <w:tc>
          <w:tcPr>
            <w:tcW w:w="3640" w:type="dxa"/>
            <w:vAlign w:val="bottom"/>
          </w:tcPr>
          <w:p>
            <w:pPr>
              <w:ind w:left="20"/>
              <w:spacing w:after="0"/>
              <w:rPr>
                <w:sz w:val="20"/>
                <w:szCs w:val="20"/>
                <w:color w:val="auto"/>
              </w:rPr>
            </w:pPr>
            <w:r>
              <w:rPr>
                <w:rFonts w:ascii="Arial" w:cs="Arial" w:eastAsia="Arial" w:hAnsi="Arial"/>
                <w:sz w:val="14"/>
                <w:szCs w:val="14"/>
                <w:color w:val="auto"/>
              </w:rPr>
              <w:t>Cumulative effect of accounting change</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201,812</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(194,889)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6,923</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6"/>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372,836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6,021,790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351,478</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(3,881,716)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2,884,388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4,680</w:t>
            </w:r>
          </w:p>
        </w:tc>
      </w:tr>
      <w:tr>
        <w:trPr>
          <w:trHeight w:val="262"/>
        </w:trPr>
        <w:tc>
          <w:tcPr>
            <w:tcW w:w="3640" w:type="dxa"/>
            <w:vAlign w:val="bottom"/>
          </w:tcPr>
          <w:p>
            <w:pPr>
              <w:ind w:left="20"/>
              <w:spacing w:after="0"/>
              <w:rPr>
                <w:sz w:val="20"/>
                <w:szCs w:val="20"/>
                <w:color w:val="auto"/>
              </w:rPr>
            </w:pPr>
            <w:r>
              <w:rPr>
                <w:rFonts w:ascii="Arial" w:cs="Arial" w:eastAsia="Arial" w:hAnsi="Arial"/>
                <w:sz w:val="14"/>
                <w:szCs w:val="14"/>
                <w:color w:val="auto"/>
              </w:rPr>
              <w:t>Net income for the period</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46,635</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46,635</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Net income attributable to redeemable noncontrolling</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70</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Dividends on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(6,949)</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(6,949)</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Repurchase of Class B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(15,091)</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(15,091)</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Class B common stock, net of restricted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award forfeitures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(990)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Amortization of unearned stock compensation and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option expense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2,162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2,162</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6"/>
        </w:trPr>
        <w:tc>
          <w:tcPr>
            <w:tcW w:w="3640" w:type="dxa"/>
            <w:vAlign w:val="bottom"/>
          </w:tcPr>
          <w:p>
            <w:pPr>
              <w:ind w:left="20"/>
              <w:spacing w:after="0"/>
              <w:rPr>
                <w:sz w:val="20"/>
                <w:szCs w:val="20"/>
                <w:color w:val="auto"/>
              </w:rPr>
            </w:pPr>
            <w:r>
              <w:rPr>
                <w:rFonts w:ascii="Arial" w:cs="Arial" w:eastAsia="Arial" w:hAnsi="Arial"/>
                <w:sz w:val="14"/>
                <w:szCs w:val="14"/>
                <w:color w:val="auto"/>
              </w:rPr>
              <w:t>Other comprehensive loss, net of income taxes</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(33,221)</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6"/>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June 30, 2018</w:t>
            </w: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374,502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6,061,406</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318,257</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(3,897,301)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2,876,864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4,750</w:t>
            </w:r>
          </w:p>
        </w:tc>
      </w:tr>
      <w:tr>
        <w:trPr>
          <w:trHeight w:val="262"/>
        </w:trPr>
        <w:tc>
          <w:tcPr>
            <w:tcW w:w="3640" w:type="dxa"/>
            <w:vAlign w:val="bottom"/>
          </w:tcPr>
          <w:p>
            <w:pPr>
              <w:ind w:left="20"/>
              <w:spacing w:after="0"/>
              <w:rPr>
                <w:sz w:val="20"/>
                <w:szCs w:val="20"/>
                <w:color w:val="auto"/>
              </w:rPr>
            </w:pPr>
            <w:r>
              <w:rPr>
                <w:rFonts w:ascii="Arial" w:cs="Arial" w:eastAsia="Arial" w:hAnsi="Arial"/>
                <w:sz w:val="14"/>
                <w:szCs w:val="14"/>
                <w:color w:val="auto"/>
              </w:rPr>
              <w:t>Net income for the period</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125,070</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125,070</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Net income attributable to redeemable noncontrolling</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6</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Dividends on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(7,048)</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(7,048)</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Repurchase of Class B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(16,757)</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(16,757)</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Class B common stock, net of restricted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award forfeitures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Amortization of unearned stock compensation and 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4"/>
                <w:szCs w:val="14"/>
                <w:color w:val="auto"/>
              </w:rPr>
              <w:t>option expense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1,937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1,937</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Other comprehensive loss, net of income taxes</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(5,202)</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(5,202)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6"/>
        </w:trPr>
        <w:tc>
          <w:tcPr>
            <w:tcW w:w="3640" w:type="dxa"/>
            <w:vAlign w:val="bottom"/>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2018</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376,412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6,179,422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313,055</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(3,914,058)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2,974,831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4,706</w:t>
            </w:r>
          </w:p>
        </w:tc>
      </w:tr>
      <w:tr>
        <w:trPr>
          <w:trHeight w:val="20"/>
        </w:trPr>
        <w:tc>
          <w:tcPr>
            <w:tcW w:w="3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74" w:right="259" w:bottom="1440" w:gutter="0" w:footer="0" w:header="0"/>
        </w:sectPr>
      </w:pPr>
    </w:p>
    <w:bookmarkStart w:id="9" w:name="page10"/>
    <w:bookmarkEnd w:id="9"/>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restaurants and entertainment venues and home health and hospice services.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6"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2019 and 2018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2018.</w:t>
      </w:r>
    </w:p>
    <w:p>
      <w:pPr>
        <w:spacing w:after="0" w:line="11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9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February 2016,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previous guidance for operating leases. This new guidance supersedes all prior guidance. The guidance is effective for interim and fiscal years beginning after December 15, 2018. The standard provides two methods of adoption under the modified retrospective approach. Under the comparative date method, lessees and lessors are required to recognize and measure leases as of the beginning of the earliest period presented. Under the effective date method, lessees and lessors are required to recognize and measure leases as of the period of adoption. The Company adopted the new guidance on January 1, 2019 using the effective date method.</w:t>
      </w:r>
    </w:p>
    <w:p>
      <w:pPr>
        <w:spacing w:after="0" w:line="11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Company elected the available package of transition practical expedients, which allowed the Company to use its historical assessments of whether contracts are or contain leases, lease classification and initial direct costs. Additionally, the Company elected the transition practical expedient to use hindsight to determine the lease term. Upon adoption of the new guidance, the Company recognized right-of-use assets of $369.3 million and lease liabilities of $418.3 million.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5" w:right="239" w:bottom="1440" w:gutter="0" w:footer="0" w:header="0"/>
        </w:sectPr>
      </w:pPr>
    </w:p>
    <w:bookmarkStart w:id="10" w:name="page11"/>
    <w:bookmarkEnd w:id="10"/>
    <w:p>
      <w:pPr>
        <w:ind w:right="360"/>
        <w:spacing w:after="0" w:line="260" w:lineRule="auto"/>
        <w:rPr>
          <w:sz w:val="20"/>
          <w:szCs w:val="20"/>
          <w:color w:val="auto"/>
        </w:rPr>
      </w:pPr>
      <w:r>
        <w:rPr>
          <w:rFonts w:ascii="Arial" w:cs="Arial" w:eastAsia="Arial" w:hAnsi="Arial"/>
          <w:sz w:val="18"/>
          <w:szCs w:val="18"/>
          <w:color w:val="auto"/>
        </w:rPr>
        <w:t>The cumulative effect of the changes to the Company’s Condensed Consolidated Balance Sheets as a result of adopting the new guidance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203"/>
        </w:trPr>
        <w:tc>
          <w:tcPr>
            <w:tcW w:w="4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31, 2018</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57"/>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5"/>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82,723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(5,595)</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77,128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Right-of-Use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369,333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369,333</w:t>
            </w:r>
          </w:p>
        </w:tc>
      </w:tr>
      <w:tr>
        <w:trPr>
          <w:trHeight w:val="278"/>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5"/>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486,578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(14,029)</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472,549</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86,747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86,747</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57,901</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(40,500)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17,401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331,520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331,520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nine months of 2019, the Company acquired seven businesses; one in education, two in healthcare, one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three in other businesses for $191.6 million in cash and contingent consideration and the assumption of $25.8 million in floor plan payables.</w:t>
      </w:r>
    </w:p>
    <w:p>
      <w:pPr>
        <w:spacing w:after="0" w:line="10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5). In connection with the acquisition, the automotive subsidiary of the Company borrowed $30 million to finance the acquisition and entered into an interest rate swap to fix the interest rate on the debt at 4.7% per annum (see Note 8).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 addition, the Company advanced $ 3.5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0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July 2019, Graham Healthcare Group (GHG) acquired an interest in a small business which is expected to provide certain strategic benefits in the future and is included in healthcare. On July 11, 2019, Kaplan acquired Heverald, the owner of ESL Education, Europe’s largest language-travel agency and Alpadia, a chain of German and French language schools and junior summer camps. The acquisition is expected to provide synergies within Kaplan’s International English business and is included in its international division.</w:t>
      </w:r>
    </w:p>
    <w:p>
      <w:pPr>
        <w:spacing w:after="0" w:line="11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13 restaurants and entertainment venues in the Washington, DC metropolitan area, including Old Ebbitt Grill and The Hamilton, two of the top 20 highest grossing independent restaurants in the United States. CRG is managed by its existing management team as a wholly-owned subsidiary of the Company. The acquisition is expected to provide benefits in the future by diversifying the Company’s business operations and is included in other businesses.</w:t>
      </w:r>
    </w:p>
    <w:p>
      <w:pPr>
        <w:spacing w:after="0" w:line="11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9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During 2018, the Company acquired eight businesses, five in education, one in manufacturing, one in healthcare, and one in SocialCode for $121.1 million in cash and contingent consideration. The assets and liabilities of the companies acquired were recorded at their estimated fair values at the date of acquisition.</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0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11"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7" w:right="239" w:bottom="1440" w:gutter="0" w:footer="0" w:header="0"/>
        </w:sectPr>
      </w:pPr>
    </w:p>
    <w:bookmarkStart w:id="11" w:name="page12"/>
    <w:bookmarkEnd w:id="11"/>
    <w:p>
      <w:pPr>
        <w:ind w:right="400"/>
        <w:spacing w:after="0" w:line="260" w:lineRule="auto"/>
        <w:rPr>
          <w:sz w:val="20"/>
          <w:szCs w:val="20"/>
          <w:color w:val="auto"/>
        </w:rPr>
      </w:pPr>
      <w:r>
        <w:rPr>
          <w:rFonts w:ascii="Arial" w:cs="Arial" w:eastAsia="Arial" w:hAnsi="Arial"/>
          <w:sz w:val="18"/>
          <w:szCs w:val="18"/>
          <w:color w:val="auto"/>
        </w:rPr>
        <w:t>certification, a Master of Science in Personal Financial Planning, or a Master of Science in Finance. The acquisition is expected to expand Kaplan’s financial education product offerings and is included in Professional (U.S.).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manufacturing.</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Acquisition-related costs for acquisitions that closed during the first nine months of 2019 were $2.3 million and were expensed as incurred. Acquisition-related costs for acquisitions that closed during the first nine months of 2018 were $1.2 million and were expensed as incurred. The aggregate purchase price of the 2019 and 2018 acquisitions was allocated as follows (2019 on a preliminary basis), based on acquisition date fair values to the following assets and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Purchase Price Allocation</w:t>
            </w:r>
          </w:p>
        </w:tc>
      </w:tr>
      <w:tr>
        <w:trPr>
          <w:trHeight w:val="249"/>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301"/>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21"/>
                <w:szCs w:val="21"/>
                <w:color w:val="auto"/>
              </w:rPr>
            </w:pPr>
          </w:p>
        </w:tc>
        <w:tc>
          <w:tcPr>
            <w:tcW w:w="1960" w:type="dxa"/>
            <w:vAlign w:val="bottom"/>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271"/>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2018</w:t>
            </w:r>
          </w:p>
        </w:tc>
      </w:tr>
      <w:tr>
        <w:trPr>
          <w:trHeight w:val="257"/>
        </w:trPr>
        <w:tc>
          <w:tcPr>
            <w:tcW w:w="69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4,697</w:t>
            </w:r>
          </w:p>
        </w:tc>
        <w:tc>
          <w:tcPr>
            <w:tcW w:w="32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2,344</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31,750</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1,268</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52,577</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1,518</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100,933</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63,387</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41,840</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46,900</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21,291</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78,427</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3"/>
                <w:szCs w:val="23"/>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b w:val="1"/>
                <w:bCs w:val="1"/>
                <w:color w:val="auto"/>
              </w:rPr>
              <w:t>8,352</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5,198</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Floor plan payables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(25,755)</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(38,828)</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(2,191)</w:t>
            </w:r>
          </w:p>
        </w:tc>
        <w:tc>
          <w:tcPr>
            <w:tcW w:w="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(4,900)</w:t>
            </w:r>
          </w:p>
        </w:tc>
      </w:tr>
      <w:tr>
        <w:trPr>
          <w:trHeight w:val="270"/>
        </w:trPr>
        <w:tc>
          <w:tcPr>
            <w:tcW w:w="6900" w:type="dxa"/>
            <w:vAlign w:val="bottom"/>
          </w:tcPr>
          <w:p>
            <w:pPr>
              <w:ind w:left="40"/>
              <w:spacing w:after="0"/>
              <w:rPr>
                <w:sz w:val="20"/>
                <w:szCs w:val="20"/>
                <w:color w:val="auto"/>
              </w:rPr>
            </w:pPr>
            <w:r>
              <w:rPr>
                <w:rFonts w:ascii="Arial" w:cs="Arial" w:eastAsia="Arial" w:hAnsi="Arial"/>
                <w:sz w:val="16"/>
                <w:szCs w:val="16"/>
                <w:color w:val="auto"/>
              </w:rPr>
              <w:t>Current and noncurrent lease liabilities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(97,996)</w:t>
            </w:r>
          </w:p>
        </w:tc>
        <w:tc>
          <w:tcPr>
            <w:tcW w:w="320" w:type="dxa"/>
            <w:vAlign w:val="bottom"/>
          </w:tcPr>
          <w:p>
            <w:pPr>
              <w:spacing w:after="0"/>
              <w:rPr>
                <w:sz w:val="23"/>
                <w:szCs w:val="23"/>
                <w:color w:val="auto"/>
              </w:rPr>
            </w:pP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690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w:t>
            </w:r>
          </w:p>
        </w:tc>
        <w:tc>
          <w:tcPr>
            <w:tcW w:w="3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9"/>
        </w:trPr>
        <w:tc>
          <w:tcPr>
            <w:tcW w:w="690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164,587</w:t>
            </w:r>
          </w:p>
        </w:tc>
        <w:tc>
          <w:tcPr>
            <w:tcW w:w="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118,017</w:t>
            </w:r>
          </w:p>
        </w:tc>
      </w:tr>
      <w:tr>
        <w:trPr>
          <w:trHeight w:val="20"/>
        </w:trPr>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2019 fair values recorded were based upon preliminary valuations and the estimates and assumptions used in such valuations are subject to change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$49.0 million and $32.3 million of goodwill for income tax purposes for the acquisitions completed in 2019, and 2018, respectively.</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97" w:right="279" w:bottom="1440" w:gutter="0" w:footer="0" w:header="0"/>
        </w:sectPr>
      </w:pPr>
    </w:p>
    <w:bookmarkStart w:id="12" w:name="page13"/>
    <w:bookmarkEnd w:id="12"/>
    <w:p>
      <w:pPr>
        <w:ind w:right="140"/>
        <w:spacing w:after="0" w:line="229"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losses for the companies acquired in 2019 of $96.2 million and $2.0 million, respectively, for the third quarter of 2019. The Company’s Condensed Consolidated Statements of Operations include aggregate revenues and operating losses of $199.6 million and $0.5 million, respectively, for the first nine months of 2019. The following unaudited pro forma financial information presents the Company’s results as if the current year acquisitions had occurred at the beginning of 2018. The unaudited pro forma information also includes the 2018 acquisitions as if they occurred at the beginning of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750,076</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787,808</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2,267,502</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2,349,342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43,849</w:t>
            </w:r>
          </w:p>
        </w:tc>
        <w:tc>
          <w:tcPr>
            <w:tcW w:w="5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125,761</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178,551</w:t>
            </w:r>
          </w:p>
        </w:tc>
        <w:tc>
          <w:tcPr>
            <w:tcW w:w="58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217,589</w:t>
            </w:r>
          </w:p>
        </w:tc>
      </w:tr>
    </w:tbl>
    <w:p>
      <w:pPr>
        <w:spacing w:after="0" w:line="13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The Company recorded a $0.5 million contingent consideration gain in each of the three months ended September 30, 2019 and September 30, 2018. In the nine months ended September 30, 2019 and September 30, 2018, the Company recorded a $0.9 million and $1.9 million contingent consideration gain,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4660" w:type="dxa"/>
            <w:vAlign w:val="bottom"/>
          </w:tcPr>
          <w:p>
            <w:pPr>
              <w:jc w:val="center"/>
              <w:ind w:left="312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right"/>
              <w:ind w:right="26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660" w:type="dxa"/>
            <w:vAlign w:val="bottom"/>
            <w:tcBorders>
              <w:bottom w:val="single" w:sz="8" w:color="auto"/>
            </w:tcBorders>
          </w:tcPr>
          <w:p>
            <w:pPr>
              <w:jc w:val="center"/>
              <w:ind w:left="3125"/>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September 30, 2018</w:t>
            </w:r>
          </w:p>
        </w:tc>
      </w:tr>
      <w:tr>
        <w:trPr>
          <w:trHeight w:val="257"/>
        </w:trPr>
        <w:tc>
          <w:tcPr>
            <w:tcW w:w="4260" w:type="dxa"/>
            <w:vAlign w:val="bottom"/>
          </w:tcPr>
          <w:p>
            <w:pPr>
              <w:ind w:left="40"/>
              <w:spacing w:after="0"/>
              <w:rPr>
                <w:sz w:val="20"/>
                <w:szCs w:val="20"/>
                <w:color w:val="auto"/>
              </w:rPr>
            </w:pPr>
            <w:r>
              <w:rPr>
                <w:rFonts w:ascii="Arial" w:cs="Arial" w:eastAsia="Arial" w:hAnsi="Arial"/>
                <w:sz w:val="16"/>
                <w:szCs w:val="16"/>
                <w:color w:val="auto"/>
              </w:rPr>
              <w:t>Revenue</w:t>
            </w:r>
          </w:p>
        </w:tc>
        <w:tc>
          <w:tcPr>
            <w:tcW w:w="4660" w:type="dxa"/>
            <w:vAlign w:val="bottom"/>
          </w:tcPr>
          <w:p>
            <w:pPr>
              <w:jc w:val="right"/>
              <w:ind w:right="1565"/>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91,526</w:t>
            </w:r>
          </w:p>
        </w:tc>
      </w:tr>
      <w:tr>
        <w:trPr>
          <w:trHeight w:val="270"/>
        </w:trPr>
        <w:tc>
          <w:tcPr>
            <w:tcW w:w="42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66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213</w:t>
            </w:r>
          </w:p>
        </w:tc>
      </w:tr>
    </w:tbl>
    <w:p>
      <w:pPr>
        <w:spacing w:after="0" w:line="320"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 (see Note 13).</w:t>
      </w:r>
    </w:p>
    <w:p>
      <w:pPr>
        <w:spacing w:after="0" w:line="10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September 30, 2019, the Company had no money market investments, compared to $ 75.5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 that are classified as cash and cash equivalents in the Company’s Condensed Consolidated Balance Sheets.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282,349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282,563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253,215</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216,111</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535,564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496,390</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Company purchased $7.5 million of marketable equity securities during the first nine months of 2019. There were no purchases of marketable equity securities during the first nine months of 2018.</w:t>
      </w:r>
    </w:p>
    <w:p>
      <w:pPr>
        <w:spacing w:after="0" w:line="9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During the first nine months of 2019, the gross cumulative realized gains from the sales of marketable equity securities were $9.6 million. The total proceeds from such sales were $17.6 million. During the first nine months of 2018, the gross cumulative realized gains from the sales of marketable equity securities were $37.3 million. The total proceeds from such sales were $66.7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gain on marketable equity securities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7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r>
      <w:tr>
        <w:trPr>
          <w:trHeight w:val="257"/>
        </w:trPr>
        <w:tc>
          <w:tcPr>
            <w:tcW w:w="7200" w:type="dxa"/>
            <w:vAlign w:val="bottom"/>
          </w:tcPr>
          <w:p>
            <w:pPr>
              <w:ind w:left="4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17,404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44,962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63"/>
              <w:spacing w:after="0"/>
              <w:rPr>
                <w:sz w:val="20"/>
                <w:szCs w:val="20"/>
                <w:color w:val="auto"/>
              </w:rPr>
            </w:pPr>
            <w:r>
              <w:rPr>
                <w:rFonts w:ascii="Arial" w:cs="Arial" w:eastAsia="Arial" w:hAnsi="Arial"/>
                <w:sz w:val="16"/>
                <w:szCs w:val="16"/>
                <w:b w:val="1"/>
                <w:bCs w:val="1"/>
                <w:color w:val="auto"/>
              </w:rPr>
              <w:t>49,261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28,306</w:t>
            </w:r>
          </w:p>
        </w:tc>
      </w:tr>
      <w:tr>
        <w:trPr>
          <w:trHeight w:val="274"/>
        </w:trPr>
        <w:tc>
          <w:tcPr>
            <w:tcW w:w="7200" w:type="dxa"/>
            <w:vAlign w:val="bottom"/>
          </w:tcPr>
          <w:p>
            <w:pPr>
              <w:ind w:left="4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61</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(2,919)</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4,271</w:t>
            </w:r>
          </w:p>
        </w:tc>
      </w:tr>
      <w:tr>
        <w:trPr>
          <w:trHeight w:val="266"/>
        </w:trPr>
        <w:tc>
          <w:tcPr>
            <w:tcW w:w="7200" w:type="dxa"/>
            <w:vAlign w:val="bottom"/>
          </w:tcPr>
          <w:p>
            <w:pPr>
              <w:ind w:left="40"/>
              <w:spacing w:after="0"/>
              <w:rPr>
                <w:sz w:val="20"/>
                <w:szCs w:val="20"/>
                <w:color w:val="auto"/>
              </w:rPr>
            </w:pPr>
            <w:r>
              <w:rPr>
                <w:rFonts w:ascii="Arial" w:cs="Arial" w:eastAsia="Arial" w:hAnsi="Arial"/>
                <w:sz w:val="16"/>
                <w:szCs w:val="16"/>
                <w:color w:val="auto"/>
              </w:rPr>
              <w:t>Net unrealized gains in earnings from marketable equity securities still held at the end of the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17,465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44,962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46,342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32,577</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September 30, 2019, the Company held an approximate 11%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nine months ended September 30, 2019, the Company recorded $2.4 million and $7.0 million, respectively in revenue for services provided to the affiliates of GHG. For the three and nine months ended September 30, 2018, the Company recorded $2.5 million and $9.5 million, respectively, in revenue for services provided to the affiliates of GHG. In the third quarter of 2018, the Company recorded $7.9 million in gains in equity in earnings of affiliates related to two of its investments.</w:t>
      </w:r>
    </w:p>
    <w:p>
      <w:pPr>
        <w:spacing w:after="0" w:line="11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accounts for this investment under the equity method, and included it in Investments in Affiliates on the Condensed Consolidated Balance Sheet. Timothy J. O’Shaughnessy, President and Chief Executive Officer of Graham Holdings Company, is a personal investor in Framebridge and serves as Chairman of the Board.</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9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is repayable over 25 years at an interest rate of 7% and the loan is guaranteed by the University of York.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w:t>
      </w:r>
    </w:p>
    <w:p>
      <w:pPr>
        <w:spacing w:after="0" w:line="219" w:lineRule="auto"/>
        <w:rPr>
          <w:sz w:val="20"/>
          <w:szCs w:val="20"/>
          <w:color w:val="auto"/>
        </w:rPr>
      </w:pPr>
      <w:r>
        <w:rPr>
          <w:rFonts w:ascii="Arial" w:cs="Arial" w:eastAsia="Arial" w:hAnsi="Arial"/>
          <w:sz w:val="18"/>
          <w:szCs w:val="18"/>
          <w:color w:val="auto"/>
        </w:rPr>
        <w:t>or similar investments of the same issuer. The carrying value of these investments was $38.5 million and $30.6 million as of September 30,</w:t>
      </w:r>
    </w:p>
    <w:p>
      <w:pPr>
        <w:spacing w:after="0" w:line="219" w:lineRule="auto"/>
        <w:rPr>
          <w:sz w:val="20"/>
          <w:szCs w:val="20"/>
          <w:color w:val="auto"/>
        </w:rPr>
      </w:pPr>
      <w:r>
        <w:rPr>
          <w:rFonts w:ascii="Arial" w:cs="Arial" w:eastAsia="Arial" w:hAnsi="Arial"/>
          <w:sz w:val="18"/>
          <w:szCs w:val="18"/>
          <w:color w:val="auto"/>
        </w:rPr>
        <w:t>2019 and December 31, 2018, respectively. During the three and nine months ended September 30, 2019, the Company recorded gains of</w:t>
      </w:r>
    </w:p>
    <w:p>
      <w:pPr>
        <w:spacing w:after="0" w:line="219" w:lineRule="auto"/>
        <w:rPr>
          <w:sz w:val="20"/>
          <w:szCs w:val="20"/>
          <w:color w:val="auto"/>
        </w:rPr>
      </w:pPr>
      <w:r>
        <w:rPr>
          <w:rFonts w:ascii="Arial" w:cs="Arial" w:eastAsia="Arial" w:hAnsi="Arial"/>
          <w:sz w:val="18"/>
          <w:szCs w:val="18"/>
          <w:color w:val="auto"/>
        </w:rPr>
        <w:t>$3.7 million and $5.1 million, respectively, to those equity securities based on observable transactions. During the three and nine months ended</w:t>
      </w:r>
    </w:p>
    <w:p>
      <w:pPr>
        <w:spacing w:after="0" w:line="220" w:lineRule="auto"/>
        <w:rPr>
          <w:sz w:val="20"/>
          <w:szCs w:val="20"/>
          <w:color w:val="auto"/>
        </w:rPr>
      </w:pPr>
      <w:r>
        <w:rPr>
          <w:rFonts w:ascii="Arial" w:cs="Arial" w:eastAsia="Arial" w:hAnsi="Arial"/>
          <w:sz w:val="18"/>
          <w:szCs w:val="18"/>
          <w:color w:val="auto"/>
        </w:rPr>
        <w:t>September 30, 2018, the Company recorded gains of $8.5 million to those equity securities based on observable transactions and an</w:t>
      </w:r>
    </w:p>
    <w:p>
      <w:pPr>
        <w:spacing w:after="0"/>
        <w:rPr>
          <w:sz w:val="20"/>
          <w:szCs w:val="20"/>
          <w:color w:val="auto"/>
        </w:rPr>
      </w:pPr>
      <w:r>
        <w:rPr>
          <w:rFonts w:ascii="Arial" w:cs="Arial" w:eastAsia="Arial" w:hAnsi="Arial"/>
          <w:sz w:val="18"/>
          <w:szCs w:val="18"/>
          <w:color w:val="auto"/>
        </w:rPr>
        <w:t>impairment loss of $2.5 million .</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ACCOUNTS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2018</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$13,060 and $14,775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582,944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538,021</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29,197</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44,259</w:t>
            </w:r>
          </w:p>
        </w:tc>
      </w:tr>
      <w:tr>
        <w:trPr>
          <w:trHeight w:val="264"/>
        </w:trPr>
        <w:tc>
          <w:tcPr>
            <w:tcW w:w="85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612,141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582,280</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Bad debt expense was $0.4 million and $1.8 million for the three months ended September 30, 2019 and 2018, respectively; and $0.5 million and $7.9 million for the nine months ended September 30, 2019 and 2018, respectively.</w:t>
      </w:r>
    </w:p>
    <w:p>
      <w:pPr>
        <w:spacing w:after="0" w:line="90" w:lineRule="exact"/>
        <w:rPr>
          <w:sz w:val="20"/>
          <w:szCs w:val="20"/>
          <w:color w:val="auto"/>
        </w:rPr>
      </w:pPr>
    </w:p>
    <w:p>
      <w:pPr>
        <w:ind w:right="4120"/>
        <w:spacing w:after="0" w:line="451"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35,776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37,248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11,176</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11,633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62,451</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17,861</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3,793</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2,735</w:t>
            </w:r>
          </w:p>
        </w:tc>
      </w:tr>
      <w:tr>
        <w:trPr>
          <w:trHeight w:val="264"/>
        </w:trPr>
        <w:tc>
          <w:tcPr>
            <w:tcW w:w="85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113,196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69,477</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3.4% for both the three and nine months ended September 30, 2019. As of September 30, 2019, the aggregate capacity under the floor plan facility was $50 million, of which $40.9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12"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September 30, 2019.</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floor plan interest expense related to the new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 three and nine months ended September 30, 2019, the Company recognized a reduction in operating expense of $0.4 million and $1.6 million, respectively, related to manufacturer floor plan assistance.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has operating leases for substantially all of its educational facilities, corporate offices and other facilities used in conducting its business, as well as certain equipment. The Company determines if an arrangement is a lease at inception.</w:t>
      </w:r>
    </w:p>
    <w:p>
      <w:pPr>
        <w:spacing w:after="0" w:line="9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Operating leases are included in lease right-of-use (“ROU”) assets, current portion of lease liabilities, and lease liabilities on the Company’s Condensed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w:t>
      </w:r>
    </w:p>
    <w:p>
      <w:pPr>
        <w:sectPr>
          <w:pgSz w:w="11900" w:h="16838" w:orient="portrait"/>
          <w:cols w:equalWidth="0" w:num="1">
            <w:col w:w="11420"/>
          </w:cols>
          <w:pgMar w:left="240" w:top="695"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95" w:right="239" w:bottom="1440" w:gutter="0" w:footer="0" w:header="0"/>
          <w:type w:val="continuous"/>
        </w:sectPr>
      </w:pPr>
    </w:p>
    <w:bookmarkStart w:id="15" w:name="page16"/>
    <w:bookmarkEnd w:id="15"/>
    <w:p>
      <w:pPr>
        <w:jc w:val="both"/>
        <w:spacing w:after="0" w:line="231" w:lineRule="auto"/>
        <w:rPr>
          <w:sz w:val="20"/>
          <w:szCs w:val="20"/>
          <w:color w:val="auto"/>
        </w:rPr>
      </w:pPr>
      <w:r>
        <w:rPr>
          <w:rFonts w:ascii="Arial" w:cs="Arial" w:eastAsia="Arial" w:hAnsi="Arial"/>
          <w:sz w:val="18"/>
          <w:szCs w:val="18"/>
          <w:color w:val="auto"/>
        </w:rPr>
        <w:t>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does not have significant financing leases.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tcPr>
          <w:p>
            <w:pPr>
              <w:jc w:val="right"/>
              <w:ind w:right="22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September 30, 2019</w:t>
            </w:r>
          </w:p>
        </w:tc>
      </w:tr>
      <w:tr>
        <w:trPr>
          <w:trHeight w:val="257"/>
        </w:trPr>
        <w:tc>
          <w:tcPr>
            <w:tcW w:w="744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ind w:right="62"/>
              <w:spacing w:after="0"/>
              <w:rPr>
                <w:sz w:val="20"/>
                <w:szCs w:val="20"/>
                <w:color w:val="auto"/>
              </w:rPr>
            </w:pPr>
            <w:r>
              <w:rPr>
                <w:rFonts w:ascii="Arial" w:cs="Arial" w:eastAsia="Arial" w:hAnsi="Arial"/>
                <w:sz w:val="16"/>
                <w:szCs w:val="16"/>
                <w:b w:val="1"/>
                <w:bCs w:val="1"/>
                <w:color w:val="auto"/>
              </w:rPr>
              <w:t>26,242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75,531</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Short-term and month-to-month lease cost</w:t>
            </w:r>
          </w:p>
        </w:tc>
        <w:tc>
          <w:tcPr>
            <w:tcW w:w="180" w:type="dxa"/>
            <w:vAlign w:val="bottom"/>
          </w:tcPr>
          <w:p>
            <w:pPr>
              <w:spacing w:after="0"/>
              <w:rPr>
                <w:sz w:val="23"/>
                <w:szCs w:val="23"/>
                <w:color w:val="auto"/>
              </w:rPr>
            </w:pPr>
          </w:p>
        </w:tc>
        <w:tc>
          <w:tcPr>
            <w:tcW w:w="1800" w:type="dxa"/>
            <w:vAlign w:val="bottom"/>
          </w:tcPr>
          <w:p>
            <w:pPr>
              <w:jc w:val="right"/>
              <w:ind w:right="62"/>
              <w:spacing w:after="0"/>
              <w:rPr>
                <w:sz w:val="20"/>
                <w:szCs w:val="20"/>
                <w:color w:val="auto"/>
              </w:rPr>
            </w:pPr>
            <w:r>
              <w:rPr>
                <w:rFonts w:ascii="Arial" w:cs="Arial" w:eastAsia="Arial" w:hAnsi="Arial"/>
                <w:sz w:val="16"/>
                <w:szCs w:val="16"/>
                <w:b w:val="1"/>
                <w:bCs w:val="1"/>
                <w:color w:val="auto"/>
              </w:rPr>
              <w:t>4,502</w:t>
            </w:r>
          </w:p>
        </w:tc>
        <w:tc>
          <w:tcPr>
            <w:tcW w:w="280" w:type="dxa"/>
            <w:vAlign w:val="bottom"/>
          </w:tcPr>
          <w:p>
            <w:pPr>
              <w:spacing w:after="0"/>
              <w:rPr>
                <w:sz w:val="23"/>
                <w:szCs w:val="23"/>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14,275</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180" w:type="dxa"/>
            <w:vAlign w:val="bottom"/>
          </w:tcPr>
          <w:p>
            <w:pPr>
              <w:spacing w:after="0"/>
              <w:rPr>
                <w:sz w:val="23"/>
                <w:szCs w:val="23"/>
                <w:color w:val="auto"/>
              </w:rPr>
            </w:pPr>
          </w:p>
        </w:tc>
        <w:tc>
          <w:tcPr>
            <w:tcW w:w="1800" w:type="dxa"/>
            <w:vAlign w:val="bottom"/>
          </w:tcPr>
          <w:p>
            <w:pPr>
              <w:jc w:val="right"/>
              <w:ind w:right="62"/>
              <w:spacing w:after="0"/>
              <w:rPr>
                <w:sz w:val="20"/>
                <w:szCs w:val="20"/>
                <w:color w:val="auto"/>
              </w:rPr>
            </w:pPr>
            <w:r>
              <w:rPr>
                <w:rFonts w:ascii="Arial" w:cs="Arial" w:eastAsia="Arial" w:hAnsi="Arial"/>
                <w:sz w:val="16"/>
                <w:szCs w:val="16"/>
                <w:b w:val="1"/>
                <w:bCs w:val="1"/>
                <w:color w:val="auto"/>
              </w:rPr>
              <w:t>5,601</w:t>
            </w:r>
          </w:p>
        </w:tc>
        <w:tc>
          <w:tcPr>
            <w:tcW w:w="280" w:type="dxa"/>
            <w:vAlign w:val="bottom"/>
          </w:tcPr>
          <w:p>
            <w:pPr>
              <w:spacing w:after="0"/>
              <w:rPr>
                <w:sz w:val="23"/>
                <w:szCs w:val="23"/>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b w:val="1"/>
                <w:bCs w:val="1"/>
                <w:color w:val="auto"/>
              </w:rPr>
              <w:t>15,563</w:t>
            </w:r>
          </w:p>
        </w:tc>
      </w:tr>
      <w:tr>
        <w:trPr>
          <w:trHeight w:val="274"/>
        </w:trPr>
        <w:tc>
          <w:tcPr>
            <w:tcW w:w="7440" w:type="dxa"/>
            <w:vAlign w:val="bottom"/>
          </w:tcPr>
          <w:p>
            <w:pPr>
              <w:ind w:left="40"/>
              <w:spacing w:after="0"/>
              <w:rPr>
                <w:sz w:val="20"/>
                <w:szCs w:val="20"/>
                <w:color w:val="auto"/>
              </w:rPr>
            </w:pPr>
            <w:r>
              <w:rPr>
                <w:rFonts w:ascii="Arial" w:cs="Arial" w:eastAsia="Arial" w:hAnsi="Arial"/>
                <w:sz w:val="16"/>
                <w:szCs w:val="16"/>
                <w:color w:val="auto"/>
              </w:rPr>
              <w:t>Sublease income</w:t>
            </w: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(5,222)</w:t>
            </w:r>
          </w:p>
        </w:tc>
        <w:tc>
          <w:tcPr>
            <w:tcW w:w="2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(14,915)</w:t>
            </w:r>
          </w:p>
        </w:tc>
      </w:tr>
      <w:tr>
        <w:trPr>
          <w:trHeight w:val="26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net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31,123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90,454</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connection with the sale of the KHE Campuses business, the Company is the guarantor of several leases for which it has established ROU assets and lease liabilities (see Note 15). Any net lease cost or sublease income related to these leases is recorded in other non-operating income. Due to an early lease termination, the Company recorded a $0.1 million gain related to these leases for the three months ended September 30, 2019. The total net lease cost related to these leases was $0.5 million for the nine months ended September 30,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6440" w:type="dxa"/>
            <w:vAlign w:val="bottom"/>
          </w:tcPr>
          <w:p>
            <w:pPr>
              <w:jc w:val="center"/>
              <w:ind w:left="3908"/>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4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2019</w:t>
            </w:r>
          </w:p>
        </w:tc>
      </w:tr>
    </w:tbl>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920" w:type="dxa"/>
            <w:vAlign w:val="bottom"/>
          </w:tcPr>
          <w:p>
            <w:pPr>
              <w:spacing w:after="0"/>
              <w:rPr>
                <w:sz w:val="20"/>
                <w:szCs w:val="20"/>
                <w:color w:val="auto"/>
              </w:rPr>
            </w:pPr>
            <w:r>
              <w:rPr>
                <w:rFonts w:ascii="Arial" w:cs="Arial" w:eastAsia="Arial" w:hAnsi="Arial"/>
                <w:sz w:val="16"/>
                <w:szCs w:val="16"/>
                <w:b w:val="1"/>
                <w:bCs w:val="1"/>
                <w:color w:val="auto"/>
              </w:rPr>
              <w:t>Cash Flow Information:</w:t>
            </w: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 (payments)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88,369</w:t>
            </w: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340" w:type="dxa"/>
            <w:vAlign w:val="bottom"/>
          </w:tcPr>
          <w:p>
            <w:pPr>
              <w:spacing w:after="0"/>
              <w:rPr>
                <w:sz w:val="21"/>
                <w:szCs w:val="21"/>
                <w:color w:val="auto"/>
              </w:rPr>
            </w:pP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205,455</w:t>
            </w:r>
          </w:p>
        </w:tc>
      </w:tr>
      <w:tr>
        <w:trPr>
          <w:trHeight w:val="519"/>
        </w:trPr>
        <w:tc>
          <w:tcPr>
            <w:tcW w:w="8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As of September 30, 2019</w:t>
            </w:r>
          </w:p>
        </w:tc>
      </w:tr>
      <w:tr>
        <w:trPr>
          <w:trHeight w:val="258"/>
        </w:trPr>
        <w:tc>
          <w:tcPr>
            <w:tcW w:w="8920" w:type="dxa"/>
            <w:vAlign w:val="bottom"/>
          </w:tcPr>
          <w:p>
            <w:pPr>
              <w:spacing w:after="0"/>
              <w:rPr>
                <w:sz w:val="20"/>
                <w:szCs w:val="20"/>
                <w:color w:val="auto"/>
              </w:rPr>
            </w:pPr>
            <w:r>
              <w:rPr>
                <w:rFonts w:ascii="Arial" w:cs="Arial" w:eastAsia="Arial" w:hAnsi="Arial"/>
                <w:sz w:val="16"/>
                <w:szCs w:val="16"/>
                <w:b w:val="1"/>
                <w:bCs w:val="1"/>
                <w:color w:val="auto"/>
              </w:rPr>
              <w:t>Balance Sheet Information:</w:t>
            </w: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43"/>
        </w:trPr>
        <w:tc>
          <w:tcPr>
            <w:tcW w:w="8920" w:type="dxa"/>
            <w:vAlign w:val="bottom"/>
          </w:tcPr>
          <w:p>
            <w:pPr>
              <w:ind w:left="240"/>
              <w:spacing w:after="0"/>
              <w:rPr>
                <w:sz w:val="20"/>
                <w:szCs w:val="20"/>
                <w:color w:val="auto"/>
              </w:rPr>
            </w:pPr>
            <w:r>
              <w:rPr>
                <w:rFonts w:ascii="Arial" w:cs="Arial" w:eastAsia="Arial" w:hAnsi="Arial"/>
                <w:sz w:val="16"/>
                <w:szCs w:val="16"/>
                <w:color w:val="auto"/>
              </w:rPr>
              <w:t>Lease right-of-use assets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503,830</w:t>
            </w:r>
          </w:p>
        </w:tc>
      </w:tr>
      <w:tr>
        <w:trPr>
          <w:trHeight w:val="486"/>
        </w:trPr>
        <w:tc>
          <w:tcPr>
            <w:tcW w:w="8920" w:type="dxa"/>
            <w:vAlign w:val="bottom"/>
          </w:tcPr>
          <w:p>
            <w:pPr>
              <w:ind w:left="240"/>
              <w:spacing w:after="0"/>
              <w:rPr>
                <w:sz w:val="20"/>
                <w:szCs w:val="20"/>
                <w:color w:val="auto"/>
              </w:rPr>
            </w:pPr>
            <w:r>
              <w:rPr>
                <w:rFonts w:ascii="Arial" w:cs="Arial" w:eastAsia="Arial" w:hAnsi="Arial"/>
                <w:sz w:val="16"/>
                <w:szCs w:val="16"/>
                <w:color w:val="auto"/>
              </w:rPr>
              <w:t>Current lease liabilities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78,114</w:t>
            </w:r>
          </w:p>
        </w:tc>
      </w:tr>
      <w:tr>
        <w:trPr>
          <w:trHeight w:val="244"/>
        </w:trPr>
        <w:tc>
          <w:tcPr>
            <w:tcW w:w="8920" w:type="dxa"/>
            <w:vAlign w:val="bottom"/>
          </w:tcPr>
          <w:p>
            <w:pPr>
              <w:ind w:left="240"/>
              <w:spacing w:after="0"/>
              <w:rPr>
                <w:sz w:val="20"/>
                <w:szCs w:val="20"/>
                <w:color w:val="auto"/>
              </w:rPr>
            </w:pPr>
            <w:r>
              <w:rPr>
                <w:rFonts w:ascii="Arial" w:cs="Arial" w:eastAsia="Arial" w:hAnsi="Arial"/>
                <w:sz w:val="16"/>
                <w:szCs w:val="16"/>
                <w:color w:val="auto"/>
              </w:rPr>
              <w:t>Noncurrent lease liabilities</w:t>
            </w: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462,868</w:t>
            </w:r>
          </w:p>
        </w:tc>
      </w:tr>
      <w:tr>
        <w:trPr>
          <w:trHeight w:val="236"/>
        </w:trPr>
        <w:tc>
          <w:tcPr>
            <w:tcW w:w="8920" w:type="dxa"/>
            <w:vAlign w:val="bottom"/>
          </w:tcPr>
          <w:p>
            <w:pPr>
              <w:ind w:left="460"/>
              <w:spacing w:after="0"/>
              <w:rPr>
                <w:sz w:val="20"/>
                <w:szCs w:val="20"/>
                <w:color w:val="auto"/>
              </w:rPr>
            </w:pPr>
            <w:r>
              <w:rPr>
                <w:rFonts w:ascii="Arial" w:cs="Arial" w:eastAsia="Arial" w:hAnsi="Arial"/>
                <w:sz w:val="16"/>
                <w:szCs w:val="16"/>
                <w:b w:val="1"/>
                <w:bCs w:val="1"/>
                <w:color w:val="auto"/>
              </w:rPr>
              <w:t>Total lease liabilities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540,982</w:t>
            </w:r>
          </w:p>
        </w:tc>
      </w:tr>
      <w:tr>
        <w:trPr>
          <w:trHeight w:val="486"/>
        </w:trPr>
        <w:tc>
          <w:tcPr>
            <w:tcW w:w="8920" w:type="dxa"/>
            <w:vAlign w:val="bottom"/>
          </w:tcPr>
          <w:p>
            <w:pPr>
              <w:spacing w:after="0"/>
              <w:rPr>
                <w:sz w:val="20"/>
                <w:szCs w:val="20"/>
                <w:color w:val="auto"/>
              </w:rPr>
            </w:pPr>
            <w:r>
              <w:rPr>
                <w:rFonts w:ascii="Arial" w:cs="Arial" w:eastAsia="Arial" w:hAnsi="Arial"/>
                <w:sz w:val="16"/>
                <w:szCs w:val="16"/>
                <w:color w:val="auto"/>
              </w:rPr>
              <w:t>Weighted average remaining lease term (years)</w:t>
            </w:r>
          </w:p>
        </w:tc>
        <w:tc>
          <w:tcPr>
            <w:tcW w:w="340" w:type="dxa"/>
            <w:vAlign w:val="bottom"/>
          </w:tcPr>
          <w:p>
            <w:pPr>
              <w:spacing w:after="0"/>
              <w:rPr>
                <w:sz w:val="24"/>
                <w:szCs w:val="24"/>
                <w:color w:val="auto"/>
              </w:rPr>
            </w:pPr>
          </w:p>
        </w:tc>
        <w:tc>
          <w:tcPr>
            <w:tcW w:w="2120" w:type="dxa"/>
            <w:vAlign w:val="bottom"/>
          </w:tcPr>
          <w:p>
            <w:pPr>
              <w:jc w:val="right"/>
              <w:ind w:right="100"/>
              <w:spacing w:after="0"/>
              <w:rPr>
                <w:sz w:val="20"/>
                <w:szCs w:val="20"/>
                <w:color w:val="auto"/>
              </w:rPr>
            </w:pPr>
            <w:r>
              <w:rPr>
                <w:rFonts w:ascii="Arial" w:cs="Arial" w:eastAsia="Arial" w:hAnsi="Arial"/>
                <w:sz w:val="16"/>
                <w:szCs w:val="16"/>
                <w:b w:val="1"/>
                <w:bCs w:val="1"/>
                <w:color w:val="auto"/>
              </w:rPr>
              <w:t>10.8</w:t>
            </w:r>
          </w:p>
        </w:tc>
      </w:tr>
      <w:tr>
        <w:trPr>
          <w:trHeight w:val="243"/>
        </w:trPr>
        <w:tc>
          <w:tcPr>
            <w:tcW w:w="89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September 30, 2019</w:t>
            </w:r>
          </w:p>
        </w:tc>
      </w:tr>
      <w:tr>
        <w:trPr>
          <w:trHeight w:val="230"/>
        </w:trPr>
        <w:tc>
          <w:tcPr>
            <w:tcW w:w="9600" w:type="dxa"/>
            <w:vAlign w:val="bottom"/>
          </w:tcPr>
          <w:p>
            <w:pPr>
              <w:ind w:left="40"/>
              <w:spacing w:after="0"/>
              <w:rPr>
                <w:sz w:val="20"/>
                <w:szCs w:val="20"/>
                <w:color w:val="auto"/>
              </w:rPr>
            </w:pPr>
            <w:r>
              <w:rPr>
                <w:rFonts w:ascii="Arial" w:cs="Arial" w:eastAsia="Arial" w:hAnsi="Arial"/>
                <w:sz w:val="16"/>
                <w:szCs w:val="16"/>
                <w:color w:val="auto"/>
              </w:rPr>
              <w:t>2019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20,271</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103,515</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86,245</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71,147</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62,384</w:t>
            </w:r>
          </w:p>
        </w:tc>
      </w:tr>
      <w:tr>
        <w:trPr>
          <w:trHeight w:val="247"/>
        </w:trPr>
        <w:tc>
          <w:tcPr>
            <w:tcW w:w="96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358,758</w:t>
            </w:r>
          </w:p>
        </w:tc>
      </w:tr>
      <w:tr>
        <w:trPr>
          <w:trHeight w:val="233"/>
        </w:trPr>
        <w:tc>
          <w:tcPr>
            <w:tcW w:w="9600" w:type="dxa"/>
            <w:vAlign w:val="bottom"/>
          </w:tcPr>
          <w:p>
            <w:pPr>
              <w:ind w:left="40"/>
              <w:spacing w:after="0"/>
              <w:rPr>
                <w:sz w:val="20"/>
                <w:szCs w:val="20"/>
                <w:color w:val="auto"/>
              </w:rPr>
            </w:pPr>
            <w:r>
              <w:rPr>
                <w:rFonts w:ascii="Arial" w:cs="Arial" w:eastAsia="Arial" w:hAnsi="Arial"/>
                <w:sz w:val="16"/>
                <w:szCs w:val="16"/>
                <w:color w:val="auto"/>
              </w:rPr>
              <w:t>Total payments</w:t>
            </w:r>
          </w:p>
        </w:tc>
        <w:tc>
          <w:tcPr>
            <w:tcW w:w="180" w:type="dxa"/>
            <w:vAlign w:val="bottom"/>
          </w:tcPr>
          <w:p>
            <w:pPr>
              <w:spacing w:after="0"/>
              <w:rPr>
                <w:sz w:val="20"/>
                <w:szCs w:val="20"/>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b w:val="1"/>
                <w:bCs w:val="1"/>
                <w:color w:val="auto"/>
              </w:rPr>
              <w:t>702,320</w:t>
            </w:r>
          </w:p>
        </w:tc>
      </w:tr>
      <w:tr>
        <w:trPr>
          <w:trHeight w:val="247"/>
        </w:trPr>
        <w:tc>
          <w:tcPr>
            <w:tcW w:w="960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(161,338)</w:t>
            </w:r>
          </w:p>
        </w:tc>
      </w:tr>
      <w:tr>
        <w:trPr>
          <w:trHeight w:val="239"/>
        </w:trPr>
        <w:tc>
          <w:tcPr>
            <w:tcW w:w="9600" w:type="dxa"/>
            <w:vAlign w:val="bottom"/>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540,982</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As of September 30, 2019, the Company has entered into operating leases, including educational and other facilities, that have not yet commenced that have minimum lease payments of $3.9 million. These operating leases will commence in fiscal years 2019 and 2020 with lease terms of one to 12 years.</w:t>
      </w:r>
    </w:p>
    <w:p>
      <w:pPr>
        <w:sectPr>
          <w:pgSz w:w="11900" w:h="16838" w:orient="portrait"/>
          <w:cols w:equalWidth="0" w:num="1">
            <w:col w:w="11420"/>
          </w:cols>
          <w:pgMar w:left="240" w:top="697"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697"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Disclosure related to periods prior to the adoption of new lease accounting guidance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noncancelable operating leases approximate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December 31, 2018</w:t>
            </w:r>
          </w:p>
        </w:tc>
      </w:tr>
      <w:tr>
        <w:trPr>
          <w:trHeight w:val="230"/>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101,009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84,945</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72,031</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53,709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47,091</w:t>
            </w:r>
          </w:p>
        </w:tc>
      </w:tr>
      <w:tr>
        <w:trPr>
          <w:trHeight w:val="247"/>
        </w:trPr>
        <w:tc>
          <w:tcPr>
            <w:tcW w:w="94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115,948</w:t>
            </w:r>
          </w:p>
        </w:tc>
      </w:tr>
      <w:tr>
        <w:trPr>
          <w:trHeight w:val="237"/>
        </w:trPr>
        <w:tc>
          <w:tcPr>
            <w:tcW w:w="94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474,733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$66.0 million due in the future under noncancelable subleases.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Company changed the presentation of its segments in the third quarter of 2019 into the following eight reportable segments: Kaplan International, Higher Education, Test Preparation, Professional (U.S.), Television Broadcasting, Manufacturing, Healthcare and SocialCode (see Note 16).</w:t>
      </w:r>
    </w:p>
    <w:p>
      <w:pPr>
        <w:spacing w:after="0" w:line="10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 the third quarter of 2018, the Healthcare business recorded an intangible asset impairment charge of $7.9 million following the decision to discontinue the use of the Celtic tradename. The fair value of the intangible asset was estimated using an income approach.</w:t>
      </w:r>
    </w:p>
    <w:p>
      <w:pPr>
        <w:spacing w:after="0" w:line="9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Amortization of intangible assets for the three months ended September 30, 2019 and 2018 was $13.6 million and $12.3 million, respectively. Amortization of intangible assets for the nine months ended September 30, 2019 and 2018 was $39.5 million and $34.1 million, respectively. Amortization of intangible assets is estimated to be approximately $14 million for the remainder of 2019, $53 million in 2020, $47 million in 2021, $41 million in 2022, $33 million in 2023 and $57 million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SocialCode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49"/>
        </w:trPr>
        <w:tc>
          <w:tcPr>
            <w:tcW w:w="25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2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1,128,699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231,479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15,860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7,685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1,644,164</w:t>
            </w:r>
          </w:p>
        </w:tc>
      </w:tr>
      <w:tr>
        <w:trPr>
          <w:trHeight w:val="214"/>
        </w:trPr>
        <w:tc>
          <w:tcPr>
            <w:tcW w:w="2520" w:type="dxa"/>
            <w:vAlign w:val="bottom"/>
          </w:tcPr>
          <w:p>
            <w:pPr>
              <w:ind w:left="28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520" w:type="dxa"/>
            <w:vAlign w:val="bottom"/>
          </w:tcPr>
          <w:p>
            <w:pPr>
              <w:ind w:left="44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(331,151)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(7,685)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r>
      <w:tr>
        <w:trPr>
          <w:trHeight w:val="255"/>
        </w:trPr>
        <w:tc>
          <w:tcPr>
            <w:tcW w:w="2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797,548</w:t>
            </w:r>
          </w:p>
        </w:tc>
        <w:tc>
          <w:tcPr>
            <w:tcW w:w="2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24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223,863</w:t>
            </w:r>
          </w:p>
        </w:tc>
        <w:tc>
          <w:tcPr>
            <w:tcW w:w="20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24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15,860</w:t>
            </w:r>
          </w:p>
        </w:tc>
        <w:tc>
          <w:tcPr>
            <w:tcW w:w="24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1,297,712</w:t>
            </w:r>
          </w:p>
        </w:tc>
      </w:tr>
      <w:tr>
        <w:trPr>
          <w:trHeight w:val="278"/>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6,391</w:t>
            </w:r>
          </w:p>
        </w:tc>
        <w:tc>
          <w:tcPr>
            <w:tcW w:w="22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2,714</w:t>
            </w:r>
          </w:p>
        </w:tc>
        <w:tc>
          <w:tcPr>
            <w:tcW w:w="20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8,283</w:t>
            </w:r>
          </w:p>
        </w:tc>
        <w:tc>
          <w:tcPr>
            <w:tcW w:w="2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45,999</w:t>
            </w:r>
          </w:p>
        </w:tc>
        <w:tc>
          <w:tcPr>
            <w:tcW w:w="2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63,387</w:t>
            </w:r>
          </w:p>
        </w:tc>
      </w:tr>
      <w:tr>
        <w:trPr>
          <w:trHeight w:val="204"/>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(15,706)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(15,706)</w:t>
            </w:r>
          </w:p>
        </w:tc>
      </w:tr>
      <w:tr>
        <w:trPr>
          <w:trHeight w:val="182"/>
        </w:trPr>
        <w:tc>
          <w:tcPr>
            <w:tcW w:w="25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Balance as of September 30,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2520" w:type="dxa"/>
            <w:vAlign w:val="bottom"/>
          </w:tcPr>
          <w:p>
            <w:pPr>
              <w:ind w:left="200"/>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0"/>
        </w:trPr>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1,119,384</w:t>
            </w:r>
          </w:p>
        </w:tc>
        <w:tc>
          <w:tcPr>
            <w:tcW w:w="2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24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b w:val="1"/>
                <w:bCs w:val="1"/>
                <w:color w:val="auto"/>
              </w:rPr>
              <w:t>234,193</w:t>
            </w:r>
          </w:p>
        </w:tc>
        <w:tc>
          <w:tcPr>
            <w:tcW w:w="2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77,909</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4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53,684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1,691,845</w:t>
            </w:r>
          </w:p>
        </w:tc>
      </w:tr>
      <w:tr>
        <w:trPr>
          <w:trHeight w:val="204"/>
        </w:trPr>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2"/>
        </w:trPr>
        <w:tc>
          <w:tcPr>
            <w:tcW w:w="2520" w:type="dxa"/>
            <w:vAlign w:val="bottom"/>
          </w:tcPr>
          <w:p>
            <w:pPr>
              <w:ind w:left="4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(331,151)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(7,616)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(7,685)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788,233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226,577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77,909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45,999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1,345,393</w:t>
            </w: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49"/>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583,424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174,564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166,920</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203,791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1,128,699</w:t>
            </w:r>
          </w:p>
        </w:tc>
      </w:tr>
      <w:tr>
        <w:trPr>
          <w:trHeight w:val="279"/>
        </w:trPr>
        <w:tc>
          <w:tcPr>
            <w:tcW w:w="41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r>
      <w:tr>
        <w:trPr>
          <w:trHeight w:val="255"/>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583,424</w:t>
            </w:r>
          </w:p>
        </w:tc>
        <w:tc>
          <w:tcPr>
            <w:tcW w:w="300" w:type="dxa"/>
            <w:vAlign w:val="bottom"/>
          </w:tcPr>
          <w:p>
            <w:pPr>
              <w:spacing w:after="0"/>
              <w:rPr>
                <w:sz w:val="22"/>
                <w:szCs w:val="22"/>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63,240</w:t>
            </w:r>
          </w:p>
        </w:tc>
        <w:tc>
          <w:tcPr>
            <w:tcW w:w="260" w:type="dxa"/>
            <w:vAlign w:val="bottom"/>
          </w:tcPr>
          <w:p>
            <w:pPr>
              <w:spacing w:after="0"/>
              <w:rPr>
                <w:sz w:val="22"/>
                <w:szCs w:val="22"/>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64,661</w:t>
            </w:r>
          </w:p>
        </w:tc>
        <w:tc>
          <w:tcPr>
            <w:tcW w:w="44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86,223</w:t>
            </w:r>
          </w:p>
        </w:tc>
        <w:tc>
          <w:tcPr>
            <w:tcW w:w="38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797,548</w:t>
            </w:r>
          </w:p>
        </w:tc>
      </w:tr>
      <w:tr>
        <w:trPr>
          <w:trHeight w:val="278"/>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4"/>
                <w:szCs w:val="24"/>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6,391</w:t>
            </w:r>
          </w:p>
        </w:tc>
        <w:tc>
          <w:tcPr>
            <w:tcW w:w="300" w:type="dxa"/>
            <w:vAlign w:val="bottom"/>
          </w:tcPr>
          <w:p>
            <w:pPr>
              <w:spacing w:after="0"/>
              <w:rPr>
                <w:sz w:val="24"/>
                <w:szCs w:val="24"/>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6,391</w:t>
            </w:r>
          </w:p>
        </w:tc>
      </w:tr>
      <w:tr>
        <w:trPr>
          <w:trHeight w:val="27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(15,760)</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(15,706)</w:t>
            </w:r>
          </w:p>
        </w:tc>
      </w:tr>
      <w:tr>
        <w:trPr>
          <w:trHeight w:val="26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574,055</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203,845</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1,119,384</w:t>
            </w:r>
          </w:p>
        </w:tc>
      </w:tr>
      <w:tr>
        <w:trPr>
          <w:trHeight w:val="274"/>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574,055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64,661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86,277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788,233</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As of September 30, 2019</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2018</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7"/>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291,662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136,319</w:t>
            </w:r>
          </w:p>
        </w:tc>
        <w:tc>
          <w:tcPr>
            <w:tcW w:w="3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155,343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282,761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114,429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168,332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92,568</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46,204</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46,364</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87,285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39,825</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47,460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4,712</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12,688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3,408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13,992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30,274</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12,221</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18,053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27,041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8,471</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18,570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1,353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931</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422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74"/>
        </w:trPr>
        <w:tc>
          <w:tcPr>
            <w:tcW w:w="2960" w:type="dxa"/>
            <w:vAlign w:val="bottom"/>
          </w:tcPr>
          <w:p>
            <w:pPr>
              <w:ind w:left="180"/>
              <w:spacing w:after="0"/>
              <w:rPr>
                <w:sz w:val="20"/>
                <w:szCs w:val="20"/>
                <w:color w:val="auto"/>
              </w:rPr>
            </w:pPr>
            <w:r>
              <w:rPr>
                <w:rFonts w:ascii="Arial" w:cs="Arial" w:eastAsia="Arial" w:hAnsi="Arial"/>
                <w:sz w:val="16"/>
                <w:szCs w:val="16"/>
                <w:color w:val="auto"/>
              </w:rPr>
              <w:t>Other</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24,890</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12,367</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12,523</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24,530</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9,873</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61"/>
        </w:trPr>
        <w:tc>
          <w:tcPr>
            <w:tcW w:w="2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458,147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212,754</w:t>
            </w: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245,393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176,844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97,527</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80,102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28,000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96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4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144,477</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99,052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r>
      <w:tr>
        <w:trPr>
          <w:trHeight w:val="299"/>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6"/>
                <w:szCs w:val="16"/>
                <w:b w:val="1"/>
                <w:bCs w:val="1"/>
                <w:color w:val="auto"/>
              </w:rPr>
              <w:t>395,212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394,675</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b w:val="1"/>
                <w:bCs w:val="1"/>
                <w:color w:val="auto"/>
              </w:rPr>
              <w:t>73,683</w:t>
            </w:r>
          </w:p>
        </w:tc>
        <w:tc>
          <w:tcPr>
            <w:tcW w:w="2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82,366</w:t>
            </w:r>
          </w:p>
        </w:tc>
      </w:tr>
      <w:tr>
        <w:trPr>
          <w:trHeight w:val="245"/>
        </w:trPr>
        <w:tc>
          <w:tcPr>
            <w:tcW w:w="8580" w:type="dxa"/>
            <w:vAlign w:val="bottom"/>
          </w:tcPr>
          <w:p>
            <w:pPr>
              <w:ind w:left="40"/>
              <w:spacing w:after="0"/>
              <w:rPr>
                <w:sz w:val="20"/>
                <w:szCs w:val="20"/>
                <w:color w:val="auto"/>
              </w:rPr>
            </w:pPr>
            <w:r>
              <w:rPr>
                <w:rFonts w:ascii="Arial" w:cs="Arial" w:eastAsia="Arial" w:hAnsi="Arial"/>
                <w:sz w:val="16"/>
                <w:szCs w:val="16"/>
                <w:color w:val="auto"/>
              </w:rPr>
              <w:t>Commercial note</w:t>
            </w:r>
          </w:p>
        </w:tc>
        <w:tc>
          <w:tcPr>
            <w:tcW w:w="140" w:type="dxa"/>
            <w:vAlign w:val="bottom"/>
          </w:tcPr>
          <w:p>
            <w:pPr>
              <w:spacing w:after="0"/>
              <w:rPr>
                <w:sz w:val="21"/>
                <w:szCs w:val="21"/>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b w:val="1"/>
                <w:bCs w:val="1"/>
                <w:color w:val="auto"/>
              </w:rPr>
              <w:t>28,250</w:t>
            </w:r>
          </w:p>
        </w:tc>
        <w:tc>
          <w:tcPr>
            <w:tcW w:w="2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USD revolving credit facility</w:t>
            </w:r>
          </w:p>
        </w:tc>
        <w:tc>
          <w:tcPr>
            <w:tcW w:w="140" w:type="dxa"/>
            <w:vAlign w:val="bottom"/>
          </w:tcPr>
          <w:p>
            <w:pPr>
              <w:spacing w:after="0"/>
              <w:rPr>
                <w:sz w:val="23"/>
                <w:szCs w:val="23"/>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b w:val="1"/>
                <w:bCs w:val="1"/>
                <w:color w:val="auto"/>
              </w:rPr>
              <w:t>5,000</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87</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6"/>
                <w:szCs w:val="16"/>
                <w:b w:val="1"/>
                <w:bCs w:val="1"/>
                <w:color w:val="auto"/>
              </w:rPr>
              <w:t>502,232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477,137</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(81,697)</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420,535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470,777</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21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$4.8 million and $5.3 million of unamortized debt issuance costs as of September 30, 2019 and December 31, 2018, respectively.</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and $0.2 million of unamortized debt issuance costs as of September 30, 2019 and December 31, 2018, respectively.</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2019, there was $5.0 million outstanding under the Company’s revolving credit facility at an interest rate of 5.5%; this was fully repaid on October 1, 2019. The Company’s other indebtedness at September 30, 2019 and December 31, 2018 is at an interest rate of 2% and matures in 2026.</w:t>
      </w:r>
    </w:p>
    <w:p>
      <w:pPr>
        <w:spacing w:after="0" w:line="10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w:t>
      </w:r>
    </w:p>
    <w:p>
      <w:pPr>
        <w:sectPr>
          <w:pgSz w:w="11900" w:h="16838" w:orient="portrait"/>
          <w:cols w:equalWidth="0" w:num="1">
            <w:col w:w="11420"/>
          </w:cols>
          <w:pgMar w:left="240" w:top="697" w:right="239" w:bottom="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697" w:right="239" w:bottom="0" w:gutter="0" w:footer="0" w:header="0"/>
          <w:type w:val="continuous"/>
        </w:sectPr>
      </w:pPr>
    </w:p>
    <w:bookmarkStart w:id="18" w:name="page19"/>
    <w:bookmarkEnd w:id="18"/>
    <w:p>
      <w:pPr>
        <w:spacing w:after="0" w:line="224" w:lineRule="auto"/>
        <w:rPr>
          <w:sz w:val="20"/>
          <w:szCs w:val="20"/>
          <w:color w:val="auto"/>
        </w:rPr>
      </w:pPr>
      <w:r>
        <w:rPr>
          <w:rFonts w:ascii="Arial" w:cs="Arial" w:eastAsia="Arial" w:hAnsi="Arial"/>
          <w:sz w:val="18"/>
          <w:szCs w:val="18"/>
          <w:color w:val="auto"/>
        </w:rPr>
        <w:t>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1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23"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7.25% notes.</w:t>
      </w:r>
    </w:p>
    <w:p>
      <w:pPr>
        <w:spacing w:after="0" w:line="122"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1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The Company is in compliance with all financial covenants as of September 30, 2019.</w:t>
      </w:r>
    </w:p>
    <w:p>
      <w:pPr>
        <w:spacing w:after="0" w:line="11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During the three months ended September 30, 2019 and 2018, the Company had average borrowings outstanding of approximately $501.1 million and $480.6 million, respectively, at average annual interest rates of approximately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7" w:right="259" w:bottom="1440" w:gutter="0" w:footer="0" w:header="0"/>
        </w:sectPr>
      </w:pPr>
    </w:p>
    <w:bookmarkStart w:id="19" w:name="page20"/>
    <w:bookmarkEnd w:id="19"/>
    <w:p>
      <w:pPr>
        <w:ind w:right="480"/>
        <w:spacing w:after="0" w:line="260" w:lineRule="auto"/>
        <w:rPr>
          <w:sz w:val="20"/>
          <w:szCs w:val="20"/>
          <w:color w:val="auto"/>
        </w:rPr>
      </w:pPr>
      <w:r>
        <w:rPr>
          <w:rFonts w:ascii="Arial" w:cs="Arial" w:eastAsia="Arial" w:hAnsi="Arial"/>
          <w:sz w:val="18"/>
          <w:szCs w:val="18"/>
          <w:color w:val="auto"/>
        </w:rPr>
        <w:t>5.1%. During the three months ended September 30, 2019 and 2018, the Company incurred net interest expense of $5.3 million and $5.5 million, respectively.</w:t>
      </w:r>
    </w:p>
    <w:p>
      <w:pPr>
        <w:spacing w:after="0" w:line="9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During the nine months ended September 30, 2019 and 2018, the Company had average borrowings outstanding of approximately $499.7 million and $529.2 million, respectively, at average annual interest rates of approximately 5.1% and 5.7%, respectively. During the nine months ended September 30, 2019 and 2018, the Company incurred net interest expense of $17.8 million and $27.5 million, respectively.</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June 2018, the Company incurred $6.2 million of interest expense related to the mandatorily redeemable noncontrolling interest redemption settlement at GHG (see note 2). The fair value of the mandatorily redeemable noncontrolling interest is based on the redemption value resulting from a negotiated settlement.</w:t>
      </w:r>
    </w:p>
    <w:p>
      <w:pPr>
        <w:spacing w:after="0" w:line="10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At September 30, 2019, the fair value of the Company’s 5.75% unsecured notes, based on quoted market prices (Level 2 fair value assessment), totaled $432.3 million, compared with the carrying amount of $395.2 million. At December 31, 2018, the fair value of the Company’s 5.75% unsecured notes, based on quoted market prices (Level 2 fair value assessment), totaled $406.7 million, compared with the carrying amount of $394.7 million. The carrying value of the Company’s other unsecured debt at September 30, 2019 and December 31, 2018 approximates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September 30, 2019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535,564</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535,564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13,601</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5,045</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18,646</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162</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162</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549,165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5,207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554,372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33,195</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33,195</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706</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706</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33,901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33,901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75,500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496,390</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11,203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6,988</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18,191</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507,593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82,857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590,450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36,080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36,080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20" w:right="120" w:hanging="412"/>
        <w:spacing w:after="0" w:line="26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20" w:right="400" w:hanging="412"/>
        <w:spacing w:after="0" w:line="26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ind w:left="420" w:right="100" w:hanging="412"/>
        <w:spacing w:after="0" w:line="26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Current Assets. The Company utilized a market approach model using the notional amount of the interest rate swap multiplied by the observable inputs of time to maturity and market interest rates.</w:t>
      </w:r>
    </w:p>
    <w:p>
      <w:pPr>
        <w:ind w:left="420" w:right="4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6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19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During the three and nine months ended September 30, 2019, the Company recorded other long-lived asset impairment charges of $0.4 million and $1.1 million, respectively. In the third quarter of 2018, the Company recorded an other long-lived asset impairment charges of $8.1 million. The remeasurement of other long-lived</w:t>
      </w:r>
    </w:p>
    <w:p>
      <w:pPr>
        <w:sectPr>
          <w:pgSz w:w="11900" w:h="16838" w:orient="portrait"/>
          <w:cols w:equalWidth="0" w:num="1">
            <w:col w:w="11420"/>
          </w:cols>
          <w:pgMar w:left="240" w:top="697"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697" w:right="239" w:bottom="1440" w:gutter="0" w:footer="0" w:header="0"/>
          <w:type w:val="continuous"/>
        </w:sectPr>
      </w:pPr>
    </w:p>
    <w:bookmarkStart w:id="20" w:name="page21"/>
    <w:bookmarkEnd w:id="20"/>
    <w:p>
      <w:pPr>
        <w:ind w:right="100"/>
        <w:spacing w:after="0"/>
        <w:rPr>
          <w:sz w:val="20"/>
          <w:szCs w:val="20"/>
          <w:color w:val="auto"/>
        </w:rPr>
      </w:pPr>
      <w:r>
        <w:rPr>
          <w:rFonts w:ascii="Arial" w:cs="Arial" w:eastAsia="Arial" w:hAnsi="Arial"/>
          <w:sz w:val="18"/>
          <w:szCs w:val="18"/>
          <w:color w:val="auto"/>
        </w:rPr>
        <w:t>assets is classified as a Level 3 fair value assessment due to the significance of unobservable inputs developed in the determination of the fair value. The Company used a discounted cash flow model to determine the estimated fair value of the other long-lived assets and made estimates and assumptions regarding future cash flows and discount rates.</w:t>
      </w:r>
    </w:p>
    <w:p>
      <w:pPr>
        <w:spacing w:after="0" w:line="16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During the three and nine months ended September 30, 2019, the Company recorded gains of $3.7 million and $5.1 million, respectively, to equity securities that are accounted for as cost method investments based on observable transactions.</w:t>
      </w:r>
    </w:p>
    <w:p>
      <w:pPr>
        <w:spacing w:after="0" w:line="146"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During the three and nine months ended September 30, 2018, the Company recorded gains of $8.5 million to equity securities that are accounted for as cost method investments based on observable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 generated 79% and 77% of its revenue from U.S. domestic sales for the three and nine months ended September 30, 2019, respectively. The remaining 21% and 23% of revenue was generated from non-U.S. sales for the three and nine months ended September 30, 2019, respectively. For the three and nine months ended September 30, 2018, 78% and 76% of revenue was from U.S. domestic sales, respectively. The remaining 22% and 24% was generated from non-U.S. sales in the three and nine months ended September 30, 2018, respectively.</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For the three months ended September 30, 2019, the Company recognized 70% of its revenue over time as control of the services and goods transferred to the customer, and 30% at a point in time, when the customer obtained control of the promised goods. For the nine months ended September 30, 2019, the Company recognized 74% of its revenue over time, and 26% at a point in time. For the three and nine months ended September 30, 2018, the Company recognized 80% of its revenue over time, and the remaining 20% at a point in time.</w:t>
      </w:r>
    </w:p>
    <w:p>
      <w:pPr>
        <w:spacing w:after="0" w:line="1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200" w:type="dxa"/>
            <w:vAlign w:val="bottom"/>
            <w:vMerge w:val="restart"/>
          </w:tcPr>
          <w:p>
            <w:pPr>
              <w:jc w:val="center"/>
              <w:ind w:right="145"/>
              <w:spacing w:after="0"/>
              <w:rPr>
                <w:sz w:val="20"/>
                <w:szCs w:val="20"/>
                <w:color w:val="auto"/>
              </w:rPr>
            </w:pPr>
            <w:r>
              <w:rPr>
                <w:rFonts w:ascii="Arial" w:cs="Arial" w:eastAsia="Arial" w:hAnsi="Arial"/>
                <w:sz w:val="14"/>
                <w:szCs w:val="14"/>
                <w:color w:val="auto"/>
              </w:rPr>
              <w:t>December 31,</w:t>
            </w:r>
          </w:p>
        </w:tc>
        <w:tc>
          <w:tcPr>
            <w:tcW w:w="1360" w:type="dxa"/>
            <w:vAlign w:val="bottom"/>
          </w:tcPr>
          <w:p>
            <w:pPr>
              <w:jc w:val="right"/>
              <w:ind w:right="54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b w:val="1"/>
                <w:bCs w:val="1"/>
                <w:color w:val="auto"/>
              </w:rPr>
              <w:t>341,682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311,214</w:t>
            </w:r>
          </w:p>
        </w:tc>
        <w:tc>
          <w:tcPr>
            <w:tcW w:w="1360" w:type="dxa"/>
            <w:vAlign w:val="bottom"/>
          </w:tcPr>
          <w:p>
            <w:pPr>
              <w:jc w:val="right"/>
              <w:ind w:right="525"/>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The majority of the change in the deferred revenue balance is related to the cyclical nature of services at the Kaplan international division. During the nine months ended September 30, 2019, the Company recognized $254.4 million related to the Company’s deferred revenue balance as of December 31, 2018.</w:t>
      </w:r>
    </w:p>
    <w:p>
      <w:pPr>
        <w:spacing w:after="0" w:line="10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2019, KTP’s deferred revenue balance related to certain medical and nursing qualifications with an original contract length greater than twelve months was $8.9 million. KTP expects to recognize 66% of this revenue over the next twelve months and the remainder thereafter.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20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21,311</w:t>
            </w:r>
          </w:p>
        </w:tc>
        <w:tc>
          <w:tcPr>
            <w:tcW w:w="34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29,381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(34,729)</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(312)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15,651</w:t>
            </w:r>
          </w:p>
        </w:tc>
      </w:tr>
    </w:tbl>
    <w:p>
      <w:pPr>
        <w:spacing w:after="0" w:line="32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majority of other activity is related to currency translation adjustments during the nine months ended September 30, 2019. Amortization expense for costs to obtain a contract was $9.2 million for the three months ended September 30, 2019.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5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11. EARNINGS PER SHARE</w:t>
      </w:r>
    </w:p>
    <w:p>
      <w:pPr>
        <w:spacing w:after="0" w:line="14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1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49"/>
        </w:trPr>
        <w:tc>
          <w:tcPr>
            <w:tcW w:w="608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8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43,145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125,064</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181,974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214,521</w:t>
            </w:r>
          </w:p>
        </w:tc>
        <w:tc>
          <w:tcPr>
            <w:tcW w:w="0" w:type="dxa"/>
            <w:vAlign w:val="bottom"/>
          </w:tcPr>
          <w:p>
            <w:pPr>
              <w:spacing w:after="0"/>
              <w:rPr>
                <w:sz w:val="1"/>
                <w:szCs w:val="1"/>
                <w:color w:val="auto"/>
              </w:rPr>
            </w:pPr>
          </w:p>
        </w:tc>
      </w:tr>
      <w:tr>
        <w:trPr>
          <w:trHeight w:val="274"/>
        </w:trPr>
        <w:tc>
          <w:tcPr>
            <w:tcW w:w="608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(7,386)</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(7,048)</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(29,554)</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(28,635)</w:t>
            </w:r>
          </w:p>
        </w:tc>
        <w:tc>
          <w:tcPr>
            <w:tcW w:w="0" w:type="dxa"/>
            <w:vAlign w:val="bottom"/>
          </w:tcPr>
          <w:p>
            <w:pPr>
              <w:spacing w:after="0"/>
              <w:rPr>
                <w:sz w:val="1"/>
                <w:szCs w:val="1"/>
                <w:color w:val="auto"/>
              </w:rPr>
            </w:pPr>
          </w:p>
        </w:tc>
      </w:tr>
      <w:tr>
        <w:trPr>
          <w:trHeight w:val="260"/>
        </w:trPr>
        <w:tc>
          <w:tcPr>
            <w:tcW w:w="608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35,759</w:t>
            </w:r>
          </w:p>
        </w:tc>
        <w:tc>
          <w:tcPr>
            <w:tcW w:w="340" w:type="dxa"/>
            <w:vAlign w:val="bottom"/>
          </w:tcPr>
          <w:p>
            <w:pPr>
              <w:spacing w:after="0"/>
              <w:rPr>
                <w:sz w:val="22"/>
                <w:szCs w:val="22"/>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118,016</w:t>
            </w:r>
          </w:p>
        </w:tc>
        <w:tc>
          <w:tcPr>
            <w:tcW w:w="360" w:type="dxa"/>
            <w:vAlign w:val="bottom"/>
          </w:tcPr>
          <w:p>
            <w:pPr>
              <w:spacing w:after="0"/>
              <w:rPr>
                <w:sz w:val="22"/>
                <w:szCs w:val="22"/>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152,420</w:t>
            </w:r>
          </w:p>
        </w:tc>
        <w:tc>
          <w:tcPr>
            <w:tcW w:w="52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185,886</w:t>
            </w:r>
          </w:p>
        </w:tc>
        <w:tc>
          <w:tcPr>
            <w:tcW w:w="0" w:type="dxa"/>
            <w:vAlign w:val="bottom"/>
          </w:tcPr>
          <w:p>
            <w:pPr>
              <w:spacing w:after="0"/>
              <w:rPr>
                <w:sz w:val="1"/>
                <w:szCs w:val="1"/>
                <w:color w:val="auto"/>
              </w:rPr>
            </w:pPr>
          </w:p>
        </w:tc>
      </w:tr>
      <w:tr>
        <w:trPr>
          <w:trHeight w:val="274"/>
        </w:trPr>
        <w:tc>
          <w:tcPr>
            <w:tcW w:w="608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99.44%</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99.44%</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w:t>
            </w: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35,559</w:t>
            </w:r>
          </w:p>
        </w:tc>
        <w:tc>
          <w:tcPr>
            <w:tcW w:w="340" w:type="dxa"/>
            <w:vAlign w:val="bottom"/>
          </w:tcPr>
          <w:p>
            <w:pPr>
              <w:spacing w:after="0"/>
              <w:rPr>
                <w:sz w:val="22"/>
                <w:szCs w:val="22"/>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117,235</w:t>
            </w:r>
          </w:p>
        </w:tc>
        <w:tc>
          <w:tcPr>
            <w:tcW w:w="360" w:type="dxa"/>
            <w:vAlign w:val="bottom"/>
          </w:tcPr>
          <w:p>
            <w:pPr>
              <w:spacing w:after="0"/>
              <w:rPr>
                <w:sz w:val="22"/>
                <w:szCs w:val="22"/>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151,570</w:t>
            </w:r>
          </w:p>
        </w:tc>
        <w:tc>
          <w:tcPr>
            <w:tcW w:w="520" w:type="dxa"/>
            <w:vAlign w:val="bottom"/>
          </w:tcPr>
          <w:p>
            <w:pPr>
              <w:spacing w:after="0"/>
              <w:rPr>
                <w:sz w:val="22"/>
                <w:szCs w:val="22"/>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184,657</w:t>
            </w:r>
          </w:p>
        </w:tc>
        <w:tc>
          <w:tcPr>
            <w:tcW w:w="0" w:type="dxa"/>
            <w:vAlign w:val="bottom"/>
          </w:tcPr>
          <w:p>
            <w:pPr>
              <w:spacing w:after="0"/>
              <w:rPr>
                <w:sz w:val="1"/>
                <w:szCs w:val="1"/>
                <w:color w:val="auto"/>
              </w:rPr>
            </w:pPr>
          </w:p>
        </w:tc>
      </w:tr>
      <w:tr>
        <w:trPr>
          <w:trHeight w:val="274"/>
        </w:trPr>
        <w:tc>
          <w:tcPr>
            <w:tcW w:w="608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7,345</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7,001</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29,389</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28,447</w:t>
            </w:r>
          </w:p>
        </w:tc>
        <w:tc>
          <w:tcPr>
            <w:tcW w:w="0" w:type="dxa"/>
            <w:vAlign w:val="bottom"/>
          </w:tcPr>
          <w:p>
            <w:pPr>
              <w:spacing w:after="0"/>
              <w:rPr>
                <w:sz w:val="1"/>
                <w:szCs w:val="1"/>
                <w:color w:val="auto"/>
              </w:rPr>
            </w:pPr>
          </w:p>
        </w:tc>
      </w:tr>
      <w:tr>
        <w:trPr>
          <w:trHeight w:val="266"/>
        </w:trPr>
        <w:tc>
          <w:tcPr>
            <w:tcW w:w="608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42,904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124,236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180,959</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213,104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5"/>
        </w:trPr>
        <w:tc>
          <w:tcPr>
            <w:tcW w:w="608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42,906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124,241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180,966</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213,112</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8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4"/>
                <w:szCs w:val="24"/>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5,285</w:t>
            </w:r>
          </w:p>
        </w:tc>
        <w:tc>
          <w:tcPr>
            <w:tcW w:w="340" w:type="dxa"/>
            <w:vAlign w:val="bottom"/>
          </w:tcPr>
          <w:p>
            <w:pPr>
              <w:spacing w:after="0"/>
              <w:rPr>
                <w:sz w:val="24"/>
                <w:szCs w:val="24"/>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5,302</w:t>
            </w:r>
          </w:p>
        </w:tc>
        <w:tc>
          <w:tcPr>
            <w:tcW w:w="360" w:type="dxa"/>
            <w:vAlign w:val="bottom"/>
          </w:tcPr>
          <w:p>
            <w:pPr>
              <w:spacing w:after="0"/>
              <w:rPr>
                <w:sz w:val="24"/>
                <w:szCs w:val="24"/>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5,285</w:t>
            </w:r>
          </w:p>
        </w:tc>
        <w:tc>
          <w:tcPr>
            <w:tcW w:w="520" w:type="dxa"/>
            <w:vAlign w:val="bottom"/>
          </w:tcPr>
          <w:p>
            <w:pPr>
              <w:spacing w:after="0"/>
              <w:rPr>
                <w:sz w:val="24"/>
                <w:szCs w:val="24"/>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5,354</w:t>
            </w:r>
          </w:p>
        </w:tc>
        <w:tc>
          <w:tcPr>
            <w:tcW w:w="0" w:type="dxa"/>
            <w:vAlign w:val="bottom"/>
          </w:tcPr>
          <w:p>
            <w:pPr>
              <w:spacing w:after="0"/>
              <w:rPr>
                <w:sz w:val="1"/>
                <w:szCs w:val="1"/>
                <w:color w:val="auto"/>
              </w:rPr>
            </w:pPr>
          </w:p>
        </w:tc>
      </w:tr>
      <w:tr>
        <w:trPr>
          <w:trHeight w:val="274"/>
        </w:trPr>
        <w:tc>
          <w:tcPr>
            <w:tcW w:w="608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44</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43</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5"/>
        </w:trPr>
        <w:tc>
          <w:tcPr>
            <w:tcW w:w="608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5,329</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5,337</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5,328</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5,390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08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8.12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23.43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34.24</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23.28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33.96</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660" w:type="dxa"/>
            <w:vAlign w:val="bottom"/>
            <w:gridSpan w:val="2"/>
          </w:tcPr>
          <w:p>
            <w:pPr>
              <w:jc w:val="right"/>
              <w:ind w:right="663"/>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2"/>
          </w:tcPr>
          <w:p>
            <w:pPr>
              <w:jc w:val="right"/>
              <w:ind w:right="56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863"/>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2018</w:t>
            </w:r>
          </w:p>
        </w:tc>
        <w:tc>
          <w:tcPr>
            <w:tcW w:w="1700" w:type="dxa"/>
            <w:vAlign w:val="bottom"/>
            <w:tcBorders>
              <w:bottom w:val="single" w:sz="8" w:color="auto"/>
            </w:tcBorders>
          </w:tcPr>
          <w:p>
            <w:pPr>
              <w:jc w:val="right"/>
              <w:ind w:right="966"/>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w w:val="96"/>
              </w:rPr>
              <w:t>2018</w:t>
            </w:r>
          </w:p>
        </w:tc>
      </w:tr>
      <w:tr>
        <w:trPr>
          <w:trHeight w:val="257"/>
        </w:trPr>
        <w:tc>
          <w:tcPr>
            <w:tcW w:w="62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80" w:type="dxa"/>
            <w:vAlign w:val="bottom"/>
          </w:tcPr>
          <w:p>
            <w:pPr>
              <w:jc w:val="right"/>
              <w:ind w:right="266"/>
              <w:spacing w:after="0"/>
              <w:rPr>
                <w:sz w:val="20"/>
                <w:szCs w:val="20"/>
                <w:color w:val="auto"/>
              </w:rPr>
            </w:pPr>
            <w:r>
              <w:rPr>
                <w:rFonts w:ascii="Arial" w:cs="Arial" w:eastAsia="Arial" w:hAnsi="Arial"/>
                <w:sz w:val="16"/>
                <w:szCs w:val="16"/>
                <w:b w:val="1"/>
                <w:bCs w:val="1"/>
                <w:color w:val="auto"/>
              </w:rPr>
              <w:t>14</w:t>
            </w:r>
          </w:p>
        </w:tc>
        <w:tc>
          <w:tcPr>
            <w:tcW w:w="1280" w:type="dxa"/>
            <w:vAlign w:val="bottom"/>
          </w:tcPr>
          <w:p>
            <w:pPr>
              <w:jc w:val="right"/>
              <w:ind w:right="243"/>
              <w:spacing w:after="0"/>
              <w:rPr>
                <w:sz w:val="20"/>
                <w:szCs w:val="20"/>
                <w:color w:val="auto"/>
              </w:rPr>
            </w:pPr>
            <w:r>
              <w:rPr>
                <w:rFonts w:ascii="Arial" w:cs="Arial" w:eastAsia="Arial" w:hAnsi="Arial"/>
                <w:sz w:val="16"/>
                <w:szCs w:val="16"/>
                <w:color w:val="auto"/>
              </w:rPr>
              <w:t>21</w:t>
            </w:r>
          </w:p>
        </w:tc>
        <w:tc>
          <w:tcPr>
            <w:tcW w:w="1700" w:type="dxa"/>
            <w:vAlign w:val="bottom"/>
          </w:tcPr>
          <w:p>
            <w:pPr>
              <w:jc w:val="right"/>
              <w:ind w:right="606"/>
              <w:spacing w:after="0"/>
              <w:rPr>
                <w:sz w:val="20"/>
                <w:szCs w:val="20"/>
                <w:color w:val="auto"/>
              </w:rPr>
            </w:pPr>
            <w:r>
              <w:rPr>
                <w:rFonts w:ascii="Arial" w:cs="Arial" w:eastAsia="Arial" w:hAnsi="Arial"/>
                <w:sz w:val="16"/>
                <w:szCs w:val="16"/>
                <w:b w:val="1"/>
                <w:bCs w:val="1"/>
                <w:color w:val="auto"/>
              </w:rPr>
              <w:t>12</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23</w:t>
            </w:r>
          </w:p>
        </w:tc>
      </w:tr>
    </w:tbl>
    <w:p>
      <w:pPr>
        <w:spacing w:after="0" w:line="32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diluted earnings per share amounts for the three and nine months ended September 30, 2019 and September 30, 2018 exclude the effects of 104,000 stock options outstanding, as their inclusion would have been antidilutive due to a market condition. The diluted earnings per share amounts for the three and nine months ended September 30, 2018 exclude the effects of 5,250 restricted stock awards as their inclusion would have been antidilutive due to a performance condition.</w:t>
      </w:r>
    </w:p>
    <w:p>
      <w:pPr>
        <w:spacing w:after="0" w:line="111"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In the three and nine months ended September 30, 2019, the Company declared regular dividends totaling $ 1.39 and $ 5.56 per common share, respectively. In the three and nine months ended September 30, 2018, the Company declared regular dividends totaling $1.33 and $5.32 per common share,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ectPr>
          <w:pgSz w:w="11900" w:h="16838" w:orient="portrait"/>
          <w:cols w:equalWidth="0" w:num="1">
            <w:col w:w="11420"/>
          </w:cols>
          <w:pgMar w:left="240" w:top="695" w:right="2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695"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5,142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4,473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15,326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13,730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11,743</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11,844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35,078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34,943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(30,832)</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(31,969)</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(91,955)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(97,251)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824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2,058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(2,974)</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(13,123)</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(18,590)</w:t>
            </w:r>
          </w:p>
        </w:tc>
        <w:tc>
          <w:tcPr>
            <w:tcW w:w="2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(39,493)</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(55,458)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(175)</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6,432</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(13,298)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(33,061)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the second quarter of 2019, the Company offered a Separation Incentive Program (SIP) for certain Kaplan employees, which was funded from the assets of the Company’s pension plan. The Company recorded $6.4 million in expense related to the SIP for the nine months ended September 30,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214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643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1,079</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967</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3,236</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85</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254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233</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579</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600</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1,736</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1,802</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1,957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5,869</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5,548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0"/>
        </w:trPr>
        <w:tc>
          <w:tcPr>
            <w:tcW w:w="8480" w:type="dxa"/>
            <w:vAlign w:val="bottom"/>
          </w:tcPr>
          <w:p>
            <w:pPr>
              <w:spacing w:after="0"/>
              <w:rPr>
                <w:sz w:val="24"/>
                <w:szCs w:val="24"/>
                <w:color w:val="auto"/>
              </w:rPr>
            </w:pPr>
          </w:p>
        </w:tc>
        <w:tc>
          <w:tcPr>
            <w:tcW w:w="1720" w:type="dxa"/>
            <w:vAlign w:val="bottom"/>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203"/>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2018</w:t>
            </w:r>
          </w:p>
        </w:tc>
      </w:tr>
      <w:tr>
        <w:trPr>
          <w:trHeight w:val="257"/>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55%</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21%</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17%</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4"/>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manages approximately 44% of the pension assets internally, of which the majority is invested in a U.S. stock index fund with the remaining investments in Berkshire Hathaway stock and short-term fixed income securities. The remaining 56%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30% of the assets it manages in specified international exchanges at the time the investment is made, and no less than 5% of the assets could be invested in fixed-income securities.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13"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ectPr>
          <w:pgSz w:w="11900" w:h="16838" w:orient="portrait"/>
          <w:cols w:equalWidth="0" w:num="1">
            <w:col w:w="11420"/>
          </w:cols>
          <w:pgMar w:left="240" w:top="695"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695" w:right="239" w:bottom="1440" w:gutter="0" w:footer="0" w:header="0"/>
          <w:type w:val="continuous"/>
        </w:sectPr>
      </w:pPr>
    </w:p>
    <w:bookmarkStart w:id="23" w:name="page24"/>
    <w:bookmarkEnd w:id="23"/>
    <w:p>
      <w:pPr>
        <w:ind w:right="140"/>
        <w:spacing w:after="0" w:line="229"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2019. Types of concentrations that were evaluated include, but are not limited to, investment concentrations in a single entity, type of industry, foreign country and individual fund. At September 30, 2019 and December 31, 2018, the pension plan held investments in one common stock and one U.S. stock index fund that exceeded 10% of total plan assets. These investments were valued at $853.3 million and $945.6 million at September 30, 2019 and December 31, 2018, respectively, or approximately 35% and 45%, respectively, of total plan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267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803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72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23"/>
                <w:szCs w:val="23"/>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216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(1,841)</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(5,522)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(1,090)</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(3,270)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(2,859)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(8,576)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1"/>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an equity affiliate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28,994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cost method investments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3,669</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8,487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5,080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8,487</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661</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1,284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Impairment of a cost method investment</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(2,500)</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486</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916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8,157</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cost method investments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259</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 gain on sale of property, plant and equipment</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(38)</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274"/>
        </w:trPr>
        <w:tc>
          <w:tcPr>
            <w:tcW w:w="6280" w:type="dxa"/>
            <w:vAlign w:val="bottom"/>
          </w:tcPr>
          <w:p>
            <w:pPr>
              <w:ind w:left="40"/>
              <w:spacing w:after="0"/>
              <w:rPr>
                <w:sz w:val="20"/>
                <w:szCs w:val="20"/>
                <w:color w:val="auto"/>
              </w:rPr>
            </w:pPr>
            <w:r>
              <w:rPr>
                <w:rFonts w:ascii="Arial" w:cs="Arial" w:eastAsia="Arial" w:hAnsi="Arial"/>
                <w:sz w:val="16"/>
                <w:szCs w:val="16"/>
                <w:color w:val="auto"/>
              </w:rPr>
              <w:t>Other gain (loss), net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519</w:t>
            </w: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5,556</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14,662</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the third quarter of 2019, the Company recorded a $3.7 million gain resulting from observable price changes in the fair value of equity securities accounted for under the cost method.</w:t>
      </w:r>
    </w:p>
    <w:p>
      <w:pPr>
        <w:spacing w:after="0" w:line="9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In the first quarter of 2019, the Company recorded a $1.3 million gain resulting from observable price changes in the fair value of equity securities accounted for under the cost method.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144"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In the third quarter of 2018, the Company recorded an $8.5 million gain resulting from observable price changes in the fair value of equity securities accounted for under the cost method.</w:t>
      </w:r>
    </w:p>
    <w:p>
      <w:pPr>
        <w:spacing w:after="0" w:line="9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the first nine months of 2018, the Company recorded an $8.2 million gain on the sale of three businesses in the education division, including a gain of $4.3 million on the Kaplan University transaction and a $1.9 million in contingent consideration gains related to the sale of a business (see Note 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5"/>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22"/>
                <w:szCs w:val="22"/>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Tax</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(16,684)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(16,684)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(2,844)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(2,844)</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14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(932)</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34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(680)</w:t>
            </w:r>
          </w:p>
        </w:tc>
        <w:tc>
          <w:tcPr>
            <w:tcW w:w="200" w:type="dxa"/>
            <w:vAlign w:val="bottom"/>
          </w:tcPr>
          <w:p>
            <w:pPr>
              <w:spacing w:after="0"/>
              <w:rPr>
                <w:sz w:val="24"/>
                <w:szCs w:val="24"/>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51</w:t>
            </w:r>
          </w:p>
        </w:tc>
      </w:tr>
      <w:tr>
        <w:trPr>
          <w:trHeight w:val="274"/>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(511)</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(373)</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(3,295)</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891</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w:t>
            </w:r>
          </w:p>
        </w:tc>
      </w:tr>
      <w:tr>
        <w:trPr>
          <w:trHeight w:val="261"/>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(1,443)</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(1,053)</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(3,226)</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873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2"/>
        </w:trPr>
        <w:tc>
          <w:tcPr>
            <w:tcW w:w="5040" w:type="dxa"/>
            <w:vAlign w:val="bottom"/>
          </w:tcPr>
          <w:p>
            <w:pPr>
              <w:ind w:left="180"/>
              <w:spacing w:after="0"/>
              <w:rPr>
                <w:sz w:val="20"/>
                <w:szCs w:val="20"/>
                <w:color w:val="auto"/>
              </w:rPr>
            </w:pPr>
            <w:r>
              <w:rPr>
                <w:rFonts w:ascii="Arial" w:cs="Arial" w:eastAsia="Arial" w:hAnsi="Arial"/>
                <w:sz w:val="16"/>
                <w:szCs w:val="16"/>
                <w:color w:val="auto"/>
              </w:rPr>
              <w:t>Loss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(477)</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(349)</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(18,086)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(6,076)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31"/>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22"/>
                <w:szCs w:val="22"/>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Tax</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(17,755)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(17,755)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(22,447)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(22,447)</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14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(3,210)</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867</w:t>
            </w:r>
          </w:p>
        </w:tc>
        <w:tc>
          <w:tcPr>
            <w:tcW w:w="34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(2,343)</w:t>
            </w:r>
          </w:p>
        </w:tc>
        <w:tc>
          <w:tcPr>
            <w:tcW w:w="200" w:type="dxa"/>
            <w:vAlign w:val="bottom"/>
          </w:tcPr>
          <w:p>
            <w:pPr>
              <w:spacing w:after="0"/>
              <w:rPr>
                <w:sz w:val="24"/>
                <w:szCs w:val="24"/>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157</w:t>
            </w:r>
          </w:p>
        </w:tc>
      </w:tr>
      <w:tr>
        <w:trPr>
          <w:trHeight w:val="274"/>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(1,534)</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(1,120)</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(7,956)</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2,148</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w:t>
            </w:r>
          </w:p>
        </w:tc>
      </w:tr>
      <w:tr>
        <w:trPr>
          <w:trHeight w:val="261"/>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(4,744)</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(3,463)</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(7,741)</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2,090</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(5,651)</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2"/>
        </w:trPr>
        <w:tc>
          <w:tcPr>
            <w:tcW w:w="5040" w:type="dxa"/>
            <w:vAlign w:val="bottom"/>
          </w:tcPr>
          <w:p>
            <w:pPr>
              <w:ind w:left="180"/>
              <w:spacing w:after="0"/>
              <w:rPr>
                <w:sz w:val="20"/>
                <w:szCs w:val="20"/>
                <w:color w:val="auto"/>
              </w:rPr>
            </w:pPr>
            <w:r>
              <w:rPr>
                <w:rFonts w:ascii="Arial" w:cs="Arial" w:eastAsia="Arial" w:hAnsi="Arial"/>
                <w:sz w:val="16"/>
                <w:szCs w:val="16"/>
                <w:color w:val="auto"/>
              </w:rPr>
              <w:t>(Loss) 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(904)</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(673)</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601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487</w:t>
            </w: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(23,403)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(21,891)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(29,587)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(27,611)</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440" w:type="dxa"/>
            <w:vAlign w:val="bottom"/>
          </w:tcPr>
          <w:p>
            <w:pPr>
              <w:jc w:val="center"/>
              <w:ind w:right="16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Other</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4"/>
                <w:szCs w:val="14"/>
                <w:color w:val="auto"/>
              </w:rPr>
            </w:pPr>
          </w:p>
        </w:tc>
        <w:tc>
          <w:tcPr>
            <w:tcW w:w="1400" w:type="dxa"/>
            <w:vAlign w:val="bottom"/>
          </w:tcPr>
          <w:p>
            <w:pPr>
              <w:jc w:val="center"/>
              <w:ind w:right="123"/>
              <w:spacing w:after="0"/>
              <w:rPr>
                <w:sz w:val="20"/>
                <w:szCs w:val="20"/>
                <w:color w:val="auto"/>
              </w:rPr>
            </w:pPr>
            <w:r>
              <w:rPr>
                <w:rFonts w:ascii="Arial" w:cs="Arial" w:eastAsia="Arial" w:hAnsi="Arial"/>
                <w:sz w:val="14"/>
                <w:szCs w:val="14"/>
                <w:b w:val="1"/>
                <w:bCs w:val="1"/>
                <w:color w:val="auto"/>
              </w:rPr>
              <w:t>Comprehensive</w:t>
            </w:r>
          </w:p>
        </w:tc>
      </w:tr>
      <w:tr>
        <w:trPr>
          <w:trHeight w:val="203"/>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Income</w:t>
            </w:r>
          </w:p>
        </w:tc>
      </w:tr>
      <w:tr>
        <w:trPr>
          <w:trHeight w:val="249"/>
        </w:trPr>
        <w:tc>
          <w:tcPr>
            <w:tcW w:w="55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(29,270)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232,836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
              <w:spacing w:after="0"/>
              <w:rPr>
                <w:sz w:val="20"/>
                <w:szCs w:val="20"/>
                <w:color w:val="auto"/>
              </w:rPr>
            </w:pPr>
            <w:r>
              <w:rPr>
                <w:rFonts w:ascii="Arial" w:cs="Arial" w:eastAsia="Arial" w:hAnsi="Arial"/>
                <w:sz w:val="16"/>
                <w:szCs w:val="16"/>
                <w:color w:val="auto"/>
              </w:rPr>
              <w:t>203,829</w:t>
            </w:r>
          </w:p>
        </w:tc>
      </w:tr>
      <w:tr>
        <w:trPr>
          <w:trHeight w:val="278"/>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200" w:type="dxa"/>
            <w:vAlign w:val="bottom"/>
          </w:tcPr>
          <w:p>
            <w:pPr>
              <w:spacing w:after="0"/>
              <w:rPr>
                <w:sz w:val="24"/>
                <w:szCs w:val="24"/>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(17,755)</w:t>
            </w:r>
          </w:p>
        </w:tc>
        <w:tc>
          <w:tcPr>
            <w:tcW w:w="260" w:type="dxa"/>
            <w:vAlign w:val="bottom"/>
          </w:tcPr>
          <w:p>
            <w:pPr>
              <w:spacing w:after="0"/>
              <w:rPr>
                <w:sz w:val="24"/>
                <w:szCs w:val="24"/>
                <w:color w:val="auto"/>
              </w:rPr>
            </w:pPr>
          </w:p>
        </w:tc>
        <w:tc>
          <w:tcPr>
            <w:tcW w:w="144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(562)</w:t>
            </w: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(18,317)</w:t>
            </w:r>
          </w:p>
        </w:tc>
      </w:tr>
      <w:tr>
        <w:trPr>
          <w:trHeight w:val="204"/>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2"/>
        </w:trPr>
        <w:tc>
          <w:tcPr>
            <w:tcW w:w="5500" w:type="dxa"/>
            <w:vAlign w:val="bottom"/>
          </w:tcPr>
          <w:p>
            <w:pPr>
              <w:ind w:left="260"/>
              <w:spacing w:after="0"/>
              <w:rPr>
                <w:sz w:val="20"/>
                <w:szCs w:val="20"/>
                <w:color w:val="auto"/>
              </w:rPr>
            </w:pPr>
            <w:r>
              <w:rPr>
                <w:rFonts w:ascii="Arial" w:cs="Arial" w:eastAsia="Arial" w:hAnsi="Arial"/>
                <w:sz w:val="16"/>
                <w:szCs w:val="16"/>
                <w:b w:val="1"/>
                <w:bCs w:val="1"/>
                <w:color w:val="auto"/>
              </w:rPr>
              <w:t>income (loss)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(3,463)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(111)</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(3,574)</w:t>
            </w:r>
          </w:p>
        </w:tc>
      </w:tr>
      <w:tr>
        <w:trPr>
          <w:trHeight w:val="264"/>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net of tax</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(17,755)</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(3,463)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(673)</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(21,891)</w:t>
            </w:r>
          </w:p>
        </w:tc>
      </w:tr>
      <w:tr>
        <w:trPr>
          <w:trHeight w:val="26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(47,025)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229,373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181,938</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0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c>
          <w:tcPr>
            <w:tcW w:w="28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50"/>
        </w:trPr>
        <w:tc>
          <w:tcPr>
            <w:tcW w:w="4360" w:type="dxa"/>
            <w:vAlign w:val="bottom"/>
          </w:tcPr>
          <w:p>
            <w:pPr>
              <w:spacing w:after="0"/>
              <w:rPr>
                <w:sz w:val="13"/>
                <w:szCs w:val="13"/>
                <w:color w:val="auto"/>
              </w:rPr>
            </w:pPr>
          </w:p>
        </w:tc>
        <w:tc>
          <w:tcPr>
            <w:tcW w:w="2040" w:type="dxa"/>
            <w:vAlign w:val="bottom"/>
            <w:gridSpan w:val="2"/>
          </w:tcPr>
          <w:p>
            <w:pPr>
              <w:jc w:val="right"/>
              <w:ind w:right="488"/>
              <w:spacing w:after="0" w:line="151" w:lineRule="exact"/>
              <w:rPr>
                <w:sz w:val="20"/>
                <w:szCs w:val="20"/>
                <w:color w:val="auto"/>
              </w:rPr>
            </w:pPr>
            <w:r>
              <w:rPr>
                <w:rFonts w:ascii="Arial" w:cs="Arial" w:eastAsia="Arial" w:hAnsi="Arial"/>
                <w:sz w:val="14"/>
                <w:szCs w:val="14"/>
                <w:b w:val="1"/>
                <w:bCs w:val="1"/>
                <w:color w:val="auto"/>
              </w:rPr>
              <w:t>September 30</w:t>
            </w:r>
          </w:p>
        </w:tc>
        <w:tc>
          <w:tcPr>
            <w:tcW w:w="2180" w:type="dxa"/>
            <w:vAlign w:val="bottom"/>
            <w:gridSpan w:val="2"/>
          </w:tcPr>
          <w:p>
            <w:pPr>
              <w:jc w:val="right"/>
              <w:ind w:right="508"/>
              <w:spacing w:after="0" w:line="151" w:lineRule="exact"/>
              <w:rPr>
                <w:sz w:val="20"/>
                <w:szCs w:val="20"/>
                <w:color w:val="auto"/>
              </w:rPr>
            </w:pPr>
            <w:r>
              <w:rPr>
                <w:rFonts w:ascii="Arial" w:cs="Arial" w:eastAsia="Arial" w:hAnsi="Arial"/>
                <w:sz w:val="14"/>
                <w:szCs w:val="14"/>
                <w:b w:val="1"/>
                <w:bCs w:val="1"/>
                <w:color w:val="auto"/>
              </w:rPr>
              <w:t>September 30</w:t>
            </w:r>
          </w:p>
        </w:tc>
        <w:tc>
          <w:tcPr>
            <w:tcW w:w="2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40" w:type="dxa"/>
            <w:vAlign w:val="bottom"/>
            <w:vMerge w:val="restart"/>
          </w:tcPr>
          <w:p>
            <w:pPr>
              <w:jc w:val="center"/>
              <w:ind w:left="28"/>
              <w:spacing w:after="0" w:line="133"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59"/>
        </w:trPr>
        <w:tc>
          <w:tcPr>
            <w:tcW w:w="4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2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bl>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(932)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(3,210)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4"/>
        </w:trPr>
        <w:tc>
          <w:tcPr>
            <w:tcW w:w="436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(511)</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(3,295)</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(1,534)</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0"/>
        </w:trPr>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(1,443)</w:t>
            </w:r>
          </w:p>
        </w:tc>
        <w:tc>
          <w:tcPr>
            <w:tcW w:w="3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(3,226)</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(4,744)</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(7,741)</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4"/>
        </w:trPr>
        <w:tc>
          <w:tcPr>
            <w:tcW w:w="43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390</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873</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1,281</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2,090</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1"/>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(1,053)</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(2,353)</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(3,463)</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(5,651)</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3"/>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(24)</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4"/>
        </w:trPr>
        <w:tc>
          <w:tcPr>
            <w:tcW w:w="43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(5,733)</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120" w:hanging="412"/>
        <w:spacing w:after="0" w:line="27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AND REGULATORY MATTERS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10"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222222"/>
        </w:rPr>
        <w:t xml:space="preserve">On September 3, 2015, Kaplan sold to ECA substantially all of the assets of KHE nationally accredited on-ground Title IV eligible schools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8"/>
          <w:szCs w:val="18"/>
          <w:color w:val="000000"/>
        </w:rPr>
        <w:t>ECA is currently in receivership, has</w:t>
      </w:r>
      <w:r>
        <w:rPr>
          <w:rFonts w:ascii="Arial" w:cs="Arial" w:eastAsia="Arial" w:hAnsi="Arial"/>
          <w:sz w:val="18"/>
          <w:szCs w:val="18"/>
          <w:color w:val="222222"/>
        </w:rPr>
        <w:t xml:space="preserve"> </w:t>
      </w:r>
      <w:r>
        <w:rPr>
          <w:rFonts w:ascii="Arial" w:cs="Arial" w:eastAsia="Arial" w:hAnsi="Arial"/>
          <w:sz w:val="18"/>
          <w:szCs w:val="18"/>
          <w:color w:val="000000"/>
        </w:rPr>
        <w:t>terminated all of its higher education operations and has sold the New England College of Business (NECB). The receiver has repudiated all of ECA’s real estate leases.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 In the second half of 2018, the Company recorded an estimated $17.5 million in losses on guarantor lease obligations in connection with this transaction in other non-operating expense. The Company continues to monitor the status of these obligations and there was no significant change to estimated losses in the first nine months of 2019.</w:t>
      </w:r>
    </w:p>
    <w:p>
      <w:pPr>
        <w:spacing w:after="0" w:line="110"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years 2014 to 2017, which have been paid by Kaplan. In September 2017, in a case captioned Kaplan International Colleges UK Limited v. The Commissioners for Her Majesty’s Revenue and Customs, Kaplan challenged these assessments. The Company believes it has met all requirements under U.K. VAT law and is entitled to recover the £17.3 million receivable related to the assessments and subsequent payments that have been paid through September 30, 2019. Following a hearing held in January 2019 before the First Tier Tax Tribunal, all issues related to EU law in the case were referred to the Court of Justice of the European Union. In the third quarter of 2019, the Company has recorded a full provision of £17.3 million against this receivable to expense, due to recent developments in the case. Of this amount, £ 14.1 million relates to years 2014 to 2018. If the Company ultimately prevails in this case, the provision will be reversed and a pre-tax credit will be recorded as a reduction to expense in the Company’s Condensed Consolidated Statement of Operations. The result of the case is expected to be known by the end of 2020.</w:t>
      </w:r>
    </w:p>
    <w:p>
      <w:pPr>
        <w:spacing w:after="0" w:line="112"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In a separate matter, there was a legal case awaiting judgment at the Supreme Court in the U.K. as of December 31, 2018 that could have impacted U.K. Pathways’ ability to receive the benefit of an exemption from charging its students VAT on tuition fees. The case could have reversed or amended the law and guidance permitting private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7" w:right="239" w:bottom="1440" w:gutter="0" w:footer="0" w:header="0"/>
        </w:sectPr>
      </w:pPr>
    </w:p>
    <w:bookmarkStart w:id="26" w:name="page27"/>
    <w:bookmarkEnd w:id="26"/>
    <w:p>
      <w:pPr>
        <w:ind w:right="100"/>
        <w:spacing w:after="0" w:line="228" w:lineRule="auto"/>
        <w:rPr>
          <w:sz w:val="20"/>
          <w:szCs w:val="20"/>
          <w:color w:val="auto"/>
        </w:rPr>
      </w:pPr>
      <w:r>
        <w:rPr>
          <w:rFonts w:ascii="Arial" w:cs="Arial" w:eastAsia="Arial" w:hAnsi="Arial"/>
          <w:sz w:val="18"/>
          <w:szCs w:val="18"/>
          <w:color w:val="auto"/>
        </w:rPr>
        <w:t>providers to qualify as a “college of a university” and, therefore, receive the benefit of an exemption from charging its students VAT on tuition fees. However the Supreme Court decided the case in the college’s favor. The result was more favorable to private providers working in collaboration with a university than the opposing view. The Supreme Court emphasized five key tests for a private provider to satisfy so that it could exempt its services as a “college of a university”, even if it did not have a constitutional link to the university. Satisfying these tests would generally show that the college had a sufficiently close relationship with the university and its activities were sufficiently integrated with the university, to constitute a “college of a university”. Although the new test has now been incorporated into official HMRC guidance, it is not yet clear how HMRC will apply the Supreme Court judgment and the five key tests in practice.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The ED has undertaken program reviews at various KHE locations.</w:t>
      </w:r>
    </w:p>
    <w:p>
      <w:pPr>
        <w:spacing w:after="0" w:line="14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February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retained liability for any financial obligations the ED might impose under this program review and that are the result of actions taken during the time that Kaplan owned the institution. In September 2018, the ED issued a Preliminary Program Report (Preliminary Report) and none of the initial findings in the Preliminary Report carried material financial liability. Although the program review technically covers only the 2013-2015 award years, the ED included a review of the treatment of student financial aid refunds for students who withdrew from a program prior to completion in 2017-2018. In August 2019, the ED issued a Final Program Report, with a nominal financial liability.</w:t>
      </w:r>
    </w:p>
    <w:p>
      <w:pPr>
        <w:spacing w:after="0" w:line="10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There were two other open program reviews at campuses that were part of the KHE Campuses business prior to its sale in 2015 to ECA. The ED’s reports on the program reviews at former KHE Broomall, PA, and Pittsburgh, PA, locations were recently finalized with no additional financial obligation.</w:t>
      </w:r>
    </w:p>
    <w:p>
      <w:pPr>
        <w:spacing w:after="0" w:line="106"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Regulatory Matters. </w:t>
      </w:r>
      <w:r>
        <w:rPr>
          <w:rFonts w:ascii="Arial" w:cs="Arial" w:eastAsia="Arial" w:hAnsi="Arial"/>
          <w:sz w:val="18"/>
          <w:szCs w:val="18"/>
          <w:color w:val="auto"/>
        </w:rPr>
        <w:t>In November 2018, Kaplan Learning Institute in Singapore (KLI) was notified by SkillsFuture Singapore (SSG), a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board under the Singapore Ministry of Education, that its right to deliver workforce skills qualifications (WSQ) courses under the Leadership &amp; People Management framework would be suspended for six months from December 1, 2018. In June 2019, SSG notified KLI that from July 1, 2019, SSG was suspending KLI’s WSQ Approved Training Organization status for twelve months and terminating its WSQ course accreditation and funding due to findings of non-compliance with WSQ assessment principles. Kaplan Singapore has subsequently begun the process of voluntarily de-registering KLI as a Private Education institution. These actions have and will continue to adversely impact Kaplan Singapore’s revenues and operating results for 2019, as compared to 2018.</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16. BUSINESS SEGMENTS</w:t>
      </w:r>
    </w:p>
    <w:p>
      <w:pPr>
        <w:spacing w:after="0" w:line="146"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The Company changed the presentation of its segments in the third quarter of 2019 into the following eight reportable segments: Kaplan International, Kaplan Higher Education, Kaplan Test Preparation, Kaplan Professional (U.S.), Television Broadcasting, Manufacturing, Healthcare, and SocialCode.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300" w:type="dxa"/>
            <w:vAlign w:val="bottom"/>
          </w:tcPr>
          <w:p>
            <w:pPr>
              <w:jc w:val="right"/>
              <w:ind w:right="15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71"/>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372,454</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367,763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357,319</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108,223</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116,628</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115,161</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115,157</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114,873</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111,676</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37,728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40,641</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40,688</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13,447</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16,382</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15,975</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45,230</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81,359</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98,225</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4"/>
        </w:trPr>
        <w:tc>
          <w:tcPr>
            <w:tcW w:w="71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0" w:type="dxa"/>
            <w:vAlign w:val="bottom"/>
          </w:tcPr>
          <w:p>
            <w:pPr>
              <w:spacing w:after="0"/>
              <w:rPr>
                <w:sz w:val="1"/>
                <w:szCs w:val="1"/>
                <w:color w:val="auto"/>
              </w:rPr>
            </w:pPr>
          </w:p>
        </w:tc>
      </w:tr>
      <w:tr>
        <w:trPr>
          <w:trHeight w:val="261"/>
        </w:trPr>
        <w:tc>
          <w:tcPr>
            <w:tcW w:w="7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692,199</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737,602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738,820</w:t>
            </w:r>
          </w:p>
        </w:tc>
        <w:tc>
          <w:tcPr>
            <w:tcW w:w="0" w:type="dxa"/>
            <w:vAlign w:val="bottom"/>
          </w:tcPr>
          <w:p>
            <w:pPr>
              <w:spacing w:after="0"/>
              <w:rPr>
                <w:sz w:val="1"/>
                <w:szCs w:val="1"/>
                <w:color w:val="auto"/>
              </w:rPr>
            </w:pPr>
          </w:p>
        </w:tc>
      </w:tr>
      <w:tr>
        <w:trPr>
          <w:trHeight w:val="263"/>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25,595</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26,305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(7,161)</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35,540</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44,494</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36,813</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3,274</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4,692</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6,845</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2,329</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2,598</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1,208</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(4,018)</w:t>
            </w: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(8,493)</w:t>
            </w: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(5,913)</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(9,029)</w:t>
            </w:r>
          </w:p>
        </w:tc>
        <w:tc>
          <w:tcPr>
            <w:tcW w:w="0" w:type="dxa"/>
            <w:vAlign w:val="bottom"/>
          </w:tcPr>
          <w:p>
            <w:pPr>
              <w:spacing w:after="0"/>
              <w:rPr>
                <w:sz w:val="1"/>
                <w:szCs w:val="1"/>
                <w:color w:val="auto"/>
              </w:rPr>
            </w:pPr>
          </w:p>
        </w:tc>
      </w:tr>
      <w:tr>
        <w:trPr>
          <w:trHeight w:val="274"/>
        </w:trPr>
        <w:tc>
          <w:tcPr>
            <w:tcW w:w="71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(14,224)</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(13,238)</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(12,030)</w:t>
            </w: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40,003</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57,963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16,268</w:t>
            </w:r>
          </w:p>
        </w:tc>
        <w:tc>
          <w:tcPr>
            <w:tcW w:w="0" w:type="dxa"/>
            <w:vAlign w:val="bottom"/>
          </w:tcPr>
          <w:p>
            <w:pPr>
              <w:spacing w:after="0"/>
              <w:rPr>
                <w:sz w:val="1"/>
                <w:szCs w:val="1"/>
                <w:color w:val="auto"/>
              </w:rPr>
            </w:pPr>
          </w:p>
        </w:tc>
      </w:tr>
      <w:tr>
        <w:trPr>
          <w:trHeight w:val="260"/>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4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1,679</w:t>
            </w:r>
          </w:p>
        </w:tc>
        <w:tc>
          <w:tcPr>
            <w:tcW w:w="32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1,467</w:t>
            </w:r>
          </w:p>
        </w:tc>
        <w:tc>
          <w:tcPr>
            <w:tcW w:w="2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4,683</w:t>
            </w:r>
          </w:p>
        </w:tc>
        <w:tc>
          <w:tcPr>
            <w:tcW w:w="0" w:type="dxa"/>
            <w:vAlign w:val="bottom"/>
          </w:tcPr>
          <w:p>
            <w:pPr>
              <w:spacing w:after="0"/>
              <w:rPr>
                <w:sz w:val="1"/>
                <w:szCs w:val="1"/>
                <w:color w:val="auto"/>
              </w:rPr>
            </w:pPr>
          </w:p>
        </w:tc>
      </w:tr>
      <w:tr>
        <w:trPr>
          <w:trHeight w:val="270"/>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(5,725)</w:t>
            </w: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(6,807)</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(5,302)</w:t>
            </w:r>
          </w:p>
        </w:tc>
        <w:tc>
          <w:tcPr>
            <w:tcW w:w="0" w:type="dxa"/>
            <w:vAlign w:val="bottom"/>
          </w:tcPr>
          <w:p>
            <w:pPr>
              <w:spacing w:after="0"/>
              <w:rPr>
                <w:sz w:val="1"/>
                <w:szCs w:val="1"/>
                <w:color w:val="auto"/>
              </w:rPr>
            </w:pPr>
          </w:p>
        </w:tc>
      </w:tr>
      <w:tr>
        <w:trPr>
          <w:trHeight w:val="270"/>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19,928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12,253</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19,556</w:t>
            </w:r>
          </w:p>
        </w:tc>
        <w:tc>
          <w:tcPr>
            <w:tcW w:w="0" w:type="dxa"/>
            <w:vAlign w:val="bottom"/>
          </w:tcPr>
          <w:p>
            <w:pPr>
              <w:spacing w:after="0"/>
              <w:rPr>
                <w:sz w:val="1"/>
                <w:szCs w:val="1"/>
                <w:color w:val="auto"/>
              </w:rPr>
            </w:pPr>
          </w:p>
        </w:tc>
      </w:tr>
      <w:tr>
        <w:trPr>
          <w:trHeight w:val="270"/>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Gain on Marketable Equity Securities, Net</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24,066</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7,791</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17,404</w:t>
            </w:r>
          </w:p>
        </w:tc>
        <w:tc>
          <w:tcPr>
            <w:tcW w:w="0" w:type="dxa"/>
            <w:vAlign w:val="bottom"/>
          </w:tcPr>
          <w:p>
            <w:pPr>
              <w:spacing w:after="0"/>
              <w:rPr>
                <w:sz w:val="1"/>
                <w:szCs w:val="1"/>
                <w:color w:val="auto"/>
              </w:rPr>
            </w:pPr>
          </w:p>
        </w:tc>
      </w:tr>
      <w:tr>
        <w:trPr>
          <w:trHeight w:val="274"/>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29,351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1,228</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5,556</w:t>
            </w:r>
          </w:p>
        </w:tc>
        <w:tc>
          <w:tcPr>
            <w:tcW w:w="0" w:type="dxa"/>
            <w:vAlign w:val="bottom"/>
          </w:tcPr>
          <w:p>
            <w:pPr>
              <w:spacing w:after="0"/>
              <w:rPr>
                <w:sz w:val="1"/>
                <w:szCs w:val="1"/>
                <w:color w:val="auto"/>
              </w:rPr>
            </w:pPr>
          </w:p>
        </w:tc>
      </w:tr>
      <w:tr>
        <w:trPr>
          <w:trHeight w:val="267"/>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109,302</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73,895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58,165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6,201</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6,137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6,258</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3,239</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3,293</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3,307</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2,433</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2,384</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2,671</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610</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607</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566</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384</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356</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648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837</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1,974</w:t>
            </w:r>
          </w:p>
        </w:tc>
        <w:tc>
          <w:tcPr>
            <w:tcW w:w="0" w:type="dxa"/>
            <w:vAlign w:val="bottom"/>
          </w:tcPr>
          <w:p>
            <w:pPr>
              <w:spacing w:after="0"/>
              <w:rPr>
                <w:sz w:val="1"/>
                <w:szCs w:val="1"/>
                <w:color w:val="auto"/>
              </w:rPr>
            </w:pPr>
          </w:p>
        </w:tc>
      </w:tr>
      <w:tr>
        <w:trPr>
          <w:trHeight w:val="274"/>
        </w:trPr>
        <w:tc>
          <w:tcPr>
            <w:tcW w:w="71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242</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w:t>
            </w:r>
          </w:p>
        </w:tc>
        <w:tc>
          <w:tcPr>
            <w:tcW w:w="0" w:type="dxa"/>
            <w:vAlign w:val="bottom"/>
          </w:tcPr>
          <w:p>
            <w:pPr>
              <w:spacing w:after="0"/>
              <w:rPr>
                <w:sz w:val="1"/>
                <w:szCs w:val="1"/>
                <w:color w:val="auto"/>
              </w:rPr>
            </w:pPr>
          </w:p>
        </w:tc>
      </w:tr>
      <w:tr>
        <w:trPr>
          <w:trHeight w:val="261"/>
        </w:trPr>
        <w:tc>
          <w:tcPr>
            <w:tcW w:w="7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13,523</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15,351</w:t>
            </w:r>
          </w:p>
        </w:tc>
        <w:tc>
          <w:tcPr>
            <w:tcW w:w="0" w:type="dxa"/>
            <w:vAlign w:val="bottom"/>
          </w:tcPr>
          <w:p>
            <w:pPr>
              <w:spacing w:after="0"/>
              <w:rPr>
                <w:sz w:val="1"/>
                <w:szCs w:val="1"/>
                <w:color w:val="auto"/>
              </w:rPr>
            </w:pPr>
          </w:p>
        </w:tc>
      </w:tr>
      <w:tr>
        <w:trPr>
          <w:trHeight w:val="263"/>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3,567</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4,070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3,944</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1,408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1,408</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1,408</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6,530</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6,528</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6,522</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1,398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1,410</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1,914</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4"/>
        </w:trPr>
        <w:tc>
          <w:tcPr>
            <w:tcW w:w="71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1"/>
        </w:trPr>
        <w:tc>
          <w:tcPr>
            <w:tcW w:w="7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13,060</w:t>
            </w: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13,944</w:t>
            </w:r>
          </w:p>
        </w:tc>
        <w:tc>
          <w:tcPr>
            <w:tcW w:w="0" w:type="dxa"/>
            <w:vAlign w:val="bottom"/>
          </w:tcPr>
          <w:p>
            <w:pPr>
              <w:spacing w:after="0"/>
              <w:rPr>
                <w:sz w:val="1"/>
                <w:szCs w:val="1"/>
                <w:color w:val="auto"/>
              </w:rPr>
            </w:pPr>
          </w:p>
        </w:tc>
      </w:tr>
      <w:tr>
        <w:trPr>
          <w:trHeight w:val="263"/>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2,664</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2,522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2,603</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731</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762</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183</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191</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219</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3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2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5"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gridSpan w:val="2"/>
          </w:tcPr>
          <w:p>
            <w:pPr>
              <w:jc w:val="right"/>
              <w:ind w:right="6079"/>
              <w:spacing w:after="0"/>
              <w:rPr>
                <w:sz w:val="20"/>
                <w:szCs w:val="20"/>
                <w:color w:val="auto"/>
              </w:rPr>
            </w:pPr>
            <w:r>
              <w:rPr>
                <w:rFonts w:ascii="Arial" w:cs="Arial" w:eastAsia="Arial" w:hAnsi="Arial"/>
                <w:sz w:val="16"/>
                <w:szCs w:val="16"/>
                <w:color w:val="auto"/>
                <w:w w:val="98"/>
              </w:rPr>
              <w:t>Corporate office</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1,169</w:t>
            </w:r>
          </w:p>
        </w:tc>
        <w:tc>
          <w:tcPr>
            <w:tcW w:w="5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1,231</w:t>
            </w:r>
          </w:p>
        </w:tc>
        <w:tc>
          <w:tcPr>
            <w:tcW w:w="6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1,200</w:t>
            </w:r>
          </w:p>
        </w:tc>
      </w:tr>
      <w:tr>
        <w:trPr>
          <w:trHeight w:val="35"/>
        </w:trPr>
        <w:tc>
          <w:tcPr>
            <w:tcW w:w="68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0"/>
        </w:trPr>
        <w:tc>
          <w:tcPr>
            <w:tcW w:w="6820" w:type="dxa"/>
            <w:vAlign w:val="bottom"/>
          </w:tcPr>
          <w:p>
            <w:pPr>
              <w:spacing w:after="0"/>
              <w:rPr>
                <w:sz w:val="22"/>
                <w:szCs w:val="22"/>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5,221</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4,963</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5,142</w:t>
            </w:r>
          </w:p>
        </w:tc>
      </w:tr>
    </w:tbl>
    <w:p>
      <w:pPr>
        <w:spacing w:after="0" w:line="36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520" w:top="11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color w:val="auto"/>
              </w:rPr>
              <w:t>Three Months Ended</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2"/>
                <w:szCs w:val="22"/>
                <w:color w:val="auto"/>
              </w:rPr>
            </w:pPr>
          </w:p>
        </w:tc>
        <w:tc>
          <w:tcPr>
            <w:tcW w:w="1060" w:type="dxa"/>
            <w:vAlign w:val="bottom"/>
          </w:tcPr>
          <w:p>
            <w:pPr>
              <w:jc w:val="right"/>
              <w:ind w:right="300"/>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7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375,499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370,005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358,601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346,910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108,802</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114,086</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130,014</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152,647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117,406</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126,462</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126,028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117,723</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37,621</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38,208</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35,486</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37,960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13,299</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14,770</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13,781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6,833</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9,167</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10,856</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17,024</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5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659,436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672,677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674,766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689,087</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22,700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37,554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22,262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14,620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40,542</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41,118</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55,453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73,420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8,628</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8,665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5,146</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(1,391)</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764</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(8,702)</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(3,781)</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(1,742)</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5,124</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(8,542)</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(7,977)</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(5,657)</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279"/>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(13,942)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(12,756)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(12,887)</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(13,276)</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44,214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65,626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75,582</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0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2,579</w:t>
            </w:r>
          </w:p>
        </w:tc>
        <w:tc>
          <w:tcPr>
            <w:tcW w:w="30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931</w:t>
            </w:r>
          </w:p>
        </w:tc>
        <w:tc>
          <w:tcPr>
            <w:tcW w:w="2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9,537</w:t>
            </w:r>
          </w:p>
        </w:tc>
        <w:tc>
          <w:tcPr>
            <w:tcW w:w="2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(6,699)</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(15,264)</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(5,524)</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(5,062)</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(11,378)</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w:t>
            </w:r>
          </w:p>
        </w:tc>
        <w:tc>
          <w:tcPr>
            <w:tcW w:w="20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21,386</w:t>
            </w:r>
          </w:p>
        </w:tc>
        <w:tc>
          <w:tcPr>
            <w:tcW w:w="30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23,041</w:t>
            </w:r>
          </w:p>
        </w:tc>
        <w:tc>
          <w:tcPr>
            <w:tcW w:w="24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22,214</w:t>
            </w:r>
          </w:p>
        </w:tc>
        <w:tc>
          <w:tcPr>
            <w:tcW w:w="2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53,900</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(Loss) Gain on Marketable Equity Securities, Net</w:t>
            </w: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(14,102)</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(2,554)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44,962</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(44,149)</w:t>
            </w:r>
          </w:p>
        </w:tc>
        <w:tc>
          <w:tcPr>
            <w:tcW w:w="0" w:type="dxa"/>
            <w:vAlign w:val="bottom"/>
          </w:tcPr>
          <w:p>
            <w:pPr>
              <w:spacing w:after="0"/>
              <w:rPr>
                <w:sz w:val="1"/>
                <w:szCs w:val="1"/>
                <w:color w:val="auto"/>
              </w:rPr>
            </w:pPr>
          </w:p>
        </w:tc>
      </w:tr>
      <w:tr>
        <w:trPr>
          <w:trHeight w:val="279"/>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Income (Loss), Net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9,187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2,333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3,142</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(12,559)</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56,565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62,735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135,070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69,138</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7,606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6,839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6,685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6,969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3,071</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2,974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3,198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2,451</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2,331</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2,333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653</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647</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233</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375</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375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79"/>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252</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14,642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13,619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14,813</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1,149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2,682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1,408</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1,408</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1,408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5,936</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5,935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6,345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1,808</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1,809</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9,839</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584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10,384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11,399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20,378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13,362</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2,664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1,878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493</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601</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79"/>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1,295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7" w:right="239" w:bottom="63" w:gutter="0" w:footer="0" w:header="0"/>
        </w:sectPr>
      </w:pPr>
    </w:p>
    <w:bookmarkStart w:id="30" w:name="page31"/>
    <w:bookmarkEnd w:id="30"/>
    <w:p>
      <w:pPr>
        <w:jc w:val="center"/>
        <w:ind w:right="-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019"/>
          </w:cols>
          <w:pgMar w:left="1440" w:top="1062"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2"/>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1,097,536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1,104,105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1,451,015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1,516,776</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340,012</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352,902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505,549</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409,916</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341,706</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369,896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487,619</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414,193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119,057</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111,315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149,275</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154,202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45,804</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41,850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58,728</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62,077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224,814</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26,856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43,880</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34,733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2,168,621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2,006,879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2,695,966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2,591,846</w:t>
            </w:r>
          </w:p>
        </w:tc>
        <w:tc>
          <w:tcPr>
            <w:tcW w:w="0" w:type="dxa"/>
            <w:vAlign w:val="bottom"/>
          </w:tcPr>
          <w:p>
            <w:pPr>
              <w:spacing w:after="0"/>
              <w:rPr>
                <w:sz w:val="1"/>
                <w:szCs w:val="1"/>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44,739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82,516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97,136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77,687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116,847</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137,113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210,533</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139,258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14,811</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22,439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28,851</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14,947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6,135</w:t>
            </w: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(9,329)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(8,401)</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(5,371)</w:t>
            </w: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(1,081)</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(23,435)</w:t>
            </w: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(22,176)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(28,016)</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(30,536)</w:t>
            </w:r>
          </w:p>
        </w:tc>
        <w:tc>
          <w:tcPr>
            <w:tcW w:w="0" w:type="dxa"/>
            <w:vAlign w:val="bottom"/>
          </w:tcPr>
          <w:p>
            <w:pPr>
              <w:spacing w:after="0"/>
              <w:rPr>
                <w:sz w:val="1"/>
                <w:szCs w:val="1"/>
                <w:color w:val="auto"/>
              </w:rPr>
            </w:pP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(39,492)</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(39,585)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(52,861)</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114,234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170,579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246,161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136,403</w:t>
            </w:r>
          </w:p>
        </w:tc>
        <w:tc>
          <w:tcPr>
            <w:tcW w:w="0" w:type="dxa"/>
            <w:vAlign w:val="bottom"/>
          </w:tcPr>
          <w:p>
            <w:pPr>
              <w:spacing w:after="0"/>
              <w:rPr>
                <w:sz w:val="1"/>
                <w:szCs w:val="1"/>
                <w:color w:val="auto"/>
              </w:rPr>
            </w:pP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24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7,829</w:t>
            </w:r>
          </w:p>
        </w:tc>
        <w:tc>
          <w:tcPr>
            <w:tcW w:w="34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13,047</w:t>
            </w:r>
          </w:p>
        </w:tc>
        <w:tc>
          <w:tcPr>
            <w:tcW w:w="28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14,473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(17,834)</w:t>
            </w: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(27,487)</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(32,549)</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(27,305)</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(11,378)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(11,378)</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51,737</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66,641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120,541</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72,699</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49,261</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28,306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(15,843)</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36,135</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14,662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2,103</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241,362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254,370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323,508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182,789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18,596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21,130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28,099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32,906</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9,839</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9,243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13,204</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7,488</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7,115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9,515</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9,173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1,783</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1,948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2,577</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4,583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892</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620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797</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3,459</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1,095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1,523</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701</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1,007</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42,758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41,909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56,722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62,509</w:t>
            </w:r>
          </w:p>
        </w:tc>
        <w:tc>
          <w:tcPr>
            <w:tcW w:w="0" w:type="dxa"/>
            <w:vAlign w:val="bottom"/>
          </w:tcPr>
          <w:p>
            <w:pPr>
              <w:spacing w:after="0"/>
              <w:rPr>
                <w:sz w:val="1"/>
                <w:szCs w:val="1"/>
                <w:color w:val="auto"/>
              </w:rPr>
            </w:pPr>
          </w:p>
        </w:tc>
      </w:tr>
      <w:tr>
        <w:trPr>
          <w:trHeight w:val="182"/>
        </w:trPr>
        <w:tc>
          <w:tcPr>
            <w:tcW w:w="628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Amortization of Intangible Assets and Impairment of Goodwill and Other Long-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11,581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9,362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4,224</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4,224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5,632</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6,349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19,580</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18,216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24,746</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31,052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4,722</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13,456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14,855</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470</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771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928</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40,577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55,523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50,801</w:t>
            </w:r>
          </w:p>
        </w:tc>
        <w:tc>
          <w:tcPr>
            <w:tcW w:w="0" w:type="dxa"/>
            <w:vAlign w:val="bottom"/>
          </w:tcPr>
          <w:p>
            <w:pPr>
              <w:spacing w:after="0"/>
              <w:rPr>
                <w:sz w:val="1"/>
                <w:szCs w:val="1"/>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8,753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2,273</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1,638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2,188</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369</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573</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658</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542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723</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577</w:t>
            </w:r>
          </w:p>
        </w:tc>
        <w:tc>
          <w:tcPr>
            <w:tcW w:w="3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578</w:t>
            </w:r>
          </w:p>
        </w:tc>
        <w:tc>
          <w:tcPr>
            <w:tcW w:w="4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3,600</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5,334</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15,326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13,730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18,221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18,687</w:t>
            </w:r>
          </w:p>
        </w:tc>
        <w:tc>
          <w:tcPr>
            <w:tcW w:w="0" w:type="dxa"/>
            <w:vAlign w:val="bottom"/>
          </w:tcPr>
          <w:p>
            <w:pPr>
              <w:spacing w:after="0"/>
              <w:rPr>
                <w:sz w:val="1"/>
                <w:szCs w:val="1"/>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tcPr>
          <w:p>
            <w:pPr>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54,159</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27,520</w:t>
            </w:r>
          </w:p>
        </w:tc>
      </w:tr>
      <w:tr>
        <w:trPr>
          <w:trHeight w:val="297"/>
        </w:trPr>
        <w:tc>
          <w:tcPr>
            <w:tcW w:w="8640" w:type="dxa"/>
            <w:vAlign w:val="bottom"/>
          </w:tcPr>
          <w:p>
            <w:pPr>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27,013</w:t>
            </w:r>
          </w:p>
        </w:tc>
        <w:tc>
          <w:tcPr>
            <w:tcW w:w="4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16,802</w:t>
            </w:r>
          </w:p>
        </w:tc>
      </w:tr>
      <w:tr>
        <w:trPr>
          <w:trHeight w:val="270"/>
        </w:trPr>
        <w:tc>
          <w:tcPr>
            <w:tcW w:w="8640" w:type="dxa"/>
            <w:vAlign w:val="bottom"/>
          </w:tcPr>
          <w:p>
            <w:pPr>
              <w:spacing w:after="0"/>
              <w:rPr>
                <w:sz w:val="20"/>
                <w:szCs w:val="20"/>
                <w:color w:val="auto"/>
              </w:rPr>
            </w:pPr>
            <w:r>
              <w:rPr>
                <w:rFonts w:ascii="Arial" w:cs="Arial" w:eastAsia="Arial" w:hAnsi="Arial"/>
                <w:sz w:val="16"/>
                <w:szCs w:val="16"/>
                <w:color w:val="auto"/>
              </w:rPr>
              <w:t>Manufacturing</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14,806</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8,012</w:t>
            </w:r>
          </w:p>
        </w:tc>
      </w:tr>
      <w:tr>
        <w:trPr>
          <w:trHeight w:val="270"/>
        </w:trPr>
        <w:tc>
          <w:tcPr>
            <w:tcW w:w="8640" w:type="dxa"/>
            <w:vAlign w:val="bottom"/>
          </w:tcPr>
          <w:p>
            <w:pPr>
              <w:spacing w:after="0"/>
              <w:rPr>
                <w:sz w:val="20"/>
                <w:szCs w:val="20"/>
                <w:color w:val="auto"/>
              </w:rPr>
            </w:pPr>
            <w:r>
              <w:rPr>
                <w:rFonts w:ascii="Arial" w:cs="Arial" w:eastAsia="Arial" w:hAnsi="Arial"/>
                <w:sz w:val="16"/>
                <w:szCs w:val="16"/>
                <w:color w:val="auto"/>
              </w:rPr>
              <w:t>Healthcare</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2,987</w:t>
            </w:r>
          </w:p>
        </w:tc>
      </w:tr>
      <w:tr>
        <w:trPr>
          <w:trHeight w:val="270"/>
        </w:trPr>
        <w:tc>
          <w:tcPr>
            <w:tcW w:w="8640" w:type="dxa"/>
            <w:vAlign w:val="bottom"/>
          </w:tcPr>
          <w:p>
            <w:pPr>
              <w:spacing w:after="0"/>
              <w:rPr>
                <w:sz w:val="20"/>
                <w:szCs w:val="20"/>
                <w:color w:val="auto"/>
              </w:rPr>
            </w:pPr>
            <w:r>
              <w:rPr>
                <w:rFonts w:ascii="Arial" w:cs="Arial" w:eastAsia="Arial" w:hAnsi="Arial"/>
                <w:sz w:val="16"/>
                <w:szCs w:val="16"/>
                <w:color w:val="auto"/>
              </w:rPr>
              <w:t>SocialCode</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270"/>
        </w:trPr>
        <w:tc>
          <w:tcPr>
            <w:tcW w:w="8640" w:type="dxa"/>
            <w:vAlign w:val="bottom"/>
          </w:tcPr>
          <w:p>
            <w:pPr>
              <w:spacing w:after="0"/>
              <w:rPr>
                <w:sz w:val="20"/>
                <w:szCs w:val="20"/>
                <w:color w:val="auto"/>
              </w:rPr>
            </w:pPr>
            <w:r>
              <w:rPr>
                <w:rFonts w:ascii="Arial" w:cs="Arial" w:eastAsia="Arial" w:hAnsi="Arial"/>
                <w:sz w:val="16"/>
                <w:szCs w:val="16"/>
                <w:color w:val="auto"/>
              </w:rPr>
              <w:t>Other businesses</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4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279"/>
        </w:trPr>
        <w:tc>
          <w:tcPr>
            <w:tcW w:w="8640" w:type="dxa"/>
            <w:vAlign w:val="bottom"/>
          </w:tcPr>
          <w:p>
            <w:pPr>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64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98,067</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57,080</w:t>
            </w:r>
          </w:p>
        </w:tc>
      </w:tr>
    </w:tbl>
    <w:p>
      <w:pPr>
        <w:spacing w:after="0" w:line="36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52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7"/>
                <w:szCs w:val="17"/>
                <w:color w:val="auto"/>
              </w:rPr>
            </w:pPr>
          </w:p>
        </w:tc>
      </w:tr>
      <w:tr>
        <w:trPr>
          <w:trHeight w:val="168"/>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21"/>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2018</w:t>
            </w:r>
          </w:p>
        </w:tc>
      </w:tr>
      <w:tr>
        <w:trPr>
          <w:trHeight w:val="23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1,925,819</w:t>
            </w:r>
          </w:p>
        </w:tc>
        <w:tc>
          <w:tcPr>
            <w:tcW w:w="4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1,568,747</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470,915</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452,853</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577,244</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593,111</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132,068</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108,596</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SocialCode</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238,253</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213,394</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333,720</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20,608</w:t>
            </w:r>
          </w:p>
        </w:tc>
      </w:tr>
      <w:tr>
        <w:trPr>
          <w:trHeight w:val="274"/>
        </w:trPr>
        <w:tc>
          <w:tcPr>
            <w:tcW w:w="85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71,501</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162,971</w:t>
            </w:r>
          </w:p>
        </w:tc>
      </w:tr>
      <w:tr>
        <w:trPr>
          <w:trHeight w:val="261"/>
        </w:trPr>
        <w:tc>
          <w:tcPr>
            <w:tcW w:w="85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3,749,520</w:t>
            </w: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3,120,280</w:t>
            </w:r>
          </w:p>
        </w:tc>
      </w:tr>
      <w:tr>
        <w:trPr>
          <w:trHeight w:val="26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535,564</w:t>
            </w: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496,390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163,986</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143,813</w:t>
            </w:r>
          </w:p>
        </w:tc>
      </w:tr>
      <w:tr>
        <w:trPr>
          <w:trHeight w:val="27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1,038,676</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1,003,558</w:t>
            </w:r>
          </w:p>
        </w:tc>
      </w:tr>
      <w:tr>
        <w:trPr>
          <w:trHeight w:val="266"/>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5,487,746</w:t>
            </w: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3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60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2018</w:t>
            </w: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178,169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167,668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552,505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535,553</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78,712</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89,269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237,780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275,080</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64,710</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67,749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191,533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195,504</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33,820</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34,302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110,181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98,715</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2,450</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7,121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870</w:t>
            </w: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(1,584)</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r>
      <w:tr>
        <w:trPr>
          <w:trHeight w:val="261"/>
        </w:trPr>
        <w:tc>
          <w:tcPr>
            <w:tcW w:w="60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357,319</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358,601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1,097,536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1,104,105</w:t>
            </w:r>
          </w:p>
        </w:tc>
      </w:tr>
      <w:tr>
        <w:trPr>
          <w:trHeight w:val="26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(14,226)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8,375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35,596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52,966</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5,177</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6,042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9,813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18,616</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4,959</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10,572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8,794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17,213</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4,939</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6,768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20,943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20,863</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(8,011)</w:t>
            </w:r>
          </w:p>
        </w:tc>
        <w:tc>
          <w:tcPr>
            <w:tcW w:w="5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(30,405)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(27,110)</w:t>
            </w: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61"/>
        </w:trPr>
        <w:tc>
          <w:tcPr>
            <w:tcW w:w="60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(7,161)</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22,262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44,739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82,516</w:t>
            </w:r>
          </w:p>
        </w:tc>
      </w:tr>
      <w:tr>
        <w:trPr>
          <w:trHeight w:val="26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3,600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3,759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11,198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11,497</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840</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915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2,066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4,047</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774</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1,033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2,358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2,984</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978</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859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2,802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2,171</w:t>
            </w: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172</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6,258</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6,685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18,596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21,130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3,944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2,682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10,888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5,494</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Impairment of Long-lived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114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341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1,136</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1,050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3,401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3,260</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847</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2,534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2,035</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340</w:t>
            </w:r>
          </w:p>
        </w:tc>
        <w:tc>
          <w:tcPr>
            <w:tcW w:w="5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1,017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166</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496</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2,603</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6,649</w:t>
            </w:r>
          </w:p>
        </w:tc>
      </w:tr>
    </w:tbl>
    <w:p>
      <w:pPr>
        <w:spacing w:after="0" w:line="200" w:lineRule="exact"/>
        <w:rPr>
          <w:sz w:val="20"/>
          <w:szCs w:val="20"/>
          <w:color w:val="auto"/>
        </w:rPr>
      </w:pPr>
    </w:p>
    <w:p>
      <w:pPr>
        <w:sectPr>
          <w:pgSz w:w="11900" w:h="16838" w:orient="portrait"/>
          <w:cols w:equalWidth="0" w:num="1">
            <w:col w:w="11420"/>
          </w:cols>
          <w:pgMar w:left="240" w:top="697" w:right="239" w:bottom="363"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697" w:right="239" w:bottom="363"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7"/>
                <w:szCs w:val="17"/>
                <w:color w:val="auto"/>
              </w:rPr>
            </w:pPr>
          </w:p>
        </w:tc>
      </w:tr>
      <w:tr>
        <w:trPr>
          <w:trHeight w:val="168"/>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2018</w:t>
            </w:r>
          </w:p>
        </w:tc>
      </w:tr>
      <w:tr>
        <w:trPr>
          <w:trHeight w:val="249"/>
        </w:trPr>
        <w:tc>
          <w:tcPr>
            <w:tcW w:w="846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8"/>
        </w:trPr>
        <w:tc>
          <w:tcPr>
            <w:tcW w:w="846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1,336,238</w:t>
            </w:r>
          </w:p>
        </w:tc>
        <w:tc>
          <w:tcPr>
            <w:tcW w:w="60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1,101,040</w:t>
            </w:r>
          </w:p>
        </w:tc>
      </w:tr>
      <w:tr>
        <w:trPr>
          <w:trHeight w:val="270"/>
        </w:trPr>
        <w:tc>
          <w:tcPr>
            <w:tcW w:w="846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202,553</w:t>
            </w: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126,752</w:t>
            </w:r>
          </w:p>
        </w:tc>
      </w:tr>
      <w:tr>
        <w:trPr>
          <w:trHeight w:val="270"/>
        </w:trPr>
        <w:tc>
          <w:tcPr>
            <w:tcW w:w="846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165,471</w:t>
            </w: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145,308</w:t>
            </w:r>
          </w:p>
        </w:tc>
      </w:tr>
      <w:tr>
        <w:trPr>
          <w:trHeight w:val="270"/>
        </w:trPr>
        <w:tc>
          <w:tcPr>
            <w:tcW w:w="846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154,568</w:t>
            </w:r>
          </w:p>
        </w:tc>
        <w:tc>
          <w:tcPr>
            <w:tcW w:w="6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166,916</w:t>
            </w:r>
          </w:p>
        </w:tc>
      </w:tr>
      <w:tr>
        <w:trPr>
          <w:trHeight w:val="274"/>
        </w:trPr>
        <w:tc>
          <w:tcPr>
            <w:tcW w:w="846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66,989</w:t>
            </w:r>
          </w:p>
        </w:tc>
        <w:tc>
          <w:tcPr>
            <w:tcW w:w="6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28,731</w:t>
            </w:r>
          </w:p>
        </w:tc>
      </w:tr>
      <w:tr>
        <w:trPr>
          <w:trHeight w:val="264"/>
        </w:trPr>
        <w:tc>
          <w:tcPr>
            <w:tcW w:w="84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1,925,819</w:t>
            </w: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1,568,747</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Company reported net income attributable to common shares of $43.1 million ($8.05 per share) for the third quarter of 2019, compared to $125.1 million ($23.28 per share) for the third quarter of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2019:</w:t>
      </w:r>
    </w:p>
    <w:p>
      <w:pPr>
        <w:spacing w:after="0" w:line="144" w:lineRule="exact"/>
        <w:rPr>
          <w:sz w:val="20"/>
          <w:szCs w:val="20"/>
          <w:color w:val="auto"/>
        </w:rPr>
      </w:pPr>
    </w:p>
    <w:p>
      <w:pPr>
        <w:ind w:left="180" w:right="120" w:hanging="172"/>
        <w:spacing w:after="0" w:line="260"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$20.4 million provision recorded at Kaplan International related to a Value Added Tax (VAT) receivable at UK Pathways (after-tax impact of $16.5 million, or $3.09 per share);</w:t>
      </w:r>
    </w:p>
    <w:p>
      <w:pPr>
        <w:spacing w:after="0" w:line="91"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 (after-tax impact of $0.9 million, or $0.16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$17.4 million in net gains on marketable equity securities (after-tax impact of $13.1 million, or $2.44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non-operating gain of $3.7 million from write-ups of cost method investments (after-tax impact of $2.8 million or $0.51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$0.7 million in non-operating foreign currency gains (after-tax impact of $0.5 million, or $0.09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2018:</w:t>
      </w:r>
    </w:p>
    <w:p>
      <w:pPr>
        <w:spacing w:after="0" w:line="14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FCC (after-tax impact of $0.8 million, or $0.14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 million in net gains on marketable equity securities (after-tax impact of $33.6 million, or $6.26 per share);</w:t>
      </w:r>
    </w:p>
    <w:p>
      <w:pPr>
        <w:spacing w:after="0" w:line="144" w:lineRule="exact"/>
        <w:rPr>
          <w:rFonts w:ascii="Arial" w:cs="Arial" w:eastAsia="Arial" w:hAnsi="Arial"/>
          <w:sz w:val="18"/>
          <w:szCs w:val="18"/>
          <w:color w:val="auto"/>
        </w:rPr>
      </w:pPr>
    </w:p>
    <w:p>
      <w:pPr>
        <w:ind w:left="180" w:right="20" w:hanging="172"/>
        <w:spacing w:after="0" w:line="260"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non-operating gain, net, of $10.1 million from sales, write-ups and impairments of cost method and equity method investments, and related to sales of businesses (after-tax impact of $8.0 million, or $1.48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in non-operating foreign currency losses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Revenue for the third quarter of 2019 was $738.8 million, up 9% from $674.8 million in the third quarter of 2018, largely due to the acquisition of two automotive dealerships in January 2019 and the acquisition of Clyde’s Restaurant Group (CRG) in July 2019. Revenues grew at healthcare and SocialCode, partially offset by declines at the television broadcasting and manufacturing businesses. The Company reported operating income of $16.3 million for the third quarter of 2019, compared to $60.7 million for the third quarter of 2018. The operating income decline is driven by lower earnings in education, television broadcasting, SocialCode and other businesses, partially offset by improvements in manufacturing and healthcare results.</w:t>
      </w:r>
    </w:p>
    <w:p>
      <w:pPr>
        <w:spacing w:after="0" w:line="11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For the first nine months of 2019, the Company reported net income attributable to common shares of $182.0 million ($33.96 per share), compared to $214.5 million ($39.54 per share) for the first nine months of 2018.</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Items included in the Company’s net income for the nine months of 2019:</w:t>
      </w:r>
    </w:p>
    <w:p>
      <w:pPr>
        <w:spacing w:after="0" w:line="144" w:lineRule="exact"/>
        <w:rPr>
          <w:sz w:val="20"/>
          <w:szCs w:val="20"/>
          <w:color w:val="auto"/>
        </w:rPr>
      </w:pPr>
    </w:p>
    <w:p>
      <w:pPr>
        <w:ind w:left="180" w:right="320" w:hanging="172"/>
        <w:spacing w:after="0" w:line="26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VAT receivable at UK Pathways (after-tax impact of $13.9 million, or $2.59 per share);</w:t>
      </w:r>
    </w:p>
    <w:p>
      <w:pPr>
        <w:spacing w:after="0" w:line="91" w:lineRule="exact"/>
        <w:rPr>
          <w:rFonts w:ascii="Arial" w:cs="Arial" w:eastAsia="Arial" w:hAnsi="Arial"/>
          <w:sz w:val="18"/>
          <w:szCs w:val="18"/>
          <w:color w:val="auto"/>
        </w:rPr>
      </w:pPr>
    </w:p>
    <w:p>
      <w:pPr>
        <w:ind w:left="180" w:hanging="172"/>
        <w:spacing w:after="0" w:line="26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$10.7 million reduction to operating expenses from property, plant and equipment gains in connection with the spectrum repacking mandate of the FCC (after-tax impact of $8.3 million, or $1.55 per share);</w:t>
      </w:r>
    </w:p>
    <w:p>
      <w:pPr>
        <w:spacing w:after="0" w:line="91" w:lineRule="exact"/>
        <w:rPr>
          <w:rFonts w:ascii="Arial" w:cs="Arial" w:eastAsia="Arial" w:hAnsi="Arial"/>
          <w:sz w:val="18"/>
          <w:szCs w:val="18"/>
          <w:color w:val="auto"/>
        </w:rPr>
      </w:pPr>
    </w:p>
    <w:p>
      <w:pPr>
        <w:ind w:left="180" w:right="320" w:hanging="172"/>
        <w:spacing w:after="0" w:line="26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 million in expenses related to a second quarter non-operating Separation Incentive Program (SIP) at the education division (after-tax impact of $5.1 million, or $0.95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$49.3 million in net gains on marketable equity securities (after-tax impact of $36.9 million, or $6.90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million in non-operating foreign currency gains (after-tax impact of $1.0 million, or $0.18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nine months of 2018:</w:t>
      </w:r>
    </w:p>
    <w:p>
      <w:pPr>
        <w:spacing w:after="0" w:line="14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100" w:hanging="172"/>
        <w:spacing w:after="0" w:line="260"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$2.1 million reduction to operating expenses from property, plant and equipment gains in connection with the spectrum repacking mandate of the FCC (after-tax impact of $1.6 million, or $0.29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$28.3 million in net losses on marketable equity securities (after-tax impact of $20.9 million, or $3.86 per share);</w:t>
      </w:r>
    </w:p>
    <w:p>
      <w:pPr>
        <w:spacing w:after="0" w:line="144" w:lineRule="exact"/>
        <w:rPr>
          <w:rFonts w:ascii="Arial" w:cs="Arial" w:eastAsia="Arial" w:hAnsi="Arial"/>
          <w:sz w:val="18"/>
          <w:szCs w:val="18"/>
          <w:color w:val="auto"/>
        </w:rPr>
      </w:pPr>
    </w:p>
    <w:p>
      <w:pPr>
        <w:ind w:left="180" w:right="20" w:hanging="172"/>
        <w:spacing w:after="0" w:line="260"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gain, net, of $17.0 million from sales, write-ups and impairments of cost method and equity method investments, and related to sales of land and businesses (after-tax impact of $13.4 million, or $2.46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$1.7 million, or $0.31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Revenue for the first nine months of 2019 was $2,168.6 million, up 8% from $2,006.9 million in the first nine months of 2018, largely due to the acquisition of two automotive dealerships in January 2019 and the acquisition of CRG in July 2019. Revenues grew at healthcare and SocialCode, partially offset by declines at the education, television broadcasting and manufacturing businesses. The Company reported operating income of $114.2 million for the first nine months of 2019, compared to $170.6 million for the first nine months of 2018. Operating results declined at the education, television broadcasting, manufacturing, SocialCode and other businesses, partially offset by improvements at healthcare.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Education division revenue totaled $357.3 million for the third quarter of 2019, down slightly from $358.6 million for the same period of 2018. Kaplan reported an operating loss of $7.2 million for the third quarter of 2019, compared to operating income of $22.3 million for the third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2019, education division revenue totaled $1,097.5 million, down 1% from revenue of $1,104.1 million for the same period of 2018. Kaplan reported operating income of $44.7 million for the first nine months of 2019, a 46% decline from $82.5 million for the first nine months of 2018.</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178,169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167,668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552,505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535,553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78,712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89,269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237,780</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275,080</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64,710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67,749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191,533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195,504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33,820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34,302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110,181</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98,715</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2,450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7,121</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870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(542)</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357,319</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358,601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1,097,536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1,104,105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(14,226)</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8,375</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35,596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52,966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5,177</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6,042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9,813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18,616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4,959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10,572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8,794</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17,213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4,939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6,768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20,943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20,863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(4,067)</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(6,770)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(18,824)</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(21,616)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(3,944)</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(10,888)</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(7,161)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22,262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44,739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82,516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increased 6% and 3% for the third quarter and first nine months of 2019, respectively. On a constant currency basis, revenue increased 13% and 8% for the third quarter and first nine months of 2019, respectively. The revenue increases were due to growth at UK Pathways, UK Professional and Australia, and from the Heverald acquisition. Kaplan International reported an operating loss of $14.2 million in the third quarter of 2019, compared to operating income of $8.4 million in the third quarter of 2018. Operating income decreased to $35.6 million in the first nine months of 2019, compared to $53.0 million in the first nine months of 2018. The decline in operating results in 2019 is due to the VAT provision recorded at UK Pathways and a decline in Singapore, offset by increases at UK Professional and Australia.</w:t>
      </w:r>
    </w:p>
    <w:p>
      <w:pPr>
        <w:spacing w:after="0" w:line="11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£17.3 million receivable from assessments and subsequent payments through September 30, 2019. Due to recent developments in the case, in the third quarter of 2019, the Company recorded a full provision of £17.3 million ($21.0 million) against this receivable; of this amount, £14.1 million ($17.1 million) relates to years 2014 to 2018. The Company estimates total additional annual VAT expense at the UK Pathways business of approximately $6.0 million related to this matter for 2019. If the Company ultimately prevails in this case, the provision will be reversed and a pre-tax credit will be recorded in the Company’s Consolidated Statement of Operations. The result of the case is expected to be known by the end of 2020.</w:t>
      </w:r>
    </w:p>
    <w:p>
      <w:pPr>
        <w:spacing w:after="0" w:line="10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third quarter and first nine months of 2019, Higher Education revenue was down 12% and 14%, respectively, due to the KU Transaction. In the first nine months of 2019, the Company recorded a portion of the service fee with Purdue Global based on an assessment of its collectability under the TOSA. This resulted in a decline in Higher Education results for the first nine months of 2019, as the Company recorded the full service fee for Purdue Global for the first six months of 2018, and a portion of the service fee for the third quarter of 2018. Following the transition from KU, Purdue Global launched a planned marketing campaign to fully establish its new brand. This significant marketing spend, which the Company supports, impacts the cash generated by Purdue Global and its current ability to fully pay the KHE service fee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1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As of September 30, 2019, Kaplan had a total outstanding accounts receivable balance of $72.3 million from Purdue Global related to amounts due for reimbursements for services and a deferred service fee. In addition, Kaplan has a $20.0 million long-term receivable balance due from Purdue Global at September 30, 2019, related to the initial KU Transaction.</w:t>
      </w:r>
    </w:p>
    <w:p>
      <w:pPr>
        <w:sectPr>
          <w:pgSz w:w="11900" w:h="16838" w:orient="portrait"/>
          <w:cols w:equalWidth="0" w:num="1">
            <w:col w:w="11420"/>
          </w:cols>
          <w:pgMar w:left="240" w:top="697"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697" w:right="239" w:bottom="1440" w:gutter="0" w:footer="0" w:header="0"/>
          <w:type w:val="continuous"/>
        </w:sectPr>
      </w:pPr>
    </w:p>
    <w:bookmarkStart w:id="38" w:name="page39"/>
    <w:bookmarkEnd w:id="38"/>
    <w:p>
      <w:pPr>
        <w:ind w:right="80"/>
        <w:spacing w:after="0" w:line="228"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decreased 4% and 2% for the third quarter and first nine months of 2019, respectively. Excluding revenue from the Barron’s acquisition, revenues were down 11% and 9%, respectively, due to declines in KTP’s retail comprehensive test preparation programs. KTP operating results declined 53% and 49% in the third quarter and first nine months of 2019, respectively, due primarily to revenue declines for retail comprehensive test preparation programs. Operating losses for the new economy skills training programs were $3.2 million and $2.8 million for each of the first nine months of 2019 and 2018, respectively.</w:t>
      </w:r>
    </w:p>
    <w:p>
      <w:pPr>
        <w:spacing w:after="0" w:line="10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the second quarter of 2019, the Company approved a SIP to reduce the number of employees at KTP and Higher Education. In connection with the SIP, the Company recorded $6.6 million in non-operating pension expense in the second quarter of 2019.</w:t>
      </w:r>
    </w:p>
    <w:p>
      <w:pPr>
        <w:spacing w:after="0" w:line="9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third quarter of 2019 declined 1% due to declines in CFA, real estate and accountancy programs. In the first nine months of 2019, Kaplan Professional (U.S.) revenue increased 12%, due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in the third quarter of 2019, primarily due to lower demand for real estate and accountancy programs and increased spending for sales and marketing. Kaplan Professional (U.S) operating results were flat for the first nine months of 2019, due to increased earnings at PPI and CFFP, offset by increased sales and marketing expenses.</w:t>
      </w:r>
    </w:p>
    <w:p>
      <w:pPr>
        <w:spacing w:after="0" w:line="110"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2019 due to lower incentive compensation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Nine Months Ended</w:t>
            </w:r>
          </w:p>
        </w:tc>
        <w:tc>
          <w:tcPr>
            <w:tcW w:w="1520" w:type="dxa"/>
            <w:vAlign w:val="bottom"/>
          </w:tcPr>
          <w:p>
            <w:pPr>
              <w:spacing w:after="0"/>
              <w:rPr>
                <w:sz w:val="17"/>
                <w:szCs w:val="17"/>
                <w:color w:val="auto"/>
              </w:rPr>
            </w:pPr>
          </w:p>
        </w:tc>
      </w:tr>
      <w:tr>
        <w:trPr>
          <w:trHeight w:val="271"/>
        </w:trPr>
        <w:tc>
          <w:tcPr>
            <w:tcW w:w="36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spacing w:after="0"/>
              <w:rPr>
                <w:sz w:val="23"/>
                <w:szCs w:val="23"/>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6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2018</w:t>
            </w:r>
          </w:p>
        </w:tc>
        <w:tc>
          <w:tcPr>
            <w:tcW w:w="15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 Change</w:t>
            </w:r>
          </w:p>
        </w:tc>
      </w:tr>
      <w:tr>
        <w:trPr>
          <w:trHeight w:val="257"/>
        </w:trPr>
        <w:tc>
          <w:tcPr>
            <w:tcW w:w="366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115,161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130,014</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340,012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352,902</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(4)</w:t>
            </w: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36,813</w:t>
            </w:r>
          </w:p>
        </w:tc>
        <w:tc>
          <w:tcPr>
            <w:tcW w:w="34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55,453</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116,847</w:t>
            </w:r>
          </w:p>
        </w:tc>
        <w:tc>
          <w:tcPr>
            <w:tcW w:w="36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137,113</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(15)</w:t>
            </w:r>
          </w:p>
        </w:tc>
      </w:tr>
    </w:tbl>
    <w:p>
      <w:pPr>
        <w:spacing w:after="0" w:line="133"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Revenue at the television broadcasting division declined 11% to $115.2 million in the third quarter of 2019, from $130.0 million in the same period of 2018. The revenue decrease is due to a $19.9 million decrease in political advertising revenue, slightly offset by a $3.1 million increase in retransmission revenues. In the third quarter of 2019 and 2018, the television broadcasting division recorded $1.1 million and $1.0 million, respectively, in reductions to operating expenses related to property, plant and equipment gains due to new equipment received at no cost in connection with the spectrum repacking mandate of the FCC. Operating income for the third quarter of 2019 decreased 34% to $36.8 million, from $55.5 million in the same period of 2018, due to lower revenues and higher network fees.</w:t>
      </w:r>
    </w:p>
    <w:p>
      <w:pPr>
        <w:spacing w:after="0" w:line="11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at the television broadcasting division declined 4% to $340.0 million in the first nine months of 2019, from $352.9 million in the same period of 2018. The revenue decrease is due primarily to a $25.0 million decrease in political advertising revenue, an $8.6 million decrease in 2018 incremental winter Olympics-related advertising revenue at the Company’s NBC stations; partially offset by $17.5 million in higher retransmission revenues. In the first nine months of 2019 and 2018, the television broadcasting division recorded $10.7 million and $2.1 million, respectively, in reductions to operating expenses related to non-cash property, plant and equipment gains due to new equipment received at no cost in connection with the spectrum repacking mandate of the FCC. Operating income for the first nine months of 2019 decreased 15% to $116.8 million from $137.1 million in the same period of 2018, due to lower revenues and higher network fees, partially offset by increased property, plant and equipment gains.</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9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 October 2019, the Company’s television stations in Houston (KPRC), Detroit (WDIV) and Roanoke (WSLS) have entered into a new three-year NBC Affiliation Agreement effective January 1, 2020 through December 31, 2022.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17"/>
                <w:szCs w:val="17"/>
                <w:color w:val="auto"/>
              </w:rPr>
            </w:pPr>
          </w:p>
        </w:tc>
      </w:tr>
      <w:tr>
        <w:trPr>
          <w:trHeight w:val="271"/>
        </w:trPr>
        <w:tc>
          <w:tcPr>
            <w:tcW w:w="36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spacing w:after="0"/>
              <w:rPr>
                <w:sz w:val="23"/>
                <w:szCs w:val="23"/>
                <w:color w:val="auto"/>
              </w:rPr>
            </w:pPr>
          </w:p>
        </w:tc>
      </w:tr>
      <w:tr>
        <w:trPr>
          <w:trHeight w:val="264"/>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2018</w:t>
            </w:r>
          </w:p>
        </w:tc>
        <w:tc>
          <w:tcPr>
            <w:tcW w:w="16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 Change</w:t>
            </w:r>
          </w:p>
        </w:tc>
      </w:tr>
      <w:tr>
        <w:trPr>
          <w:trHeight w:val="257"/>
        </w:trPr>
        <w:tc>
          <w:tcPr>
            <w:tcW w:w="36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111,676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126,028</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341,706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369,896</w:t>
            </w:r>
          </w:p>
        </w:tc>
        <w:tc>
          <w:tcPr>
            <w:tcW w:w="1480" w:type="dxa"/>
            <w:vAlign w:val="bottom"/>
          </w:tcPr>
          <w:p>
            <w:pPr>
              <w:jc w:val="right"/>
              <w:ind w:right="302"/>
              <w:spacing w:after="0"/>
              <w:rPr>
                <w:sz w:val="20"/>
                <w:szCs w:val="20"/>
                <w:color w:val="auto"/>
              </w:rPr>
            </w:pPr>
            <w:r>
              <w:rPr>
                <w:rFonts w:ascii="Arial" w:cs="Arial" w:eastAsia="Arial" w:hAnsi="Arial"/>
                <w:sz w:val="16"/>
                <w:szCs w:val="16"/>
                <w:color w:val="auto"/>
              </w:rPr>
              <w:t>(8)</w:t>
            </w:r>
          </w:p>
        </w:tc>
      </w:tr>
      <w:tr>
        <w:trPr>
          <w:trHeight w:val="270"/>
        </w:trPr>
        <w:tc>
          <w:tcPr>
            <w:tcW w:w="36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6,845</w:t>
            </w:r>
          </w:p>
        </w:tc>
        <w:tc>
          <w:tcPr>
            <w:tcW w:w="36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5,146</w:t>
            </w:r>
          </w:p>
        </w:tc>
        <w:tc>
          <w:tcPr>
            <w:tcW w:w="1600" w:type="dxa"/>
            <w:vAlign w:val="bottom"/>
          </w:tcPr>
          <w:p>
            <w:pPr>
              <w:jc w:val="right"/>
              <w:ind w:right="462"/>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14,811</w:t>
            </w:r>
          </w:p>
        </w:tc>
        <w:tc>
          <w:tcPr>
            <w:tcW w:w="34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22,439</w:t>
            </w:r>
          </w:p>
        </w:tc>
        <w:tc>
          <w:tcPr>
            <w:tcW w:w="1480" w:type="dxa"/>
            <w:vAlign w:val="bottom"/>
          </w:tcPr>
          <w:p>
            <w:pPr>
              <w:jc w:val="right"/>
              <w:ind w:right="302"/>
              <w:spacing w:after="0"/>
              <w:rPr>
                <w:sz w:val="20"/>
                <w:szCs w:val="20"/>
                <w:color w:val="auto"/>
              </w:rPr>
            </w:pPr>
            <w:r>
              <w:rPr>
                <w:rFonts w:ascii="Arial" w:cs="Arial" w:eastAsia="Arial" w:hAnsi="Arial"/>
                <w:sz w:val="16"/>
                <w:szCs w:val="16"/>
                <w:color w:val="auto"/>
              </w:rPr>
              <w:t>(34)</w:t>
            </w:r>
          </w:p>
        </w:tc>
      </w:tr>
    </w:tbl>
    <w:p>
      <w:pPr>
        <w:spacing w:after="0" w:line="13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industry.</w:t>
      </w:r>
    </w:p>
    <w:p>
      <w:pPr>
        <w:spacing w:after="0" w:line="11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Manufacturing revenues declined 11% and 8% in the third quarter and first nine months of 2019, respectively, due primarily to a decline at Hoover from lower wood prices, partially offset by increases due to the Furnlite acquisition. Manufacturing operating income increased in the third quarter of 2019, due partly to improved results at Hoover from losses on inventory sales in the third quarter of 2018. Operating income declined in the first nine months of 2019 due largely to increased labor and other operating costs at Hoover.</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connection with the Company’s annual impairment testing in 2018, the Company performed a quantitative goodwill impairment process at all of its reporting units. At the time, the estimated fair value of three reporting units at the manufacturing businesses exceeded their respective carrying values by a margin less than 25%. The total goodwill at these three reporting units was $ 226.6 million as of September 30, 2019, or 17%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an impairment charge.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7"/>
                <w:szCs w:val="17"/>
                <w:color w:val="auto"/>
              </w:rPr>
            </w:pPr>
          </w:p>
        </w:tc>
      </w:tr>
      <w:tr>
        <w:trPr>
          <w:trHeight w:val="271"/>
        </w:trPr>
        <w:tc>
          <w:tcPr>
            <w:tcW w:w="39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23"/>
                <w:szCs w:val="23"/>
                <w:color w:val="auto"/>
              </w:rPr>
            </w:pPr>
          </w:p>
        </w:tc>
      </w:tr>
      <w:tr>
        <w:trPr>
          <w:trHeight w:val="26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7"/>
        </w:trPr>
        <w:tc>
          <w:tcPr>
            <w:tcW w:w="39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40,688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35,486</w:t>
            </w: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119,057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111,315</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7</w:t>
            </w:r>
          </w:p>
        </w:tc>
      </w:tr>
      <w:tr>
        <w:trPr>
          <w:trHeight w:val="270"/>
        </w:trPr>
        <w:tc>
          <w:tcPr>
            <w:tcW w:w="39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3"/>
                <w:szCs w:val="23"/>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1,208</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(8,702)</w:t>
            </w: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6,135</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(9,329)</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w:t>
            </w:r>
          </w:p>
        </w:tc>
      </w:tr>
    </w:tbl>
    <w:p>
      <w:pPr>
        <w:spacing w:after="0" w:line="13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in the first nine months of 2019, largely due to growth in home health and hospice services. The improvement in GHG operating results in 2019 is due to increased revenues and the absence of integration costs and other overall cost reduction in the first nine months of 2019. In the third quarter of 2018, GHG recorded a $7.9 million intangible asset impairment charge related to the Celtic trademark, which was phased-out in the second half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7"/>
                <w:szCs w:val="17"/>
                <w:color w:val="auto"/>
              </w:rPr>
            </w:pPr>
          </w:p>
        </w:tc>
      </w:tr>
      <w:tr>
        <w:trPr>
          <w:trHeight w:val="271"/>
        </w:trPr>
        <w:tc>
          <w:tcPr>
            <w:tcW w:w="39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23"/>
                <w:szCs w:val="23"/>
                <w:color w:val="auto"/>
              </w:rPr>
            </w:pPr>
          </w:p>
        </w:tc>
      </w:tr>
      <w:tr>
        <w:trPr>
          <w:trHeight w:val="26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r>
      <w:tr>
        <w:trPr>
          <w:trHeight w:val="257"/>
        </w:trPr>
        <w:tc>
          <w:tcPr>
            <w:tcW w:w="39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4"/>
              <w:spacing w:after="0"/>
              <w:rPr>
                <w:sz w:val="20"/>
                <w:szCs w:val="20"/>
                <w:color w:val="auto"/>
              </w:rPr>
            </w:pPr>
            <w:r>
              <w:rPr>
                <w:rFonts w:ascii="Arial" w:cs="Arial" w:eastAsia="Arial" w:hAnsi="Arial"/>
                <w:sz w:val="16"/>
                <w:szCs w:val="16"/>
                <w:b w:val="1"/>
                <w:bCs w:val="1"/>
                <w:color w:val="auto"/>
              </w:rPr>
              <w:t>15,975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13,781</w:t>
            </w: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4"/>
              <w:spacing w:after="0"/>
              <w:rPr>
                <w:sz w:val="20"/>
                <w:szCs w:val="20"/>
                <w:color w:val="auto"/>
              </w:rPr>
            </w:pPr>
            <w:r>
              <w:rPr>
                <w:rFonts w:ascii="Arial" w:cs="Arial" w:eastAsia="Arial" w:hAnsi="Arial"/>
                <w:sz w:val="16"/>
                <w:szCs w:val="16"/>
                <w:b w:val="1"/>
                <w:bCs w:val="1"/>
                <w:color w:val="auto"/>
              </w:rPr>
              <w:t>45,804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41,850</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9</w:t>
            </w:r>
          </w:p>
        </w:tc>
      </w:tr>
      <w:tr>
        <w:trPr>
          <w:trHeight w:val="270"/>
        </w:trPr>
        <w:tc>
          <w:tcPr>
            <w:tcW w:w="39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(378)</w:t>
            </w:r>
          </w:p>
        </w:tc>
        <w:tc>
          <w:tcPr>
            <w:tcW w:w="34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5,124</w:t>
            </w: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(5,371)</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c>
          <w:tcPr>
            <w:tcW w:w="1240" w:type="dxa"/>
            <w:vAlign w:val="bottom"/>
          </w:tcPr>
          <w:p>
            <w:pPr>
              <w:jc w:val="right"/>
              <w:ind w:right="302"/>
              <w:spacing w:after="0"/>
              <w:rPr>
                <w:sz w:val="20"/>
                <w:szCs w:val="20"/>
                <w:color w:val="auto"/>
              </w:rPr>
            </w:pPr>
            <w:r>
              <w:rPr>
                <w:rFonts w:ascii="Arial" w:cs="Arial" w:eastAsia="Arial" w:hAnsi="Arial"/>
                <w:sz w:val="16"/>
                <w:szCs w:val="16"/>
                <w:color w:val="auto"/>
              </w:rPr>
              <w:t>—</w:t>
            </w:r>
          </w:p>
        </w:tc>
      </w:tr>
    </w:tbl>
    <w:p>
      <w:pPr>
        <w:spacing w:after="0" w:line="133"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In the third quarter of 2018, SocialCode acquired Marketplace Strategy, a Cleveland-based Amazon sales acceleration agency. SocialCode’s revenue increased 16% and 9% in the third quarter and first nine months of 2019, respectively. SocialCode reported operating losses of $0.4 million and $5.4 million in the third quarter and first nine months of 2019, respectively, compared to operating income of $5.1 million and an operating loss of $0.4 million in the third quarter and first nine months of 2018, respectively. The 2018 results include a $7.5 million and $7.2 million credit related to SocialCode’s phantom equity plans in the third quarter and first nine months of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On July 31, 2019, the Company acquired CRG. CRG owns and operates thirteen restaurants and entertainment venues in the Washington, DC metropolitan area, including Old Ebbitt Grill and The Hamilton, two of the top twenty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7" w:right="259" w:bottom="1440" w:gutter="0" w:footer="0" w:header="0"/>
        </w:sectPr>
      </w:pPr>
    </w:p>
    <w:bookmarkStart w:id="40" w:name="page41"/>
    <w:bookmarkEnd w:id="40"/>
    <w:p>
      <w:pPr>
        <w:ind w:right="800"/>
        <w:spacing w:after="0" w:line="260" w:lineRule="auto"/>
        <w:rPr>
          <w:sz w:val="20"/>
          <w:szCs w:val="20"/>
          <w:color w:val="auto"/>
        </w:rPr>
      </w:pPr>
      <w:r>
        <w:rPr>
          <w:rFonts w:ascii="Arial" w:cs="Arial" w:eastAsia="Arial" w:hAnsi="Arial"/>
          <w:sz w:val="18"/>
          <w:szCs w:val="18"/>
          <w:color w:val="auto"/>
        </w:rPr>
        <w:t>highest grossing independent restaurants in the United States. CRG is managed by its existing management team as a wholly-owned subsidiary of the Company.</w:t>
      </w:r>
    </w:p>
    <w:p>
      <w:pPr>
        <w:spacing w:after="0" w:line="92"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Graham Holdings Company holds a 90% stake.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other businesses increased due mostly to the automotive dealership and CRG acquisitions.</w:t>
      </w:r>
    </w:p>
    <w:p>
      <w:pPr>
        <w:spacing w:after="0" w:line="14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nine months of 2019. Losses from each of these five businesses in the first nine months of 2019 adversely affected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At September 30, 2019, the Company held an approximate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$4.7 million for the third quarter of 2019, compared to $9.5 million for the third quarter of 2018. The Company recorded equity in earnings of affiliates of $7.8 million for the first nine months of 2019, compared to $13.0 million for the first nine months of 2018. In the third quarter of 2018, the Company recorded $7.9 million in gains in equity in earnings of affiliates related to two of its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0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incurred net interest expense of $5.3 million and $17.8 million for the third quarter and first nine months of 2019, respectively, compared to $5.5 million and $27.5 million for the third quarter and first nine months of 2018, respectively. The Company incurred $6.2 million in interest expense related to the mandatorily redeemable noncontrolling interest at the Graham Healthcare Group settled in the second quarter of 2018. The higher interest expense in 2018 is also due to both the $400 million eight-year and ten-year notes outstanding for the month of June 2018.</w:t>
      </w:r>
    </w:p>
    <w:p>
      <w:pPr>
        <w:spacing w:after="0" w:line="11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At September 30, 2019, the Company had $502.2 million in borrowings outstanding at an average interest rate of 5.1% and cash, marketable equity securities and other investments of $711.6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net non-operating pension and postretirement benefit income of $ 19.6 million and $51.7 million for the third quarter and first nine months of 2019, respectively, compared to $22.2 million and $66.6 million for the third quarter and first nine months of 2018, respectively.</w:t>
      </w:r>
    </w:p>
    <w:p>
      <w:pPr>
        <w:spacing w:after="0" w:line="108" w:lineRule="exact"/>
        <w:rPr>
          <w:sz w:val="20"/>
          <w:szCs w:val="20"/>
          <w:color w:val="auto"/>
        </w:rPr>
      </w:pPr>
    </w:p>
    <w:p>
      <w:pPr>
        <w:ind w:right="680"/>
        <w:spacing w:after="0" w:line="407" w:lineRule="auto"/>
        <w:rPr>
          <w:sz w:val="20"/>
          <w:szCs w:val="20"/>
          <w:color w:val="auto"/>
        </w:rPr>
      </w:pPr>
      <w:r>
        <w:rPr>
          <w:rFonts w:ascii="Arial" w:cs="Arial" w:eastAsia="Arial" w:hAnsi="Arial"/>
          <w:sz w:val="18"/>
          <w:szCs w:val="18"/>
          <w:color w:val="auto"/>
        </w:rPr>
        <w:t xml:space="preserve">In the second quarter of 2019, the Company recorded $6.6 million in expenses related to a non-operating SIP at the education division. </w:t>
      </w:r>
      <w:r>
        <w:rPr>
          <w:rFonts w:ascii="Arial" w:cs="Arial" w:eastAsia="Arial" w:hAnsi="Arial"/>
          <w:sz w:val="18"/>
          <w:szCs w:val="18"/>
          <w:b w:val="1"/>
          <w:bCs w:val="1"/>
          <w:u w:val="single" w:color="auto"/>
          <w:color w:val="auto"/>
        </w:rPr>
        <w:t>Gain on Marketable Equity Securities, net</w:t>
      </w:r>
    </w:p>
    <w:p>
      <w:pPr>
        <w:jc w:val="both"/>
        <w:ind w:right="180"/>
        <w:spacing w:after="0"/>
        <w:rPr>
          <w:sz w:val="20"/>
          <w:szCs w:val="20"/>
          <w:color w:val="auto"/>
        </w:rPr>
      </w:pPr>
      <w:r>
        <w:rPr>
          <w:rFonts w:ascii="Arial" w:cs="Arial" w:eastAsia="Arial" w:hAnsi="Arial"/>
          <w:sz w:val="18"/>
          <w:szCs w:val="18"/>
          <w:color w:val="auto"/>
        </w:rPr>
        <w:t>Overall, the Company recognized $17.4 million and $49.3 million in net gains on marketable equity securities in the third quarter and first nine months of 2019, respectively, compared to $45.0 million and $28.3 million in net gains on marketable equity securities in the third quarter and first nine months of 2018, respectively.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recorded total other non-operating income, net, of $5.6 million for the third quarter of 2019, compared to $3.1 million for the third quarter of 2018. The 2019 amounts included $3.7 million in fair value increases on cost method investments; $0.7 million in foreign currency gains; and other items. The 2018 amounts included $8.5 million in fair value increases on cost method investments and other items, partially offset by a $3.3 million net loss related to sales of businesses and contingent consideration; a $2.5 million impairment of a cost method investment; and $0.1 million in foreign currency losses.</w:t>
      </w:r>
    </w:p>
    <w:p>
      <w:pPr>
        <w:spacing w:after="0" w:line="11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recorded total other non-operating income, net, of $ 36.1 million for the first nine months of 2019 compared to $ 14.7 million for the first nine months of 2018. The 2019 amounts included a $29.0 million gain on the sale of the Company’s interest in Gimlet Media; $5.1 million in fair value increases on cost method investments; $1.3 million in foreign currency gains and other items. The 2018 amounts include $8.5 million in fair value increases on cost method investments; $4.0 million net gain related to sales of businesses and contingent consideration; a $2.8 million gain on sale of a cost method investment; a $2.5 million gain on sale of land; and other items, partially offset by a $2.5 million impairment of a cost method investment and $2.2 million in foreign currency losses.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Company’s effective tax rate for the first nine months of 2019 was 24.7%. In the first quarter of 2019, the Company recorded income tax benefits related to stock compensation of $1.7 million.</w:t>
      </w:r>
    </w:p>
    <w:p>
      <w:pPr>
        <w:spacing w:after="0" w:line="9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Company’s effective tax rate for the first nine months of 2018 was 15.6%. In the third quarter of 2018, the Company recorded a $17.8 million deferred state tax benefit related to the release of valuation allowances. Excluding this $17.8 million benefit and a $1.8 million income tax benefit related to stock compensation recorded in the first quarter of 2018, the overall income tax rate for the first nine months of 2018 was 23.3%.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calculation of diluted earnings per share for the third quarter and first nine months of 2019 was based on 5,328,855 and 5,327,865 weighted average shares outstanding, compared to 5,336,612 and 5,390,049 for the third quarter and first nine months of 2018. At September 30, 2019, there were 5,314,386 shares outstanding. On November 9, 2017, the Board of Directors authorized the Company to acquire up to 500,000 shares of its Class B common stock; the Company has remaining authorization for 273,655 shares as of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 of Businesses and Other Transactions</w:t>
      </w:r>
    </w:p>
    <w:p>
      <w:pPr>
        <w:spacing w:after="0" w:line="142"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nine months of 2019, the Company acquired seven businesses; one in education, two in healthcare, one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three in other businesses for $191.6 million in cash and contingent consideration and the assumption of $25.8 million in floor plan payables.</w:t>
      </w:r>
    </w:p>
    <w:p>
      <w:pPr>
        <w:spacing w:after="0" w:line="10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In connection with the acquisition, the automotive subsidiary of the Company borrowed $30 million to finance the acquisition and entered into an interest rate swap to fix the interest rate on the debt at 4.7% per annum.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 addition, the Company advanced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0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July 2019, Graham Healthcare Group (GHG) acquired an interest in a small business which is expected to provide certain strategic benefits in the future and is included in healthcare. On July 11, 2019, Kaplan acquired Heverald, the owner of ESL Education, Europe’s largest language-travel agency and Alpadia, a chain of German and French language schools and junior summer camps. The acquisition is expected to provide synergies within Kaplan’s International English business and is included in its international division.</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13 restaurants and entertainment venues in the Washington, DC metropolitan area, including Old Ebbitt Grill and The Hamilton, two of the top 20 highest grossing independent restaurants in the United States. CRG is managed by its existing management team as a wholly-owned subsidiary of the Company. The acquisition is expected to provide benefits in the future by diversifying the Company’s business operations and is included in other businesses.</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695" w:right="299" w:bottom="1440" w:gutter="0" w:footer="0" w:header="0"/>
        </w:sectPr>
      </w:pPr>
    </w:p>
    <w:bookmarkStart w:id="42" w:name="page43"/>
    <w:bookmarkEnd w:id="42"/>
    <w:p>
      <w:pPr>
        <w:ind w:right="220"/>
        <w:spacing w:after="0" w:line="260"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9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During 2018, the Company acquired eight businesses, five in education, one in manufacturing, one in healthcare, and one in SocialCode for $121.1 million in cash and contingent consideration. The assets and liabilities of the companies acquired were recorded at their estimated fair values at the date of acquisition.</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1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manufacturing.</w:t>
      </w:r>
    </w:p>
    <w:p>
      <w:pPr>
        <w:spacing w:after="0" w:line="10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w:t>
      </w:r>
    </w:p>
    <w:p>
      <w:pPr>
        <w:spacing w:after="0" w:line="10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09"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The Company recorded a $0.5 million contingent consideration gain in each of the three months ended September 30, 2019 and September 30, 2018. In the nine months ended September 30, 2019 and September 30, 2018, the Company recorded a $0.9 million and $1.9 million contingent consideration gain, respectively.</w:t>
      </w:r>
    </w:p>
    <w:p>
      <w:pPr>
        <w:spacing w:after="0" w:line="10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w:t>
      </w:r>
    </w:p>
    <w:p>
      <w:pPr>
        <w:spacing w:after="0" w:line="10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44"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During the first nine months of 2019, the Company’s capital expenditures totaled $73.3 million. This amount includes assets acquired during the year, whereas the amounts reflected in the Company’s Condensed Consolidated Statements of Cash Flows are based on cash payments made during the relevant periods. The Company estimates that its capital expenditures will be in the range of $90 million to $100 million in 2019. This includes amounts for constructing an academic and student residential facility in connection with Kaplan’s Pathways program in Liverpool, U.K. This also includes capital expenditures in connection with spectrum repacking at the Company’s television stations in Detroit, MI, Jacksonville, FL, and Roanoke, VA, as mandated by the FCC; these expenditures are expected to be largely reimbursed to the Company by the FCC.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Company’s borrowings were $502.2 million and $477.1 million, at September 30, 2019 and December 31, 2018, respectively. As of September 30, 2019, there was $5.0 million outstanding under the Company’s revolving credit facility at an interest rate of 5.5%; this was fully repaid on October 1, 2019.</w:t>
      </w:r>
    </w:p>
    <w:p>
      <w:pPr>
        <w:spacing w:after="0" w:line="10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At September 30, 2019, the Company had cash and cash equivalents, restricted cash and investments in marketable securities and other investments totaling $711.6 million, compared with $778.7 million at December 31, 2018. At September 30, 2019, the Company held approximately $130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1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Company’s net cash provided by operating activities, as reported in the Company’s Condensed Consolidated Statements of Cash Flows, was $72.3 million for the first nine months of 2019, compared to $191.9 million for the first nine months of 2018. The decrease is due to changes in working capital and an increase in incentive compensation payments.</w:t>
      </w:r>
    </w:p>
    <w:p>
      <w:pPr>
        <w:spacing w:after="0" w:line="10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2.00%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3.4% for both the three and nine months ended September 30, 2019. As of September 30, 2019, the aggregate capacity under the floor plan facility was $50 million, of which $40.9 million had been utilized, and is included in accounts payable and accrued liabilities in the Condensed Consolidated Balance Sheet.</w:t>
      </w:r>
    </w:p>
    <w:p>
      <w:pPr>
        <w:spacing w:after="0" w:line="11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w:t>
      </w:r>
    </w:p>
    <w:p>
      <w:pPr>
        <w:spacing w:after="0" w:line="10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23"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7.25% notes.</w:t>
      </w:r>
    </w:p>
    <w:p>
      <w:pPr>
        <w:spacing w:after="0" w:line="12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1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Moody’s affirmed the Company’s credit ratings, but revised the outlook from Negative to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40" w:type="dxa"/>
            <w:vAlign w:val="bottom"/>
          </w:tcPr>
          <w:p>
            <w:pPr>
              <w:jc w:val="center"/>
              <w:ind w:left="5"/>
              <w:spacing w:after="0"/>
              <w:rPr>
                <w:sz w:val="20"/>
                <w:szCs w:val="20"/>
                <w:color w:val="auto"/>
              </w:rPr>
            </w:pPr>
            <w:r>
              <w:rPr>
                <w:rFonts w:ascii="Arial" w:cs="Arial" w:eastAsia="Arial" w:hAnsi="Arial"/>
                <w:sz w:val="14"/>
                <w:szCs w:val="14"/>
                <w:b w:val="1"/>
                <w:bCs w:val="1"/>
                <w:color w:val="auto"/>
              </w:rPr>
              <w:t>Standard</w:t>
            </w:r>
          </w:p>
        </w:tc>
      </w:tr>
      <w:tr>
        <w:trPr>
          <w:trHeight w:val="203"/>
        </w:trPr>
        <w:tc>
          <w:tcPr>
            <w:tcW w:w="47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center"/>
              <w:ind w:left="3443"/>
              <w:spacing w:after="0"/>
              <w:rPr>
                <w:sz w:val="20"/>
                <w:szCs w:val="20"/>
                <w:color w:val="auto"/>
              </w:rPr>
            </w:pPr>
            <w:r>
              <w:rPr>
                <w:rFonts w:ascii="Arial" w:cs="Arial" w:eastAsia="Arial" w:hAnsi="Arial"/>
                <w:sz w:val="14"/>
                <w:szCs w:val="14"/>
                <w:b w:val="1"/>
                <w:bCs w:val="1"/>
                <w:color w:val="auto"/>
              </w:rPr>
              <w:t>Moody’s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&amp; Poor’s</w:t>
            </w:r>
          </w:p>
        </w:tc>
      </w:tr>
      <w:tr>
        <w:trPr>
          <w:trHeight w:val="249"/>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5100" w:type="dxa"/>
            <w:vAlign w:val="bottom"/>
          </w:tcPr>
          <w:p>
            <w:pPr>
              <w:jc w:val="center"/>
              <w:ind w:left="3423"/>
              <w:spacing w:after="0"/>
              <w:rPr>
                <w:sz w:val="20"/>
                <w:szCs w:val="20"/>
                <w:color w:val="auto"/>
              </w:rPr>
            </w:pPr>
            <w:r>
              <w:rPr>
                <w:rFonts w:ascii="Arial" w:cs="Arial" w:eastAsia="Arial" w:hAnsi="Arial"/>
                <w:sz w:val="16"/>
                <w:szCs w:val="16"/>
                <w:color w:val="auto"/>
                <w:w w:val="98"/>
              </w:rPr>
              <w:t>Ba1</w:t>
            </w:r>
          </w:p>
        </w:tc>
        <w:tc>
          <w:tcPr>
            <w:tcW w:w="1540" w:type="dxa"/>
            <w:vAlign w:val="bottom"/>
          </w:tcPr>
          <w:p>
            <w:pPr>
              <w:jc w:val="center"/>
              <w:spacing w:after="0"/>
              <w:rPr>
                <w:sz w:val="20"/>
                <w:szCs w:val="20"/>
                <w:color w:val="auto"/>
              </w:rPr>
            </w:pPr>
            <w:r>
              <w:rPr>
                <w:rFonts w:ascii="Arial" w:cs="Arial" w:eastAsia="Arial" w:hAnsi="Arial"/>
                <w:sz w:val="16"/>
                <w:szCs w:val="16"/>
                <w:color w:val="auto"/>
              </w:rPr>
              <w:t>BB+</w:t>
            </w:r>
          </w:p>
        </w:tc>
      </w:tr>
    </w:tbl>
    <w:p>
      <w:pPr>
        <w:spacing w:after="0" w:line="14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At September 30, 2019 and December 31, 2018, the Company had working capital of $545.3 million and $720.2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11"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Company adopted the new lease accounting guidance on January 1, 2019 and recognized right-of-use assets of $369.3 million and lease liabilities of $418.3 million. Please refer to Note 1 - Organization, Basis of Presentation and Recent Accounting Pronouncements and Note 6 - Leases for further discussion of the new lease accounting guidance.</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2018 and the Company’s Quarterly Report on Form 10-Q for the quarter ended June 30, 2019.</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2018 Annual Report filed on Form 10-K have not otherwise changed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September 30, 2019.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2019</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95"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2018 Form 10-K.</w:t>
      </w:r>
    </w:p>
    <w:p>
      <w:pPr>
        <w:spacing w:after="0" w:line="14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46"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1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laws, regulations and other requirements applicable to KHE or any KHE client institutions are subject to change and to interpretation.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09" w:lineRule="exact"/>
        <w:rPr>
          <w:sz w:val="20"/>
          <w:szCs w:val="20"/>
          <w:color w:val="auto"/>
        </w:rPr>
      </w:pPr>
    </w:p>
    <w:p>
      <w:pPr>
        <w:ind w:left="660" w:right="240"/>
        <w:spacing w:after="0" w:line="228" w:lineRule="auto"/>
        <w:rPr>
          <w:sz w:val="20"/>
          <w:szCs w:val="20"/>
          <w:color w:val="auto"/>
        </w:rPr>
      </w:pPr>
      <w:r>
        <w:rPr>
          <w:rFonts w:ascii="Arial" w:cs="Arial" w:eastAsia="Arial" w:hAnsi="Arial"/>
          <w:sz w:val="18"/>
          <w:szCs w:val="18"/>
          <w:b w:val="1"/>
          <w:bCs w:val="1"/>
          <w:color w:val="auto"/>
        </w:rPr>
        <w:t xml:space="preserve">Reduction in Title IV or other federal, state or private financial assistance: </w:t>
      </w:r>
      <w:r>
        <w:rPr>
          <w:rFonts w:ascii="Arial" w:cs="Arial" w:eastAsia="Arial" w:hAnsi="Arial"/>
          <w:sz w:val="18"/>
          <w:szCs w:val="18"/>
          <w:color w:val="auto"/>
        </w:rPr>
        <w:t>KHE receives revenue based on its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client institutions and, particularly, from Purdue Global revenue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09" w:lineRule="exact"/>
        <w:rPr>
          <w:sz w:val="20"/>
          <w:szCs w:val="20"/>
          <w:color w:val="auto"/>
        </w:rPr>
      </w:pPr>
    </w:p>
    <w:p>
      <w:pPr>
        <w:ind w:left="660" w:right="40"/>
        <w:spacing w:after="0" w:line="227" w:lineRule="auto"/>
        <w:rPr>
          <w:sz w:val="20"/>
          <w:szCs w:val="20"/>
          <w:color w:val="auto"/>
        </w:rPr>
      </w:pPr>
      <w:r>
        <w:rPr>
          <w:rFonts w:ascii="Arial" w:cs="Arial" w:eastAsia="Arial" w:hAnsi="Arial"/>
          <w:sz w:val="18"/>
          <w:szCs w:val="18"/>
          <w:b w:val="1"/>
          <w:bCs w:val="1"/>
          <w:color w:val="auto"/>
        </w:rPr>
        <w:t xml:space="preserve">Compliance reviews and litigation: </w:t>
      </w:r>
      <w:r>
        <w:rPr>
          <w:rFonts w:ascii="Arial" w:cs="Arial" w:eastAsia="Arial" w:hAnsi="Arial"/>
          <w:sz w:val="18"/>
          <w:szCs w:val="18"/>
          <w:color w:val="auto"/>
        </w:rPr>
        <w:t>Institutions participating in the Title IV programs, including Purdue Global and other client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KHE on behalf of Purdue Global or other client institutions and to KHE itself as a third-party servicer subject to Title IV regulations.</w:t>
      </w:r>
    </w:p>
    <w:p>
      <w:pPr>
        <w:spacing w:after="0" w:line="108" w:lineRule="exact"/>
        <w:rPr>
          <w:sz w:val="20"/>
          <w:szCs w:val="20"/>
          <w:color w:val="auto"/>
        </w:rPr>
      </w:pPr>
    </w:p>
    <w:p>
      <w:pPr>
        <w:ind w:left="660"/>
        <w:spacing w:after="0" w:line="223" w:lineRule="auto"/>
        <w:rPr>
          <w:sz w:val="20"/>
          <w:szCs w:val="20"/>
          <w:color w:val="auto"/>
        </w:rPr>
      </w:pPr>
      <w:r>
        <w:rPr>
          <w:rFonts w:ascii="Arial" w:cs="Arial" w:eastAsia="Arial" w:hAnsi="Arial"/>
          <w:sz w:val="18"/>
          <w:szCs w:val="18"/>
          <w:b w:val="1"/>
          <w:bCs w:val="1"/>
          <w:color w:val="auto"/>
        </w:rPr>
        <w:t xml:space="preserve">Legislative and regulatory change: </w:t>
      </w:r>
      <w:r>
        <w:rPr>
          <w:rFonts w:ascii="Arial" w:cs="Arial" w:eastAsia="Arial" w:hAnsi="Arial"/>
          <w:sz w:val="18"/>
          <w:szCs w:val="18"/>
          <w:color w:val="auto"/>
        </w:rPr>
        <w:t>Congress periodically revises the Higher Education Act and other laws and enacts new laws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Title IV programs and annually determines the funding level for each Title IV program and may make changes in the laws at any time. The ED also may issue new regulations and guidance or change its interpretation of new regulations at any time. For example, on August 30, 2019, the ED released new final regulations impacting the ability of student borrowers to obtain discharges of their obligations to repay certain Title IV loans on loans first disbursed on or after July 1, 2020, and loans disbursed between July 1, 2017 and July 1, 2020. The new regulations expand the ability of borrowers to obtain loan discharges based on substantial misrepresentations. Application of these regulations to Purdue Global or other client institutions, could materially impact revenue and result in liabilities to the ED. In addition, application of these regulations to Kaplan for loans disbursed between July 1, 2017 and March 22, 2018, the close of the Purdue Global transaction, could result in liabilities to ED.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KHE receives under the TOSA or other agreements. Any action by Congress or the ED that impacts the ability of Purdue Global or other client institutions to contract with KHE to provide bundled services in exchange for a share of tuition revenue could require KHE to modify the TOSA, other agreements and its practices and could impact the revenues KHE may receive under such agreements. Congress, the ED and other federal and state regulators may create new laws or take actions that may require Purdue Global, other client institutions 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KHE to modify practices in ways that could have a material adverse effect on Kaplan’s business and results of operations.</w:t>
      </w:r>
    </w:p>
    <w:p>
      <w:pPr>
        <w:spacing w:after="0" w:line="142" w:lineRule="exact"/>
        <w:rPr>
          <w:sz w:val="20"/>
          <w:szCs w:val="20"/>
          <w:color w:val="auto"/>
        </w:rPr>
      </w:pPr>
    </w:p>
    <w:p>
      <w:pPr>
        <w:ind w:left="660"/>
        <w:spacing w:after="0" w:line="227" w:lineRule="auto"/>
        <w:rPr>
          <w:sz w:val="20"/>
          <w:szCs w:val="20"/>
          <w:color w:val="auto"/>
        </w:rPr>
      </w:pPr>
      <w:r>
        <w:rPr>
          <w:rFonts w:ascii="Arial" w:cs="Arial" w:eastAsia="Arial" w:hAnsi="Arial"/>
          <w:sz w:val="18"/>
          <w:szCs w:val="18"/>
          <w:b w:val="1"/>
          <w:b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programs similar to those offered by Purdue Global or other client institutions has resulted, and may continue to result, in additional enforcement actions, investigations and lawsuits by the ED, other federal agencies, state Attorneys General and state licensing agencies. Recent enforcement actions have resulted in substantial liabilities, restrictions and sanctions and, in some cases, have led to the loss of Title IV eligibility and closure of institutions.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w:t>
      </w:r>
    </w:p>
    <w:p>
      <w:pPr>
        <w:spacing w:after="0" w:line="108" w:lineRule="exact"/>
        <w:rPr>
          <w:sz w:val="20"/>
          <w:szCs w:val="20"/>
          <w:color w:val="auto"/>
        </w:rPr>
      </w:pPr>
    </w:p>
    <w:p>
      <w:pPr>
        <w:ind w:left="260" w:right="60" w:hanging="252"/>
        <w:spacing w:after="0" w:line="272" w:lineRule="auto"/>
        <w:tabs>
          <w:tab w:leader="none" w:pos="2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 Audits and Investigations Could Result in Findings of Non-Compliance With Statutory and Regulatory Requirements and Result in Liabilities, Sanctions and Fines.</w:t>
      </w:r>
    </w:p>
    <w:p>
      <w:pPr>
        <w:spacing w:after="0" w:line="7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As a third-party servicer providing financial aid services to a Title IV participating institution, KHE is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proceedings to impose fines, liabilities, civil or criminal penalties or other sanctions against KHE. KHE will be required, if it enters into contracts to provide financial aid services to more than one Title IV participating institution, to arrange for an independent auditor to conduct an annual Title IV compliance audit of KHE’s compliance with applicable ED requirements.</w:t>
      </w:r>
    </w:p>
    <w:p>
      <w:pPr>
        <w:spacing w:after="0" w:line="10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Prior to the transfer of the institutional assets and operations of KU to Purdue Global, on September 3, 2015, Kaplan sold substantially all of the assets of the KHE Campuses. As part of the transaction, similar to the transfer of KU, Kaplan retained liability for the pre-sale conduct of the KHE schools. Kaplan may also have liabilities under certain lease obligations. Although Kaplan no longer owns KU or the KHE Campuses, Kaplan may be liable to the current owners of KU and the KHE Campuses, respectively, for the pre-sale conduct of the schools.</w:t>
      </w:r>
    </w:p>
    <w:p>
      <w:pPr>
        <w:spacing w:after="0" w:line="109"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KI.</w:t>
      </w:r>
    </w:p>
    <w:p>
      <w:pPr>
        <w:spacing w:after="0" w:line="14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years 2014 to 2017, which have been paid by Kaplan. In September 2017, in a case captioned Kaplan International Colleges UK Limited v. The Commissioners for Her Majesty’s Revenue and Customs, Kaplan challenged these assessments. The Company believes it has met all requirements under U.K. VAT law and is entitled to recover the £17.3 million receivable related to the assessments and subsequent payments that have been paid through September 30, 2019. Following a hearing held in January 2019 before the First Tier Tax Tribunal, all issues related to EU law in the case were referred to the Court of Justice of the European Union. In the third quarter of 2019, the Company has recorded a full provision of £17.3 million against this receivable due to recent developments in the case.</w:t>
      </w:r>
    </w:p>
    <w:p>
      <w:pPr>
        <w:spacing w:after="0" w:line="10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a separate matter, there was a legal case awaiting judgment at the Supreme Court in the U.K. as of December 31, 2018 that could have impacted U.K. Pathways’ ability to receive the benefit of an exemption from charging its students VAT on tuition fees. The case could have reversed or amended the law and guidance permitting private providers to qualify as a “college of a university” and, therefore, receive the benefit of an exemption from charging its students VAT on tuition fees. However the Supreme Court decided the case in the college’s favor. The result was more favorable to private providers working in collaboration with a university than the opposing view. The Supreme Court emphasized five key tests for a private provider to satisfy so that it could exempt its services as a “college of a university”, even if it did not have a constitutional link to the university. Satisfying these tests would generally show that the college had a sufficiently close relationship with the university and its activities were sufficiently integrated with the university, to constitute a “college of a university”. Although the new test has now been incorporated into official HMRC guidance, it is not yet clear how HMRC will apply the Supreme Court judgment and the five key tests in practice.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0" w:type="dxa"/>
            <w:vAlign w:val="bottom"/>
            <w:gridSpan w:val="16"/>
            <w:vMerge w:val="restart"/>
          </w:tcPr>
          <w:p>
            <w:pPr>
              <w:ind w:left="6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6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7"/>
        </w:trPr>
        <w:tc>
          <w:tcPr>
            <w:tcW w:w="1180" w:type="dxa"/>
            <w:vAlign w:val="bottom"/>
          </w:tcPr>
          <w:p>
            <w:pPr>
              <w:ind w:left="180"/>
              <w:spacing w:after="0"/>
              <w:rPr>
                <w:sz w:val="20"/>
                <w:szCs w:val="20"/>
                <w:color w:val="auto"/>
              </w:rPr>
            </w:pPr>
            <w:r>
              <w:rPr>
                <w:rFonts w:ascii="Arial" w:cs="Arial" w:eastAsia="Arial" w:hAnsi="Arial"/>
                <w:sz w:val="16"/>
                <w:szCs w:val="16"/>
                <w:color w:val="auto"/>
              </w:rPr>
              <w:t>3.1</w:t>
            </w:r>
          </w:p>
        </w:tc>
        <w:tc>
          <w:tcPr>
            <w:tcW w:w="10240" w:type="dxa"/>
            <w:vAlign w:val="bottom"/>
            <w:gridSpan w:val="18"/>
          </w:tcPr>
          <w:p>
            <w:pPr>
              <w:spacing w:after="0"/>
              <w:rPr>
                <w:rFonts w:ascii="Arial" w:cs="Arial" w:eastAsia="Arial" w:hAnsi="Arial"/>
                <w:sz w:val="16"/>
                <w:szCs w:val="16"/>
                <w:color w:val="0000FF"/>
              </w:rPr>
            </w:pPr>
            <w:hyperlink r:id="rId1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2">
              <w:r>
                <w:rPr>
                  <w:rFonts w:ascii="Arial" w:cs="Arial" w:eastAsia="Arial" w:hAnsi="Arial"/>
                  <w:sz w:val="16"/>
                  <w:szCs w:val="16"/>
                  <w:color w:val="0000FF"/>
                </w:rPr>
                <w:t>Annual Report on Form 10-K for the fiscal year ended December 28, 2003).</w:t>
              </w:r>
            </w:hyperlink>
          </w:p>
        </w:tc>
        <w:tc>
          <w:tcPr>
            <w:tcW w:w="452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3.2</w:t>
            </w:r>
          </w:p>
        </w:tc>
        <w:tc>
          <w:tcPr>
            <w:tcW w:w="10240" w:type="dxa"/>
            <w:vAlign w:val="bottom"/>
            <w:gridSpan w:val="18"/>
          </w:tcPr>
          <w:p>
            <w:pPr>
              <w:spacing w:after="0"/>
              <w:rPr>
                <w:rFonts w:ascii="Arial" w:cs="Arial" w:eastAsia="Arial" w:hAnsi="Arial"/>
                <w:sz w:val="16"/>
                <w:szCs w:val="16"/>
                <w:color w:val="0000FF"/>
              </w:rPr>
            </w:pPr>
            <w:hyperlink r:id="rId13">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reference to Exhibit 3.1 to the Company’s current Report on Form 8-K dated November 29, 2013).</w:t>
              </w:r>
            </w:hyperlink>
          </w:p>
        </w:tc>
        <w:tc>
          <w:tcPr>
            <w:tcW w:w="2520" w:type="dxa"/>
            <w:vAlign w:val="bottom"/>
            <w:tcBorders>
              <w:top w:val="single" w:sz="8" w:color="0000FF"/>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3.3</w:t>
            </w:r>
          </w:p>
        </w:tc>
        <w:tc>
          <w:tcPr>
            <w:tcW w:w="10240" w:type="dxa"/>
            <w:vAlign w:val="bottom"/>
            <w:gridSpan w:val="18"/>
          </w:tcPr>
          <w:p>
            <w:pPr>
              <w:spacing w:after="0"/>
              <w:rPr>
                <w:rFonts w:ascii="Arial" w:cs="Arial" w:eastAsia="Arial" w:hAnsi="Arial"/>
                <w:sz w:val="16"/>
                <w:szCs w:val="16"/>
                <w:color w:val="0000FF"/>
              </w:rPr>
            </w:pPr>
            <w:hyperlink r:id="rId1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Current Report on Form 8-K dated November 29, 2013).</w:t>
              </w:r>
            </w:hyperlink>
          </w:p>
        </w:tc>
        <w:tc>
          <w:tcPr>
            <w:tcW w:w="596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4.1</w:t>
            </w:r>
          </w:p>
        </w:tc>
        <w:tc>
          <w:tcPr>
            <w:tcW w:w="10240" w:type="dxa"/>
            <w:vAlign w:val="bottom"/>
            <w:gridSpan w:val="18"/>
          </w:tcPr>
          <w:p>
            <w:pPr>
              <w:spacing w:after="0"/>
              <w:rPr>
                <w:rFonts w:ascii="Arial" w:cs="Arial" w:eastAsia="Arial" w:hAnsi="Arial"/>
                <w:sz w:val="16"/>
                <w:szCs w:val="16"/>
                <w:color w:val="0000FF"/>
              </w:rPr>
            </w:pPr>
            <w:hyperlink r:id="rId15">
              <w:r>
                <w:rPr>
                  <w:rFonts w:ascii="Arial" w:cs="Arial" w:eastAsia="Arial" w:hAnsi="Arial"/>
                  <w:sz w:val="16"/>
                  <w:szCs w:val="16"/>
                  <w:color w:val="0000FF"/>
                </w:rPr>
                <w:t>Senior Notes Indenture dated as of May 30, 2018, between the Company and The Bank of New York Mellon Trust Company, N.A., as Trustee</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14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(incorporated by reference to Exhibit 4.1 to the Company’s Current Report on Form 8-K dated May 24, 2018).</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4.2</w:t>
            </w:r>
          </w:p>
        </w:tc>
        <w:tc>
          <w:tcPr>
            <w:tcW w:w="10240" w:type="dxa"/>
            <w:vAlign w:val="bottom"/>
            <w:gridSpan w:val="18"/>
          </w:tcPr>
          <w:p>
            <w:pPr>
              <w:spacing w:after="0"/>
              <w:rPr>
                <w:rFonts w:ascii="Arial" w:cs="Arial" w:eastAsia="Arial" w:hAnsi="Arial"/>
                <w:sz w:val="16"/>
                <w:szCs w:val="16"/>
                <w:color w:val="0000FF"/>
              </w:rPr>
            </w:pPr>
            <w:hyperlink r:id="rId16">
              <w:r>
                <w:rPr>
                  <w:rFonts w:ascii="Arial" w:cs="Arial" w:eastAsia="Arial" w:hAnsi="Arial"/>
                  <w:sz w:val="16"/>
                  <w:szCs w:val="16"/>
                  <w:color w:val="0000FF"/>
                </w:rPr>
                <w:t>Amended and Restated Five Year Credit Agreement, dated as of May 30, 2018, among the Company, and the foreign borrowers from time to</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0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time party thereto, and certain of its domestic subsidiaries as guarantors, the several lenders from time to time party thereto, Wells Fargo</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80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Bank, National Association, as Administrative Agent and JPMorgan Chase Bank, N.A., as Syndication Agent (incorporated by reference</w:t>
              </w:r>
            </w:hyperlink>
          </w:p>
        </w:tc>
        <w:tc>
          <w:tcPr>
            <w:tcW w:w="440" w:type="dxa"/>
            <w:vAlign w:val="bottom"/>
            <w:gridSpan w:val="8"/>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to</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90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Exhibit 4.2 to the Company’s Quarterly Report on Form 10-Q for the period ended June 30, 2018).</w:t>
              </w:r>
            </w:hyperlink>
          </w:p>
        </w:tc>
        <w:tc>
          <w:tcPr>
            <w:tcW w:w="160" w:type="dxa"/>
            <w:vAlign w:val="bottom"/>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80" w:type="dxa"/>
            <w:vAlign w:val="bottom"/>
          </w:tcPr>
          <w:p>
            <w:pPr>
              <w:ind w:left="180"/>
              <w:spacing w:after="0"/>
              <w:rPr>
                <w:sz w:val="20"/>
                <w:szCs w:val="20"/>
                <w:color w:val="auto"/>
              </w:rPr>
            </w:pPr>
            <w:r>
              <w:rPr>
                <w:rFonts w:ascii="Arial" w:cs="Arial" w:eastAsia="Arial" w:hAnsi="Arial"/>
                <w:sz w:val="16"/>
                <w:szCs w:val="16"/>
                <w:color w:val="auto"/>
              </w:rPr>
              <w:t>10.1</w:t>
            </w:r>
          </w:p>
        </w:tc>
        <w:tc>
          <w:tcPr>
            <w:tcW w:w="10240" w:type="dxa"/>
            <w:vAlign w:val="bottom"/>
            <w:gridSpan w:val="18"/>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First Amendment dated as of July 29, 2019, to the Transition and Operations Support Agreement dated March 22, 2018, by and among</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0240" w:type="dxa"/>
            <w:vAlign w:val="bottom"/>
            <w:gridSpan w:val="18"/>
          </w:tcPr>
          <w:p>
            <w:pPr>
              <w:spacing w:after="0" w:line="169" w:lineRule="exact"/>
              <w:rPr>
                <w:rFonts w:ascii="Arial" w:cs="Arial" w:eastAsia="Arial" w:hAnsi="Arial"/>
                <w:sz w:val="16"/>
                <w:szCs w:val="16"/>
                <w:color w:val="0000FF"/>
              </w:rPr>
            </w:pPr>
            <w:hyperlink w:anchor="page51">
              <w:r>
                <w:rPr>
                  <w:rFonts w:ascii="Arial" w:cs="Arial" w:eastAsia="Arial" w:hAnsi="Arial"/>
                  <w:sz w:val="16"/>
                  <w:szCs w:val="16"/>
                  <w:color w:val="0000FF"/>
                </w:rPr>
                <w:t>Kaplan Higher Education, LLC, Iowa College Acquisition, LLC and Purdue University Global, Inc. (the “First Amendment”), with The Trustees</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w w:val="99"/>
              </w:rPr>
            </w:pPr>
            <w:hyperlink w:anchor="page51">
              <w:r>
                <w:rPr>
                  <w:rFonts w:ascii="Arial" w:cs="Arial" w:eastAsia="Arial" w:hAnsi="Arial"/>
                  <w:sz w:val="16"/>
                  <w:szCs w:val="16"/>
                  <w:color w:val="0000FF"/>
                  <w:w w:val="99"/>
                </w:rPr>
                <w:t>of Purdue University as a party to the First Amendment solely for the purposes of continuing to be bound by the Purdue Provisions (as defined</w:t>
              </w:r>
            </w:hyperlink>
          </w:p>
        </w:tc>
        <w:tc>
          <w:tcPr>
            <w:tcW w:w="120" w:type="dxa"/>
            <w:vAlign w:val="bottom"/>
            <w:tcBorders>
              <w:bottom w:val="single" w:sz="8" w:color="0000FF"/>
            </w:tcBorders>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0180" w:type="dxa"/>
            <w:vAlign w:val="bottom"/>
            <w:gridSpan w:val="17"/>
          </w:tcPr>
          <w:p>
            <w:pPr>
              <w:spacing w:after="0" w:line="169" w:lineRule="exact"/>
              <w:rPr>
                <w:rFonts w:ascii="Arial" w:cs="Arial" w:eastAsia="Arial" w:hAnsi="Arial"/>
                <w:sz w:val="16"/>
                <w:szCs w:val="16"/>
                <w:color w:val="0000FF"/>
              </w:rPr>
            </w:pPr>
            <w:hyperlink w:anchor="page51">
              <w:r>
                <w:rPr>
                  <w:rFonts w:ascii="Arial" w:cs="Arial" w:eastAsia="Arial" w:hAnsi="Arial"/>
                  <w:sz w:val="16"/>
                  <w:szCs w:val="16"/>
                  <w:color w:val="0000FF"/>
                </w:rPr>
                <w:t xml:space="preserve">therein). </w:t>
              </w:r>
              <w:r>
                <w:rPr>
                  <w:rFonts w:ascii="Arial" w:cs="Arial" w:eastAsia="Arial" w:hAnsi="Arial"/>
                  <w:sz w:val="16"/>
                  <w:szCs w:val="16"/>
                  <w:color w:val="000000"/>
                </w:rPr>
                <w:t>+</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80" w:type="dxa"/>
            <w:vAlign w:val="bottom"/>
          </w:tcPr>
          <w:p>
            <w:pPr>
              <w:ind w:left="180"/>
              <w:spacing w:after="0"/>
              <w:rPr>
                <w:sz w:val="20"/>
                <w:szCs w:val="20"/>
                <w:color w:val="auto"/>
              </w:rPr>
            </w:pPr>
            <w:r>
              <w:rPr>
                <w:rFonts w:ascii="Arial" w:cs="Arial" w:eastAsia="Arial" w:hAnsi="Arial"/>
                <w:sz w:val="16"/>
                <w:szCs w:val="16"/>
                <w:color w:val="auto"/>
              </w:rPr>
              <w:t>31.1</w:t>
            </w:r>
          </w:p>
        </w:tc>
        <w:tc>
          <w:tcPr>
            <w:tcW w:w="10240" w:type="dxa"/>
            <w:vAlign w:val="bottom"/>
            <w:gridSpan w:val="18"/>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Rule 13a-14(a)/15d-14(a) Certification of the Chief Executive Officer.</w:t>
              </w:r>
            </w:hyperlink>
          </w:p>
        </w:tc>
        <w:tc>
          <w:tcPr>
            <w:tcW w:w="0" w:type="dxa"/>
            <w:vAlign w:val="bottom"/>
          </w:tcPr>
          <w:p>
            <w:pPr>
              <w:spacing w:after="0"/>
              <w:rPr>
                <w:sz w:val="1"/>
                <w:szCs w:val="1"/>
                <w:color w:val="auto"/>
              </w:rPr>
            </w:pPr>
          </w:p>
        </w:tc>
      </w:tr>
      <w:tr>
        <w:trPr>
          <w:trHeight w:val="466"/>
        </w:trPr>
        <w:tc>
          <w:tcPr>
            <w:tcW w:w="1180" w:type="dxa"/>
            <w:vAlign w:val="bottom"/>
          </w:tcPr>
          <w:p>
            <w:pPr>
              <w:ind w:left="180"/>
              <w:spacing w:after="0"/>
              <w:rPr>
                <w:sz w:val="20"/>
                <w:szCs w:val="20"/>
                <w:color w:val="auto"/>
              </w:rPr>
            </w:pPr>
            <w:r>
              <w:rPr>
                <w:rFonts w:ascii="Arial" w:cs="Arial" w:eastAsia="Arial" w:hAnsi="Arial"/>
                <w:sz w:val="16"/>
                <w:szCs w:val="16"/>
                <w:color w:val="auto"/>
              </w:rPr>
              <w:t>31.2</w:t>
            </w:r>
          </w:p>
        </w:tc>
        <w:tc>
          <w:tcPr>
            <w:tcW w:w="486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Rule 13a-14(a)/15d-14(a) Certification of the Chief Financial Officer.</w:t>
              </w:r>
            </w:hyperlink>
          </w:p>
        </w:tc>
        <w:tc>
          <w:tcPr>
            <w:tcW w:w="40" w:type="dxa"/>
            <w:vAlign w:val="bottom"/>
            <w:tcBorders>
              <w:top w:val="single" w:sz="8" w:color="0000FF"/>
            </w:tcBorders>
          </w:tcPr>
          <w:p>
            <w:pPr>
              <w:spacing w:after="0"/>
              <w:rPr>
                <w:sz w:val="24"/>
                <w:szCs w:val="24"/>
                <w:color w:val="auto"/>
              </w:rPr>
            </w:pPr>
          </w:p>
        </w:tc>
        <w:tc>
          <w:tcPr>
            <w:tcW w:w="5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180" w:hanging="1010"/>
        <w:spacing w:after="0"/>
        <w:tabs>
          <w:tab w:leader="none" w:pos="1180" w:val="left"/>
        </w:tabs>
        <w:numPr>
          <w:ilvl w:val="0"/>
          <w:numId w:val="14"/>
        </w:numPr>
        <w:rPr>
          <w:rFonts w:ascii="Arial" w:cs="Arial" w:eastAsia="Arial" w:hAnsi="Arial"/>
          <w:sz w:val="16"/>
          <w:szCs w:val="16"/>
          <w:color w:val="0000FF"/>
        </w:rPr>
      </w:pPr>
      <w:hyperlink w:anchor="page58">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9"/>
        </w:trPr>
        <w:tc>
          <w:tcPr>
            <w:tcW w:w="820" w:type="dxa"/>
            <w:vAlign w:val="bottom"/>
          </w:tcPr>
          <w:p>
            <w:pPr>
              <w:spacing w:after="0"/>
              <w:rPr>
                <w:sz w:val="19"/>
                <w:szCs w:val="19"/>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within the Inline XBRL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Taxonomy Extension Schema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527"/>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180" w:type="dxa"/>
            <w:vAlign w:val="bottom"/>
          </w:tcPr>
          <w:p>
            <w:pPr>
              <w:ind w:left="18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6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4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Select portions of this exhibit have been omitted as permitted by SEC rules regarding confidential information.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SIGNATURES</w:t>
      </w:r>
    </w:p>
    <w:p>
      <w:pPr>
        <w:spacing w:after="0" w:line="30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8"/>
        </w:trPr>
        <w:tc>
          <w:tcPr>
            <w:tcW w:w="3720" w:type="dxa"/>
            <w:vAlign w:val="bottom"/>
          </w:tcPr>
          <w:p>
            <w:pPr>
              <w:spacing w:after="0"/>
              <w:rPr>
                <w:sz w:val="20"/>
                <w:szCs w:val="20"/>
                <w:color w:val="auto"/>
              </w:rPr>
            </w:pPr>
            <w:r>
              <w:rPr>
                <w:rFonts w:ascii="Arial" w:cs="Arial" w:eastAsia="Arial" w:hAnsi="Arial"/>
                <w:sz w:val="18"/>
                <w:szCs w:val="18"/>
                <w:color w:val="auto"/>
              </w:rPr>
              <w:t>Date: October 30, 2019</w:t>
            </w:r>
          </w:p>
        </w:tc>
        <w:tc>
          <w:tcPr>
            <w:tcW w:w="35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202"/>
        </w:trPr>
        <w:tc>
          <w:tcPr>
            <w:tcW w:w="37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1"/>
        </w:trPr>
        <w:tc>
          <w:tcPr>
            <w:tcW w:w="3720" w:type="dxa"/>
            <w:vAlign w:val="bottom"/>
          </w:tcPr>
          <w:p>
            <w:pPr>
              <w:spacing w:after="0"/>
              <w:rPr>
                <w:sz w:val="20"/>
                <w:szCs w:val="20"/>
                <w:color w:val="auto"/>
              </w:rPr>
            </w:pPr>
            <w:r>
              <w:rPr>
                <w:rFonts w:ascii="Arial" w:cs="Arial" w:eastAsia="Arial" w:hAnsi="Arial"/>
                <w:sz w:val="18"/>
                <w:szCs w:val="18"/>
                <w:color w:val="auto"/>
              </w:rPr>
              <w:t>Date: October 30, 2019</w:t>
            </w:r>
          </w:p>
        </w:tc>
        <w:tc>
          <w:tcPr>
            <w:tcW w:w="35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202"/>
        </w:trPr>
        <w:tc>
          <w:tcPr>
            <w:tcW w:w="37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14"/>
        </w:trPr>
        <w:tc>
          <w:tcPr>
            <w:tcW w:w="3720" w:type="dxa"/>
            <w:vAlign w:val="bottom"/>
          </w:tcPr>
          <w:p>
            <w:pPr>
              <w:spacing w:after="0"/>
              <w:rPr>
                <w:sz w:val="24"/>
                <w:szCs w:val="24"/>
                <w:color w:val="auto"/>
              </w:rPr>
            </w:pPr>
          </w:p>
        </w:tc>
        <w:tc>
          <w:tcPr>
            <w:tcW w:w="3560" w:type="dxa"/>
            <w:vAlign w:val="bottom"/>
          </w:tcPr>
          <w:p>
            <w:pPr>
              <w:jc w:val="right"/>
              <w:ind w:right="1410"/>
              <w:spacing w:after="0"/>
              <w:rPr>
                <w:sz w:val="20"/>
                <w:szCs w:val="20"/>
                <w:color w:val="auto"/>
              </w:rPr>
            </w:pPr>
            <w:r>
              <w:rPr>
                <w:rFonts w:ascii="Arial" w:cs="Arial" w:eastAsia="Arial" w:hAnsi="Arial"/>
                <w:sz w:val="18"/>
                <w:szCs w:val="18"/>
                <w:color w:val="auto"/>
              </w:rPr>
              <w:t>44</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59"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7"/>
          <w:szCs w:val="17"/>
          <w:color w:val="auto"/>
        </w:rPr>
        <w:t>Exhibit 10.1</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8"/>
          <w:szCs w:val="18"/>
          <w:color w:val="FF0000"/>
        </w:rPr>
        <w:t>CERTAIN CONFIDENTIAL INFORMATION HAS BEEN OMITTED FROM THIS EXHIBIT BECAUSE IT IS NOT MATERIAL AND WOULD LIKELY CAUSE COMPETITIVE HARM TO THE COMPANY IF PUBLICLY DISCLOSED. SUCH OMITTED INFORMATION IS MARKED WITH "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AND OPERATIONS SUPPORT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First Amendment (this “</w:t>
      </w:r>
      <w:r>
        <w:rPr>
          <w:rFonts w:ascii="Arial" w:cs="Arial" w:eastAsia="Arial" w:hAnsi="Arial"/>
          <w:sz w:val="18"/>
          <w:szCs w:val="18"/>
          <w:b w:val="1"/>
          <w:bCs w:val="1"/>
          <w:color w:val="auto"/>
        </w:rPr>
        <w:t>First Amendment</w:t>
      </w:r>
      <w:r>
        <w:rPr>
          <w:rFonts w:ascii="Arial" w:cs="Arial" w:eastAsia="Arial" w:hAnsi="Arial"/>
          <w:sz w:val="18"/>
          <w:szCs w:val="18"/>
          <w:color w:val="auto"/>
        </w:rPr>
        <w:t>”), is made and entered into as of July 29, 2019 by and among Kaplan Higher Education, LLC, a Delaware limited liability company (“</w:t>
      </w:r>
      <w:r>
        <w:rPr>
          <w:rFonts w:ascii="Arial" w:cs="Arial" w:eastAsia="Arial" w:hAnsi="Arial"/>
          <w:sz w:val="18"/>
          <w:szCs w:val="18"/>
          <w:b w:val="1"/>
          <w:bCs w:val="1"/>
          <w:color w:val="auto"/>
        </w:rPr>
        <w:t>KHE</w:t>
      </w:r>
      <w:r>
        <w:rPr>
          <w:rFonts w:ascii="Arial" w:cs="Arial" w:eastAsia="Arial" w:hAnsi="Arial"/>
          <w:sz w:val="18"/>
          <w:szCs w:val="18"/>
          <w:color w:val="auto"/>
        </w:rPr>
        <w:t>”), Iowa College Acquisition, LLC, a Delaware limited liability company (“</w:t>
      </w:r>
      <w:r>
        <w:rPr>
          <w:rFonts w:ascii="Arial" w:cs="Arial" w:eastAsia="Arial" w:hAnsi="Arial"/>
          <w:sz w:val="18"/>
          <w:szCs w:val="18"/>
          <w:b w:val="1"/>
          <w:bCs w:val="1"/>
          <w:color w:val="auto"/>
        </w:rPr>
        <w:t>ICA</w:t>
      </w:r>
      <w:r>
        <w:rPr>
          <w:rFonts w:ascii="Arial" w:cs="Arial" w:eastAsia="Arial" w:hAnsi="Arial"/>
          <w:sz w:val="18"/>
          <w:szCs w:val="18"/>
          <w:color w:val="auto"/>
        </w:rPr>
        <w:t>”) (KHE and ICA, collectively, “</w:t>
      </w:r>
      <w:r>
        <w:rPr>
          <w:rFonts w:ascii="Arial" w:cs="Arial" w:eastAsia="Arial" w:hAnsi="Arial"/>
          <w:sz w:val="18"/>
          <w:szCs w:val="18"/>
          <w:b w:val="1"/>
          <w:bCs w:val="1"/>
          <w:color w:val="auto"/>
        </w:rPr>
        <w:t>Contributor</w:t>
      </w:r>
      <w:r>
        <w:rPr>
          <w:rFonts w:ascii="Arial" w:cs="Arial" w:eastAsia="Arial" w:hAnsi="Arial"/>
          <w:sz w:val="18"/>
          <w:szCs w:val="18"/>
          <w:color w:val="auto"/>
        </w:rPr>
        <w:t>”), and Purdue University Global, Inc., an Indiana nonprofit public benefit corporation (“</w:t>
      </w:r>
      <w:r>
        <w:rPr>
          <w:rFonts w:ascii="Arial" w:cs="Arial" w:eastAsia="Arial" w:hAnsi="Arial"/>
          <w:sz w:val="18"/>
          <w:szCs w:val="18"/>
          <w:b w:val="1"/>
          <w:bCs w:val="1"/>
          <w:color w:val="auto"/>
        </w:rPr>
        <w:t>New University</w:t>
      </w:r>
      <w:r>
        <w:rPr>
          <w:rFonts w:ascii="Arial" w:cs="Arial" w:eastAsia="Arial" w:hAnsi="Arial"/>
          <w:sz w:val="18"/>
          <w:szCs w:val="18"/>
          <w:color w:val="auto"/>
        </w:rPr>
        <w:t>”) for the purpose of amending and clarifying that certain Transition and Operations Support Agreement dated March 22, 2018 by and among the Parties (the “</w:t>
      </w:r>
      <w:r>
        <w:rPr>
          <w:rFonts w:ascii="Arial" w:cs="Arial" w:eastAsia="Arial" w:hAnsi="Arial"/>
          <w:sz w:val="18"/>
          <w:szCs w:val="18"/>
          <w:b w:val="1"/>
          <w:bCs w:val="1"/>
          <w:color w:val="auto"/>
        </w:rPr>
        <w:t>TOSA</w:t>
      </w:r>
      <w:r>
        <w:rPr>
          <w:rFonts w:ascii="Arial" w:cs="Arial" w:eastAsia="Arial" w:hAnsi="Arial"/>
          <w:sz w:val="18"/>
          <w:szCs w:val="18"/>
          <w:color w:val="auto"/>
        </w:rPr>
        <w:t>”). The Trustees of Purdue University, an Indiana body corporate that manages and conducts Purdue University, the State of Indiana’s land-grant university (“</w:t>
      </w:r>
      <w:r>
        <w:rPr>
          <w:rFonts w:ascii="Arial" w:cs="Arial" w:eastAsia="Arial" w:hAnsi="Arial"/>
          <w:sz w:val="18"/>
          <w:szCs w:val="18"/>
          <w:b w:val="1"/>
          <w:bCs w:val="1"/>
          <w:color w:val="auto"/>
        </w:rPr>
        <w:t>Purdue</w:t>
      </w:r>
      <w:r>
        <w:rPr>
          <w:rFonts w:ascii="Arial" w:cs="Arial" w:eastAsia="Arial" w:hAnsi="Arial"/>
          <w:sz w:val="18"/>
          <w:szCs w:val="18"/>
          <w:color w:val="auto"/>
        </w:rPr>
        <w:t>”), joins as a Party to this First Amendment solely for the purpose of continuing to be bound by the Purdue Provisions in the TOSA, as amended hereby. Capitalized terms used but not otherwise defined herein have the meanings ascribed to them in the TOSA.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7" w:lineRule="exact"/>
        <w:rPr>
          <w:sz w:val="20"/>
          <w:szCs w:val="20"/>
          <w:color w:val="auto"/>
        </w:rPr>
      </w:pPr>
    </w:p>
    <w:p>
      <w:pPr>
        <w:ind w:left="660" w:right="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Parties successfully closed the transactions contemplated by the Transfer Agreement concurrently with their execution and delivery of the TOSA on the Effective Date, with the effect that New University formally commenced operations shortly thereafter.</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memorialized in the TOSA’s recitals and as reflected in its terms, the TOSA and the Transfer Agreement provided financial guarantees and priority payments to New University that entailed significant economic risk to Contributor.</w:t>
      </w:r>
    </w:p>
    <w:p>
      <w:pPr>
        <w:jc w:val="both"/>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Contributor was nonetheless willing to irrevocably transfer the Institutional Assets to New University in reliance on New University’s agreement to perform pursuant to the terms of the TOSA, which provided that Contributor would be compensated, albeit on a deeply subordinated basis, in the form of a services fee for its Support Functions and deferred consideration for the Institutional Assets it transferred at closing for only $1.00.</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their part, Purdue and New University determined, following extensive due diligence of Contributor and its Institutional Assets, that the economic terms reflected in the TOSA represented fair market value for: (1) the Support Functions that New University would receive thereunder, (2) the Institutional Assets being contributed to New University under the Transfer Agreement, and (3) the financial guarantees provided to New University in the TOSA-a determination supported by a recognition that the total consideration payable to Contributor under the TOSA in an upside scenario is effectively capped by virtue of New University’s ability to terminate after the sixth anniversary of the Effective Date.</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course of obtaining regulatory approvals for the Transfer, Purdue and New University drew attention to the foregoing factors-including the deeply subordinated nature of Contributor’s ability to receive any compensation under the TOSA-all of which provided New University with significant financial protection, ensured it would have the funds necessary to serve students successfully over the long term, and protected Purdue University and Indiana taxpayers from financial risk.</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their intentions concerning the structure of the TOSA have, as described above, been previously articulated, the Parties desire to reflect more clearly, among other things, how compensation to be paid to Contributor under the TOSA represents both (1) a services fee for the Support Functions it is providing, and (2) deferred purchase price for the Institutional Assets it contributed to New University.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7"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agree as follows:</w:t>
      </w:r>
    </w:p>
    <w:p>
      <w:pPr>
        <w:sectPr>
          <w:pgSz w:w="11900" w:h="16838" w:orient="portrait"/>
          <w:cols w:equalWidth="0" w:num="1">
            <w:col w:w="11420"/>
          </w:cols>
          <w:pgMar w:left="240" w:top="81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w:t>
      </w:r>
    </w:p>
    <w:p>
      <w:pPr>
        <w:spacing w:after="0" w:line="227"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definitions in Exhibit A of the TOSA are hereby changed or amended to read as follows:</w:t>
      </w:r>
    </w:p>
    <w:p>
      <w:pPr>
        <w:spacing w:after="0" w:line="223" w:lineRule="exact"/>
        <w:rPr>
          <w:rFonts w:ascii="Arial" w:cs="Arial" w:eastAsia="Arial" w:hAnsi="Arial"/>
          <w:sz w:val="18"/>
          <w:szCs w:val="18"/>
          <w:color w:val="auto"/>
        </w:rPr>
      </w:pPr>
    </w:p>
    <w:p>
      <w:pPr>
        <w:ind w:left="1460" w:right="340" w:hanging="318"/>
        <w:spacing w:after="0" w:line="30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reference to the term “</w:t>
      </w:r>
      <w:r>
        <w:rPr>
          <w:rFonts w:ascii="Arial" w:cs="Arial" w:eastAsia="Arial" w:hAnsi="Arial"/>
          <w:sz w:val="18"/>
          <w:szCs w:val="18"/>
          <w:b w:val="1"/>
          <w:bCs w:val="1"/>
          <w:color w:val="auto"/>
        </w:rPr>
        <w:t>Contributor Fee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is hereby changed to a new term to be called “</w:t>
      </w:r>
      <w:r>
        <w:rPr>
          <w:rFonts w:ascii="Arial" w:cs="Arial" w:eastAsia="Arial" w:hAnsi="Arial"/>
          <w:sz w:val="18"/>
          <w:szCs w:val="18"/>
          <w:b w:val="1"/>
          <w:bCs w:val="1"/>
          <w:color w:val="auto"/>
        </w:rPr>
        <w:t>Contributor Compensation</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1460" w:right="140" w:hanging="318"/>
        <w:spacing w:after="0" w:line="30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reference to the term “</w:t>
      </w:r>
      <w:r>
        <w:rPr>
          <w:rFonts w:ascii="Arial" w:cs="Arial" w:eastAsia="Arial" w:hAnsi="Arial"/>
          <w:sz w:val="18"/>
          <w:szCs w:val="18"/>
          <w:b w:val="1"/>
          <w:bCs w:val="1"/>
          <w:color w:val="auto"/>
        </w:rPr>
        <w:t>Unpaid Contributor Fee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is hereby changed to a new term to be called “</w:t>
      </w:r>
      <w:r>
        <w:rPr>
          <w:rFonts w:ascii="Arial" w:cs="Arial" w:eastAsia="Arial" w:hAnsi="Arial"/>
          <w:sz w:val="18"/>
          <w:szCs w:val="18"/>
          <w:b w:val="1"/>
          <w:bCs w:val="1"/>
          <w:color w:val="auto"/>
        </w:rPr>
        <w:t>Unpaid Contributor Compensation</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1460" w:right="300" w:hanging="318"/>
        <w:spacing w:after="0" w:line="294"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last sentence in the definition of “</w:t>
      </w:r>
      <w:r>
        <w:rPr>
          <w:rFonts w:ascii="Arial" w:cs="Arial" w:eastAsia="Arial" w:hAnsi="Arial"/>
          <w:sz w:val="18"/>
          <w:szCs w:val="18"/>
          <w:b w:val="1"/>
          <w:bCs w:val="1"/>
          <w:color w:val="auto"/>
        </w:rPr>
        <w:t>Revenue</w:t>
      </w:r>
      <w:r>
        <w:rPr>
          <w:rFonts w:ascii="Arial" w:cs="Arial" w:eastAsia="Arial" w:hAnsi="Arial"/>
          <w:sz w:val="18"/>
          <w:szCs w:val="18"/>
          <w:color w:val="auto"/>
        </w:rPr>
        <w:t>” or “</w:t>
      </w:r>
      <w:r>
        <w:rPr>
          <w:rFonts w:ascii="Arial" w:cs="Arial" w:eastAsia="Arial" w:hAnsi="Arial"/>
          <w:sz w:val="18"/>
          <w:szCs w:val="18"/>
          <w:b w:val="1"/>
          <w:bCs w:val="1"/>
          <w:color w:val="auto"/>
        </w:rPr>
        <w:t>Revenues</w:t>
      </w:r>
      <w:r>
        <w:rPr>
          <w:rFonts w:ascii="Arial" w:cs="Arial" w:eastAsia="Arial" w:hAnsi="Arial"/>
          <w:sz w:val="18"/>
          <w:szCs w:val="18"/>
          <w:color w:val="auto"/>
        </w:rPr>
        <w:t>” in Exhibit A is hereby amended and restated to read in its entirety as follows:</w:t>
      </w:r>
    </w:p>
    <w:p>
      <w:pPr>
        <w:spacing w:after="0" w:line="143" w:lineRule="exact"/>
        <w:rPr>
          <w:rFonts w:ascii="Arial" w:cs="Arial" w:eastAsia="Arial" w:hAnsi="Arial"/>
          <w:sz w:val="18"/>
          <w:szCs w:val="18"/>
          <w:color w:val="auto"/>
        </w:rPr>
      </w:pPr>
    </w:p>
    <w:p>
      <w:pPr>
        <w:jc w:val="both"/>
        <w:ind w:left="1460"/>
        <w:spacing w:after="0" w:line="264" w:lineRule="auto"/>
        <w:rPr>
          <w:rFonts w:ascii="Arial" w:cs="Arial" w:eastAsia="Arial" w:hAnsi="Arial"/>
          <w:sz w:val="18"/>
          <w:szCs w:val="18"/>
          <w:color w:val="auto"/>
        </w:rPr>
      </w:pPr>
      <w:r>
        <w:rPr>
          <w:rFonts w:ascii="Arial" w:cs="Arial" w:eastAsia="Arial" w:hAnsi="Arial"/>
          <w:sz w:val="18"/>
          <w:szCs w:val="18"/>
          <w:color w:val="auto"/>
        </w:rPr>
        <w:t>“For purposes of this definition: (i) past practices of Contributor shall mean the applicable practices most recently applied prior to the Effective Date, and (ii) the term ‘Revenue’ or ‘Revenues’ shall under no circumstances be construed to mean the net earnings of New University, it being understood that such net earnings are represented only by the amount of the Remainder Payment, if any, determined for a designated time period.”</w:t>
      </w:r>
    </w:p>
    <w:p>
      <w:pPr>
        <w:spacing w:after="0" w:line="169" w:lineRule="exact"/>
        <w:rPr>
          <w:rFonts w:ascii="Arial" w:cs="Arial" w:eastAsia="Arial" w:hAnsi="Arial"/>
          <w:sz w:val="18"/>
          <w:szCs w:val="18"/>
          <w:color w:val="auto"/>
        </w:rPr>
      </w:pPr>
    </w:p>
    <w:p>
      <w:pPr>
        <w:ind w:left="1460" w:right="3820" w:hanging="318"/>
        <w:spacing w:after="0" w:line="301"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new defined term, “GDPR”, is hereby added to Exhibit A to read as follows: “</w:t>
      </w:r>
      <w:r>
        <w:rPr>
          <w:rFonts w:ascii="Arial" w:cs="Arial" w:eastAsia="Arial" w:hAnsi="Arial"/>
          <w:sz w:val="18"/>
          <w:szCs w:val="18"/>
          <w:b w:val="1"/>
          <w:bCs w:val="1"/>
          <w:color w:val="auto"/>
        </w:rPr>
        <w:t>GDPR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60" w:hanging="318"/>
        <w:spacing w:after="0" w:line="292" w:lineRule="auto"/>
        <w:tabs>
          <w:tab w:leader="none" w:pos="13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Section number referenced in the definition of “Remainder Payment” is changed from “Section 2(g) of Exhibit F” to “Section 2(i) of Exhibit F.”</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definitions in Exhibit F of the TOSA are hereby changed or amended to read as follows:</w:t>
      </w:r>
    </w:p>
    <w:p>
      <w:pPr>
        <w:spacing w:after="0" w:line="223"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Contributor Fee</w:t>
      </w:r>
      <w:r>
        <w:rPr>
          <w:rFonts w:ascii="Arial" w:cs="Arial" w:eastAsia="Arial" w:hAnsi="Arial"/>
          <w:sz w:val="18"/>
          <w:szCs w:val="18"/>
          <w:color w:val="auto"/>
        </w:rPr>
        <w:t>” is hereby changed to “</w:t>
      </w:r>
      <w:r>
        <w:rPr>
          <w:rFonts w:ascii="Arial" w:cs="Arial" w:eastAsia="Arial" w:hAnsi="Arial"/>
          <w:sz w:val="18"/>
          <w:szCs w:val="18"/>
          <w:b w:val="1"/>
          <w:bCs w:val="1"/>
          <w:color w:val="auto"/>
        </w:rPr>
        <w:t>Contributor Compensation</w:t>
      </w:r>
      <w:r>
        <w:rPr>
          <w:rFonts w:ascii="Arial" w:cs="Arial" w:eastAsia="Arial" w:hAnsi="Arial"/>
          <w:sz w:val="18"/>
          <w:szCs w:val="18"/>
          <w:color w:val="auto"/>
        </w:rPr>
        <w:t>,” [***]</w:t>
      </w:r>
    </w:p>
    <w:p>
      <w:pPr>
        <w:spacing w:after="0" w:line="33" w:lineRule="exact"/>
        <w:rPr>
          <w:sz w:val="20"/>
          <w:szCs w:val="20"/>
          <w:color w:val="auto"/>
        </w:rPr>
      </w:pPr>
    </w:p>
    <w:p>
      <w:pPr>
        <w:jc w:val="both"/>
        <w:ind w:left="1460" w:hanging="318"/>
        <w:spacing w:after="0" w:line="25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amount equal to (i) 12.5% of actual Revenues for the quarter just-ended through June 30, 2022, and thereafter 13% of actual Revenues for the quarter just-ended through the Fiscal Year ending June 30, 2027, and thereafter 12.5% of actual Revenues for the quarter just-ended for the remainder of the Term, [***]</w:t>
      </w:r>
    </w:p>
    <w:p>
      <w:pPr>
        <w:spacing w:after="0" w:line="174" w:lineRule="exact"/>
        <w:rPr>
          <w:rFonts w:ascii="Arial" w:cs="Arial" w:eastAsia="Arial" w:hAnsi="Arial"/>
          <w:sz w:val="18"/>
          <w:szCs w:val="18"/>
          <w:color w:val="auto"/>
        </w:rPr>
      </w:pPr>
    </w:p>
    <w:p>
      <w:pPr>
        <w:ind w:left="1140" w:hanging="484"/>
        <w:spacing w:after="0" w:line="292"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references to “Contributor Fee” or “Contributor Fees” in the following sections shall be changed to “Contributor Compensation” each place such term appears:</w:t>
      </w:r>
    </w:p>
    <w:p>
      <w:pPr>
        <w:spacing w:after="0" w:line="144"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9</w:t>
      </w:r>
    </w:p>
    <w:p>
      <w:pPr>
        <w:spacing w:after="0" w:line="31"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11.2</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13.2 (two references)</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14.5(b)(iv)</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14.6(b)</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14.9(a)</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15 (two references)</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Section 1(d) of </w:t>
      </w:r>
      <w:r>
        <w:rPr>
          <w:rFonts w:ascii="Arial" w:cs="Arial" w:eastAsia="Arial" w:hAnsi="Arial"/>
          <w:sz w:val="18"/>
          <w:szCs w:val="18"/>
          <w:u w:val="single" w:color="auto"/>
          <w:color w:val="auto"/>
        </w:rPr>
        <w:t>Exhibit F</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Sections 4(a)(i) and 4(a)(ii) of </w:t>
      </w:r>
      <w:r>
        <w:rPr>
          <w:rFonts w:ascii="Arial" w:cs="Arial" w:eastAsia="Arial" w:hAnsi="Arial"/>
          <w:sz w:val="18"/>
          <w:szCs w:val="18"/>
          <w:u w:val="single" w:color="auto"/>
          <w:color w:val="auto"/>
        </w:rPr>
        <w:t>Exhibit F</w:t>
      </w:r>
    </w:p>
    <w:p>
      <w:pPr>
        <w:spacing w:after="0" w:line="203"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Sections 3.2(c) and 3.2(d) are hereby amended and restated to read in their entirety as follows:</w:t>
      </w:r>
    </w:p>
    <w:p>
      <w:pPr>
        <w:spacing w:after="0" w:line="31"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Advisory Committee Activities</w:t>
      </w:r>
      <w:r>
        <w:rPr>
          <w:rFonts w:ascii="Arial" w:cs="Arial" w:eastAsia="Arial" w:hAnsi="Arial"/>
          <w:sz w:val="18"/>
          <w:szCs w:val="18"/>
          <w:color w:val="auto"/>
        </w:rPr>
        <w:t>. Subject to the ultimate authority of the New University Board of Trustees over the operation and control of New University and its policies and procedures, and without limiting the powers of New University Board of Trustees, the Advisory Committee shall meet to coordinate on developing strategies, objectives, and make recommendations to the New University executive leadership and Board of Trustees on topics or issues including:</w:t>
      </w:r>
    </w:p>
    <w:p>
      <w:pPr>
        <w:spacing w:after="0" w:line="178" w:lineRule="exact"/>
        <w:rPr>
          <w:rFonts w:ascii="Arial" w:cs="Arial" w:eastAsia="Arial" w:hAnsi="Arial"/>
          <w:sz w:val="18"/>
          <w:szCs w:val="18"/>
          <w:color w:val="auto"/>
        </w:rPr>
      </w:pPr>
    </w:p>
    <w:p>
      <w:pPr>
        <w:ind w:left="1800" w:right="20" w:hanging="590"/>
        <w:spacing w:after="0" w:line="263" w:lineRule="auto"/>
        <w:tabs>
          <w:tab w:leader="none" w:pos="18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 annual plan that will include New University’s key objectives and the Annual New University Budget (the “Annual Plan”), including amounts budgeted for Academic Functions and Support Functions thereunder;</w:t>
      </w:r>
    </w:p>
    <w:p>
      <w:pPr>
        <w:ind w:left="1800" w:hanging="590"/>
        <w:spacing w:after="0"/>
        <w:tabs>
          <w:tab w:leader="none" w:pos="18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Marketing Plan to support the objectives, and in compliance with the NewU Budget, as set forth in the Annual Plan;</w:t>
      </w:r>
    </w:p>
    <w:p>
      <w:pPr>
        <w:spacing w:after="0" w:line="9" w:lineRule="exact"/>
        <w:rPr>
          <w:rFonts w:ascii="Arial" w:cs="Arial" w:eastAsia="Arial" w:hAnsi="Arial"/>
          <w:sz w:val="18"/>
          <w:szCs w:val="18"/>
          <w:color w:val="auto"/>
        </w:rPr>
      </w:pPr>
    </w:p>
    <w:p>
      <w:pPr>
        <w:ind w:left="1800" w:hanging="590"/>
        <w:spacing w:after="0"/>
        <w:tabs>
          <w:tab w:leader="none" w:pos="18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updating the Service Levels consistent with and in accordance with Section 2.5;</w:t>
      </w:r>
    </w:p>
    <w:p>
      <w:pPr>
        <w:sectPr>
          <w:pgSz w:w="11900" w:h="16838" w:orient="portrait"/>
          <w:cols w:equalWidth="0" w:num="1">
            <w:col w:w="11420"/>
          </w:cols>
          <w:pgMar w:left="240" w:top="574" w:right="239" w:bottom="1440" w:gutter="0" w:footer="0" w:header="0"/>
        </w:sectPr>
      </w:pPr>
    </w:p>
    <w:bookmarkStart w:id="52" w:name="page53"/>
    <w:bookmarkEnd w:id="52"/>
    <w:p>
      <w:pPr>
        <w:ind w:left="1144" w:hanging="590"/>
        <w:spacing w:after="0" w:line="263" w:lineRule="auto"/>
        <w:tabs>
          <w:tab w:leader="none" w:pos="1144" w:val="left"/>
        </w:tabs>
        <w:numPr>
          <w:ilvl w:val="2"/>
          <w:numId w:val="21"/>
        </w:numPr>
        <w:rPr>
          <w:rFonts w:ascii="Arial" w:cs="Arial" w:eastAsia="Arial" w:hAnsi="Arial"/>
          <w:sz w:val="18"/>
          <w:szCs w:val="18"/>
          <w:color w:val="auto"/>
        </w:rPr>
      </w:pPr>
      <w:r>
        <w:rPr>
          <w:rFonts w:ascii="Arial" w:cs="Arial" w:eastAsia="Arial" w:hAnsi="Arial"/>
          <w:sz w:val="18"/>
          <w:szCs w:val="18"/>
          <w:color w:val="auto"/>
        </w:rPr>
        <w:t>success metrics for New University and Contributor that support and track performance against the Annual Plan and the New University Budget;</w:t>
      </w:r>
    </w:p>
    <w:p>
      <w:pPr>
        <w:jc w:val="both"/>
        <w:ind w:left="1144" w:hanging="590"/>
        <w:spacing w:after="0" w:line="250" w:lineRule="auto"/>
        <w:tabs>
          <w:tab w:leader="none" w:pos="1144" w:val="left"/>
        </w:tabs>
        <w:numPr>
          <w:ilvl w:val="2"/>
          <w:numId w:val="21"/>
        </w:numPr>
        <w:rPr>
          <w:rFonts w:ascii="Arial" w:cs="Arial" w:eastAsia="Arial" w:hAnsi="Arial"/>
          <w:sz w:val="18"/>
          <w:szCs w:val="18"/>
          <w:color w:val="auto"/>
        </w:rPr>
      </w:pPr>
      <w:r>
        <w:rPr>
          <w:rFonts w:ascii="Arial" w:cs="Arial" w:eastAsia="Arial" w:hAnsi="Arial"/>
          <w:sz w:val="18"/>
          <w:szCs w:val="18"/>
          <w:color w:val="auto"/>
        </w:rPr>
        <w:t>increase or decrease in the tuition or fees, or changes in grants or relationship discounts, for any of the Academic Programs; provided that the Parties shall develop an expedited review process for proposed discounts in connection with strategic business opportunities and will seek to develop pre-approved frameworks under which Contributor can offer discounts to secure strategic business relationships for New University;</w:t>
      </w:r>
    </w:p>
    <w:p>
      <w:pPr>
        <w:spacing w:after="0" w:line="1" w:lineRule="exact"/>
        <w:rPr>
          <w:rFonts w:ascii="Arial" w:cs="Arial" w:eastAsia="Arial" w:hAnsi="Arial"/>
          <w:sz w:val="18"/>
          <w:szCs w:val="18"/>
          <w:color w:val="auto"/>
        </w:rPr>
      </w:pPr>
    </w:p>
    <w:p>
      <w:pPr>
        <w:ind w:left="1144" w:right="20" w:hanging="590"/>
        <w:spacing w:after="0" w:line="250" w:lineRule="auto"/>
        <w:tabs>
          <w:tab w:leader="none" w:pos="114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increase of any Cost in, or the implementation or roll out of, any Academic Programs, or the reduction or elimination of any Academic Program;</w:t>
      </w:r>
    </w:p>
    <w:p>
      <w:pPr>
        <w:ind w:left="1144" w:hanging="590"/>
        <w:spacing w:after="0" w:line="250" w:lineRule="auto"/>
        <w:tabs>
          <w:tab w:leader="none" w:pos="1144" w:val="left"/>
        </w:tabs>
        <w:numPr>
          <w:ilvl w:val="2"/>
          <w:numId w:val="21"/>
        </w:numPr>
        <w:rPr>
          <w:rFonts w:ascii="Arial" w:cs="Arial" w:eastAsia="Arial" w:hAnsi="Arial"/>
          <w:sz w:val="18"/>
          <w:szCs w:val="18"/>
          <w:color w:val="auto"/>
        </w:rPr>
      </w:pPr>
      <w:r>
        <w:rPr>
          <w:rFonts w:ascii="Arial" w:cs="Arial" w:eastAsia="Arial" w:hAnsi="Arial"/>
          <w:sz w:val="18"/>
          <w:szCs w:val="18"/>
          <w:color w:val="auto"/>
        </w:rPr>
        <w:t>material changes to the NU Policy Guide, including policies relating to New University admissions standards, student advancement or academic term structure; and</w:t>
      </w:r>
    </w:p>
    <w:p>
      <w:pPr>
        <w:jc w:val="both"/>
        <w:ind w:left="1144" w:hanging="590"/>
        <w:spacing w:after="0" w:line="255" w:lineRule="auto"/>
        <w:tabs>
          <w:tab w:leader="none" w:pos="1144"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defense, settlement or prosecution of any legal action against or in the name of or on behalf of New University that could: (1) result in financial liability to either Party or (2) reasonably be expected to adversely affect: (A) the Support Functions, (B) the respective rights or expectations of the Parties under this Agreement, or (C) in any material respect, the tax liabilities or tax and financial reporting position of either Party.</w:t>
      </w:r>
    </w:p>
    <w:p>
      <w:pPr>
        <w:spacing w:after="0" w:line="178" w:lineRule="exact"/>
        <w:rPr>
          <w:rFonts w:ascii="Arial" w:cs="Arial" w:eastAsia="Arial" w:hAnsi="Arial"/>
          <w:sz w:val="18"/>
          <w:szCs w:val="18"/>
          <w:color w:val="auto"/>
        </w:rPr>
      </w:pPr>
    </w:p>
    <w:p>
      <w:pPr>
        <w:jc w:val="both"/>
        <w:ind w:left="484" w:firstLine="2"/>
        <w:spacing w:after="0" w:line="260" w:lineRule="auto"/>
        <w:tabs>
          <w:tab w:leader="none" w:pos="75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Advisory Committee Recommendations</w:t>
      </w:r>
      <w:r>
        <w:rPr>
          <w:rFonts w:ascii="Arial" w:cs="Arial" w:eastAsia="Arial" w:hAnsi="Arial"/>
          <w:sz w:val="18"/>
          <w:szCs w:val="18"/>
          <w:color w:val="auto"/>
        </w:rPr>
        <w:t>. Prior to submitting to the New University Board of Trustees for approval the Annual Plan (including the Marketing Plan and New University Budget), or any other recommendation, strategy or objective, and subject always to the authority of the New University Board of Trustees to act in the absence of a consensus proposal received from the Advisory Committee, the members of the Advisory Committee shall seek consensus among all members and will work in good faith to resolve any matter with respect to which all members of the Advisory Committee have not agreed.”</w:t>
      </w:r>
    </w:p>
    <w:p>
      <w:pPr>
        <w:spacing w:after="0" w:line="175" w:lineRule="exact"/>
        <w:rPr>
          <w:rFonts w:ascii="Arial" w:cs="Arial" w:eastAsia="Arial" w:hAnsi="Arial"/>
          <w:sz w:val="18"/>
          <w:szCs w:val="18"/>
          <w:color w:val="auto"/>
        </w:rPr>
      </w:pPr>
    </w:p>
    <w:p>
      <w:pPr>
        <w:ind w:left="484" w:right="4080" w:hanging="484"/>
        <w:spacing w:after="0" w:line="501" w:lineRule="auto"/>
        <w:tabs>
          <w:tab w:leader="none" w:pos="4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first sentence of Section 11.1 is hereby amended and restated as follows: “Payments of Contributor Compensation are exclusive of all Tax.”</w:t>
      </w:r>
    </w:p>
    <w:p>
      <w:pPr>
        <w:ind w:left="484" w:hanging="484"/>
        <w:spacing w:after="0"/>
        <w:tabs>
          <w:tab w:leader="none" w:pos="4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11.3 is hereby amended and restated to ready in its entirety as follows:</w:t>
      </w:r>
    </w:p>
    <w:p>
      <w:pPr>
        <w:spacing w:after="0" w:line="31" w:lineRule="exact"/>
        <w:rPr>
          <w:rFonts w:ascii="Arial" w:cs="Arial" w:eastAsia="Arial" w:hAnsi="Arial"/>
          <w:sz w:val="18"/>
          <w:szCs w:val="18"/>
          <w:color w:val="auto"/>
        </w:rPr>
      </w:pPr>
    </w:p>
    <w:p>
      <w:pPr>
        <w:jc w:val="both"/>
        <w:ind w:left="48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Tax Treatment</w:t>
      </w:r>
      <w:r>
        <w:rPr>
          <w:rFonts w:ascii="Arial" w:cs="Arial" w:eastAsia="Arial" w:hAnsi="Arial"/>
          <w:sz w:val="18"/>
          <w:szCs w:val="18"/>
          <w:color w:val="auto"/>
        </w:rPr>
        <w:t>. The Parties intend that, for U.S. federal income tax purposes, the payment of the Contributor Compensation constitutes service fee income or deferred purchase price for the Institutional Assets, as the case may be, and they agree to treat such payments consistent with the foregoing unless required to do otherwise by a change in applicable Tax Law or pursuant to the good faith resolution of any action with an applicable Taxing Authority.”</w:t>
      </w:r>
    </w:p>
    <w:p>
      <w:pPr>
        <w:spacing w:after="0" w:line="178" w:lineRule="exact"/>
        <w:rPr>
          <w:rFonts w:ascii="Arial" w:cs="Arial" w:eastAsia="Arial" w:hAnsi="Arial"/>
          <w:sz w:val="18"/>
          <w:szCs w:val="18"/>
          <w:color w:val="auto"/>
        </w:rPr>
      </w:pPr>
    </w:p>
    <w:p>
      <w:pPr>
        <w:ind w:left="484" w:hanging="484"/>
        <w:spacing w:after="0" w:line="292" w:lineRule="auto"/>
        <w:tabs>
          <w:tab w:leader="none" w:pos="4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Sections 2(f) through 2(h) of Exhibit F are hereby amended and restated, with a new subsection inserted thereto, such that they now read (as re-lettered) in their entirety as follows:</w:t>
      </w:r>
    </w:p>
    <w:p>
      <w:pPr>
        <w:spacing w:after="0" w:line="144" w:lineRule="exact"/>
        <w:rPr>
          <w:rFonts w:ascii="Arial" w:cs="Arial" w:eastAsia="Arial" w:hAnsi="Arial"/>
          <w:sz w:val="18"/>
          <w:szCs w:val="18"/>
          <w:color w:val="auto"/>
        </w:rPr>
      </w:pPr>
    </w:p>
    <w:p>
      <w:pPr>
        <w:ind w:left="484"/>
        <w:spacing w:after="0"/>
        <w:rPr>
          <w:rFonts w:ascii="Arial" w:cs="Arial" w:eastAsia="Arial" w:hAnsi="Arial"/>
          <w:sz w:val="18"/>
          <w:szCs w:val="18"/>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sixth</w:t>
      </w:r>
      <w:r>
        <w:rPr>
          <w:rFonts w:ascii="Arial" w:cs="Arial" w:eastAsia="Arial" w:hAnsi="Arial"/>
          <w:sz w:val="18"/>
          <w:szCs w:val="18"/>
          <w:color w:val="auto"/>
        </w:rPr>
        <w:t>, to Contributor, but only to the extent of Available Cash, the Contributor Services Fee for the quarter just-ended;</w:t>
      </w:r>
    </w:p>
    <w:p>
      <w:pPr>
        <w:spacing w:after="0" w:line="225" w:lineRule="exact"/>
        <w:rPr>
          <w:rFonts w:ascii="Arial" w:cs="Arial" w:eastAsia="Arial" w:hAnsi="Arial"/>
          <w:sz w:val="18"/>
          <w:szCs w:val="18"/>
          <w:color w:val="auto"/>
        </w:rPr>
      </w:pPr>
    </w:p>
    <w:p>
      <w:pPr>
        <w:jc w:val="both"/>
        <w:ind w:left="484" w:firstLine="2"/>
        <w:spacing w:after="0" w:line="271" w:lineRule="auto"/>
        <w:tabs>
          <w:tab w:leader="none" w:pos="76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Contributor, but only to the extent of Available Cash, an amount of Deferred Purchase Price based upon actual Revenues of the quarter just-ended and the Contributor Services Fee payable for such quarter, plus all Unpaid Contributor Compensation up to, but not exceeding, the Compensation Accrual Cap;</w:t>
      </w:r>
    </w:p>
    <w:p>
      <w:pPr>
        <w:spacing w:after="0" w:line="163" w:lineRule="exact"/>
        <w:rPr>
          <w:rFonts w:ascii="Arial" w:cs="Arial" w:eastAsia="Arial" w:hAnsi="Arial"/>
          <w:sz w:val="18"/>
          <w:szCs w:val="18"/>
          <w:color w:val="auto"/>
        </w:rPr>
      </w:pPr>
    </w:p>
    <w:p>
      <w:pPr>
        <w:ind w:left="764" w:hanging="278"/>
        <w:spacing w:after="0"/>
        <w:tabs>
          <w:tab w:leader="none" w:pos="76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Contributor, but only to the extent of Available Cash, any unpaid balance of the Immediate Advance; and</w:t>
      </w:r>
    </w:p>
    <w:p>
      <w:pPr>
        <w:spacing w:after="0" w:line="225" w:lineRule="exact"/>
        <w:rPr>
          <w:rFonts w:ascii="Arial" w:cs="Arial" w:eastAsia="Arial" w:hAnsi="Arial"/>
          <w:sz w:val="18"/>
          <w:szCs w:val="18"/>
          <w:color w:val="auto"/>
        </w:rPr>
      </w:pPr>
    </w:p>
    <w:p>
      <w:pPr>
        <w:ind w:left="484" w:firstLine="2"/>
        <w:spacing w:after="0" w:line="301" w:lineRule="auto"/>
        <w:tabs>
          <w:tab w:leader="none" w:pos="70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New University, but only to the extent of Available Cash, all remaining funds after retention of amounts applied in respect of any remaining Excess Payments then owed by New University (a ‘</w:t>
      </w:r>
      <w:r>
        <w:rPr>
          <w:rFonts w:ascii="Arial" w:cs="Arial" w:eastAsia="Arial" w:hAnsi="Arial"/>
          <w:sz w:val="18"/>
          <w:szCs w:val="18"/>
          <w:b w:val="1"/>
          <w:bCs w:val="1"/>
          <w:color w:val="auto"/>
        </w:rPr>
        <w:t>Remainder Payment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484" w:hanging="484"/>
        <w:spacing w:after="0" w:line="271" w:lineRule="auto"/>
        <w:tabs>
          <w:tab w:leader="none" w:pos="4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a technical correction, the previously omitted word “with” is hereby added to Section 4.2(e) as follows: “(e) costs incurred by Contributor in connection </w:t>
      </w:r>
      <w:r>
        <w:rPr>
          <w:rFonts w:ascii="Arial" w:cs="Arial" w:eastAsia="Arial" w:hAnsi="Arial"/>
          <w:sz w:val="18"/>
          <w:szCs w:val="18"/>
          <w:b w:val="1"/>
          <w:bCs w:val="1"/>
          <w:i w:val="1"/>
          <w:iCs w:val="1"/>
          <w:color w:val="auto"/>
        </w:rPr>
        <w:t>with</w:t>
      </w:r>
      <w:r>
        <w:rPr>
          <w:rFonts w:ascii="Arial" w:cs="Arial" w:eastAsia="Arial" w:hAnsi="Arial"/>
          <w:sz w:val="18"/>
          <w:szCs w:val="18"/>
          <w:color w:val="auto"/>
        </w:rPr>
        <w:t xml:space="preserve"> performing its obligations hereunder in the line item categories set forth on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(Contributor Support Cost Line Items);”</w:t>
      </w:r>
    </w:p>
    <w:p>
      <w:pPr>
        <w:sectPr>
          <w:pgSz w:w="11900" w:h="16838" w:orient="portrait"/>
          <w:cols w:equalWidth="0" w:num="1">
            <w:col w:w="10764"/>
          </w:cols>
          <w:pgMar w:left="896" w:top="576" w:right="239" w:bottom="1440" w:gutter="0" w:footer="0" w:header="0"/>
        </w:sectPr>
      </w:pPr>
    </w:p>
    <w:bookmarkStart w:id="53" w:name="page54"/>
    <w:bookmarkEnd w:id="53"/>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6.1 is hereby amended and restated to read in its entirety as follows:</w:t>
      </w:r>
    </w:p>
    <w:p>
      <w:pPr>
        <w:spacing w:after="0" w:line="225" w:lineRule="exact"/>
        <w:rPr>
          <w:sz w:val="20"/>
          <w:szCs w:val="20"/>
          <w:color w:val="auto"/>
        </w:rPr>
      </w:pPr>
    </w:p>
    <w:p>
      <w:pPr>
        <w:jc w:val="both"/>
        <w:ind w:left="10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FERPA; GLB; GDPR</w:t>
      </w:r>
      <w:r>
        <w:rPr>
          <w:rFonts w:ascii="Arial" w:cs="Arial" w:eastAsia="Arial" w:hAnsi="Arial"/>
          <w:sz w:val="18"/>
          <w:szCs w:val="18"/>
          <w:color w:val="auto"/>
        </w:rPr>
        <w:t>. New University acknowledges that, in order to perform certain of the Support Functions requested under this Agreement, it will be necessary and desirable for Contributor to have Access to personally identifiable information of students and prospective students of New University, and of New University employees, that is subject to the provisions of the Family Educational Privacy &amp; Rights Act (“FERPA”), 20 U.S.C. § 1232g, the Gramm Leach Bliley Act, 15 U.S.C. § 6801 et seq. (the “GLB”), the General Data Protection Regulations 2016/679, and its implementing regulations (“GDPR”), and/or any other applicable Laws. New University and Contributor agree to maintain and use all such information in material compliance with the requirements of all such Laws, including taking required steps to comply with the requirements of 34 C.F.R. 99.31(a)(1) with respect to information protected by FERPA that may be disclosed to a party to whom an institution has outsourced institutional services or functions.”</w:t>
      </w:r>
    </w:p>
    <w:p>
      <w:pPr>
        <w:spacing w:after="0" w:line="182" w:lineRule="exact"/>
        <w:rPr>
          <w:sz w:val="20"/>
          <w:szCs w:val="20"/>
          <w:color w:val="auto"/>
        </w:rPr>
      </w:pPr>
    </w:p>
    <w:p>
      <w:pPr>
        <w:ind w:firstLine="8"/>
        <w:spacing w:after="0" w:line="292" w:lineRule="auto"/>
        <w:tabs>
          <w:tab w:leader="none" w:pos="2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second sentence of the second paragraph of Section B (Compensating Contributor for Actions Taken Inconsistent with NU Policy Guide) of Exhibit D (NU Policy Guide Departures), the reference to Section 2(g) is amended to instead be a reference to Section 2(h).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Limited Effect</w:t>
      </w:r>
      <w:r>
        <w:rPr>
          <w:rFonts w:ascii="Arial" w:cs="Arial" w:eastAsia="Arial" w:hAnsi="Arial"/>
          <w:sz w:val="18"/>
          <w:szCs w:val="18"/>
          <w:b w:val="1"/>
          <w:bCs w:val="1"/>
          <w:color w:val="auto"/>
        </w:rPr>
        <w:t>.</w:t>
      </w:r>
    </w:p>
    <w:p>
      <w:pPr>
        <w:spacing w:after="0" w:line="227" w:lineRule="exact"/>
        <w:rPr>
          <w:sz w:val="20"/>
          <w:szCs w:val="20"/>
          <w:color w:val="auto"/>
        </w:rPr>
      </w:pPr>
    </w:p>
    <w:p>
      <w:pPr>
        <w:jc w:val="both"/>
        <w:ind w:right="380"/>
        <w:spacing w:after="0" w:line="271" w:lineRule="auto"/>
        <w:rPr>
          <w:sz w:val="20"/>
          <w:szCs w:val="20"/>
          <w:color w:val="auto"/>
        </w:rPr>
      </w:pPr>
      <w:r>
        <w:rPr>
          <w:rFonts w:ascii="Arial" w:cs="Arial" w:eastAsia="Arial" w:hAnsi="Arial"/>
          <w:sz w:val="18"/>
          <w:szCs w:val="18"/>
          <w:color w:val="auto"/>
        </w:rPr>
        <w:t>Except as expressly amended and modified by this First Amendment, the TOSA shall continue in full force and effect in accordance with its terms, and nothing contained in this First Amendment is intended to affect the parties’ existing or continuing rights or obligations under the TOSA except as expressly modified hereby.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First Amendment shall be governed by and construed in accordance with the Laws of the State of Indiana applicable to contracts executed and to be performed wholly within such State and without reference to the choice-of-law principles that would result in the application of the Laws of a different jurisdiction.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2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This First Amendment may be executed in any number of counterparts, each of which shall be considered an original but all of which, taken together, shall constitute but one and the same instrument.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KAPLAN HIGHER EDUCATION, LLC</w:t>
      </w:r>
    </w:p>
    <w:p>
      <w:pPr>
        <w:spacing w:after="0" w:line="52" w:lineRule="exact"/>
        <w:rPr>
          <w:sz w:val="20"/>
          <w:szCs w:val="20"/>
          <w:color w:val="auto"/>
        </w:rPr>
      </w:pPr>
    </w:p>
    <w:tbl>
      <w:tblPr>
        <w:tblLayout w:type="fixed"/>
        <w:tblInd w:w="4800" w:type="dxa"/>
        <w:tblCellMar>
          <w:top w:w="0" w:type="dxa"/>
          <w:left w:w="0" w:type="dxa"/>
          <w:bottom w:w="0" w:type="dxa"/>
          <w:right w:w="0" w:type="dxa"/>
        </w:tblCellMar>
      </w:tblPr>
      <w:tr>
        <w:trPr>
          <w:trHeight w:val="2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Adams</w:t>
            </w:r>
          </w:p>
        </w:tc>
      </w:tr>
      <w:tr>
        <w:trPr>
          <w:trHeight w:val="245"/>
        </w:trPr>
        <w:tc>
          <w:tcPr>
            <w:tcW w:w="8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David J. Adams</w:t>
            </w:r>
          </w:p>
        </w:tc>
      </w:tr>
      <w:tr>
        <w:trPr>
          <w:trHeight w:val="270"/>
        </w:trPr>
        <w:tc>
          <w:tcPr>
            <w:tcW w:w="88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Secretary and General Counsel</w:t>
            </w:r>
          </w:p>
        </w:tc>
      </w:tr>
      <w:tr>
        <w:trPr>
          <w:trHeight w:val="8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IOWA COLLEGE ACQUISITION, LLC</w:t>
            </w:r>
          </w:p>
        </w:tc>
      </w:tr>
      <w:tr>
        <w:trPr>
          <w:trHeight w:val="253"/>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Adams</w:t>
            </w:r>
          </w:p>
        </w:tc>
      </w:tr>
      <w:tr>
        <w:trPr>
          <w:trHeight w:val="245"/>
        </w:trPr>
        <w:tc>
          <w:tcPr>
            <w:tcW w:w="8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David J. Adams</w:t>
            </w:r>
          </w:p>
        </w:tc>
      </w:tr>
      <w:tr>
        <w:trPr>
          <w:trHeight w:val="270"/>
        </w:trPr>
        <w:tc>
          <w:tcPr>
            <w:tcW w:w="88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Secretary and General Counsel</w:t>
            </w:r>
          </w:p>
        </w:tc>
      </w:tr>
    </w:tbl>
    <w:p>
      <w:pPr>
        <w:spacing w:after="0" w:line="200" w:lineRule="exact"/>
        <w:rPr>
          <w:sz w:val="20"/>
          <w:szCs w:val="20"/>
          <w:color w:val="auto"/>
        </w:rPr>
      </w:pPr>
    </w:p>
    <w:p>
      <w:pPr>
        <w:spacing w:after="0" w:line="37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PURDUE University global, INC. (f/k/a purdue newu, inc.)</w:t>
      </w:r>
    </w:p>
    <w:p>
      <w:pPr>
        <w:spacing w:after="0" w:line="52" w:lineRule="exact"/>
        <w:rPr>
          <w:sz w:val="20"/>
          <w:szCs w:val="20"/>
          <w:color w:val="auto"/>
        </w:rPr>
      </w:pPr>
    </w:p>
    <w:p>
      <w:pPr>
        <w:ind w:left="480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 Ruh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28575</wp:posOffset>
            </wp:positionV>
            <wp:extent cx="322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Christopher A. Ruhl</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right="320"/>
        <w:spacing w:after="0" w:line="278" w:lineRule="auto"/>
        <w:rPr>
          <w:sz w:val="20"/>
          <w:szCs w:val="20"/>
          <w:color w:val="auto"/>
        </w:rPr>
      </w:pPr>
      <w:r>
        <w:rPr>
          <w:rFonts w:ascii="Arial" w:cs="Arial" w:eastAsia="Arial" w:hAnsi="Arial"/>
          <w:sz w:val="18"/>
          <w:szCs w:val="18"/>
          <w:b w:val="1"/>
          <w:bCs w:val="1"/>
          <w:color w:val="auto"/>
        </w:rPr>
        <w:t>THE TRUSTEES OF PURDUE UNIVERSITY</w:t>
      </w:r>
      <w:r>
        <w:rPr>
          <w:rFonts w:ascii="Arial" w:cs="Arial" w:eastAsia="Arial" w:hAnsi="Arial"/>
          <w:sz w:val="18"/>
          <w:szCs w:val="18"/>
          <w:color w:val="auto"/>
        </w:rPr>
        <w:t>, solely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to be bound by the Purdue Provisions</w:t>
      </w:r>
    </w:p>
    <w:p>
      <w:pPr>
        <w:spacing w:after="0" w:line="198" w:lineRule="exact"/>
        <w:rPr>
          <w:sz w:val="20"/>
          <w:szCs w:val="20"/>
          <w:color w:val="auto"/>
        </w:rPr>
      </w:pPr>
    </w:p>
    <w:tbl>
      <w:tblPr>
        <w:tblLayout w:type="fixed"/>
        <w:tblInd w:w="4800" w:type="dxa"/>
        <w:tblCellMar>
          <w:top w:w="0" w:type="dxa"/>
          <w:left w:w="0" w:type="dxa"/>
          <w:bottom w:w="0" w:type="dxa"/>
          <w:right w:w="0" w:type="dxa"/>
        </w:tblCellMar>
      </w:tblPr>
      <w:tr>
        <w:trPr>
          <w:trHeight w:val="2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Steven R. Schultz</w:t>
            </w:r>
          </w:p>
        </w:tc>
      </w:tr>
      <w:tr>
        <w:trPr>
          <w:trHeight w:val="245"/>
        </w:trPr>
        <w:tc>
          <w:tcPr>
            <w:tcW w:w="8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Steven R. Schultz</w:t>
            </w:r>
          </w:p>
        </w:tc>
      </w:tr>
      <w:tr>
        <w:trPr>
          <w:trHeight w:val="270"/>
        </w:trPr>
        <w:tc>
          <w:tcPr>
            <w:tcW w:w="880" w:type="dxa"/>
            <w:vAlign w:val="bottom"/>
          </w:tcPr>
          <w:p>
            <w:pPr>
              <w:spacing w:after="0"/>
              <w:rPr>
                <w:sz w:val="23"/>
                <w:szCs w:val="23"/>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0760"/>
          </w:cols>
          <w:pgMar w:left="90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36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ectPr>
          <w:pgSz w:w="11900" w:h="16838" w:orient="portrait"/>
          <w:cols w:equalWidth="0" w:num="1">
            <w:col w:w="11420"/>
          </w:cols>
          <w:pgMar w:left="240" w:top="36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2019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1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9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3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upperLetter"/>
      <w:start w:val="1"/>
    </w:lvl>
  </w:abstractNum>
  <w:abstractNum w:abstractNumId="17">
    <w:nsid w:val="2D1D5AE9"/>
    <w:multiLevelType w:val="hybridMultilevel"/>
    <w:lvl w:ilvl="0">
      <w:lvlJc w:val="left"/>
      <w:lvlText w:val="(%1)"/>
      <w:numFmt w:val="lowerLetter"/>
      <w:start w:val="1"/>
    </w:lvl>
    <w:lvl w:ilvl="1">
      <w:lvlJc w:val="left"/>
      <w:lvlText w:val="%2."/>
      <w:numFmt w:val="decimal"/>
      <w:start w:val="1"/>
    </w:lvl>
  </w:abstractNum>
  <w:abstractNum w:abstractNumId="18">
    <w:nsid w:val="6763845E"/>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9">
    <w:nsid w:val="75A2A8D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0">
    <w:nsid w:val="8EDBDA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1">
    <w:nsid w:val="79838CB2"/>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2">
    <w:nsid w:val="4353D0CD"/>
    <w:multiLevelType w:val="hybridMultilevel"/>
    <w:lvl w:ilvl="0">
      <w:lvlJc w:val="left"/>
      <w:lvlText w:val="(%1)"/>
      <w:numFmt w:val="lowerLetter"/>
      <w:start w:val="5"/>
    </w:lvl>
    <w:lvl w:ilvl="1">
      <w:lvlJc w:val="left"/>
      <w:lvlText w:val="(%2)"/>
      <w:numFmt w:val="lowerLetter"/>
      <w:start w:val="7"/>
    </w:lvl>
    <w:lvl w:ilvl="2">
      <w:lvlJc w:val="left"/>
      <w:lvlText w:val="%3"/>
      <w:numFmt w:val="lowerRoman"/>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lowerLetter"/>
      <w:start w:val="8"/>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12" Type="http://schemas.openxmlformats.org/officeDocument/2006/relationships/hyperlink" Target="http://www.sec.gov/Archives/edgar/data/104889/000095013304000785/w94191exv3w1.htm" TargetMode="External"/><Relationship Id="rId13" Type="http://schemas.openxmlformats.org/officeDocument/2006/relationships/hyperlink" Target="http://www.sec.gov/Archives/edgar/data/104889/000095015713000428/ex3-1.htm" TargetMode="External"/><Relationship Id="rId14" Type="http://schemas.openxmlformats.org/officeDocument/2006/relationships/hyperlink" Target="http://www.sec.gov/Archives/edgar/data/104889/000095015713000428/ex3-2.htm" TargetMode="External"/><Relationship Id="rId15" Type="http://schemas.openxmlformats.org/officeDocument/2006/relationships/hyperlink" Target="http://www.sec.gov/Archives/edgar/data/104889/000095015718000572/ex4-1.htm" TargetMode="External"/><Relationship Id="rId16" Type="http://schemas.openxmlformats.org/officeDocument/2006/relationships/hyperlink" Target="http://www.sec.gov/Archives/edgar/data/104889/00001048891800003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2019-12-28T04:36:10Z</dcterms:created>
  <dcterms:modified xsi:type="dcterms:W3CDTF">2019-12-28T04:36:10Z</dcterms:modified>
</cp:coreProperties>
</file>