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4320" w:type="dxa"/>
            <w:vAlign w:val="bottom"/>
          </w:tcPr>
          <w:p>
            <w:pPr>
              <w:jc w:val="center"/>
              <w:ind w:right="2504"/>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tcPr>
          <w:p>
            <w:pPr>
              <w:jc w:val="center"/>
              <w:ind w:right="1266"/>
              <w:spacing w:after="0"/>
              <w:rPr>
                <w:sz w:val="20"/>
                <w:szCs w:val="20"/>
                <w:color w:val="auto"/>
              </w:rPr>
            </w:pPr>
            <w:r>
              <w:rPr>
                <w:rFonts w:ascii="Arial" w:cs="Arial" w:eastAsia="Arial" w:hAnsi="Arial"/>
                <w:sz w:val="18"/>
                <w:szCs w:val="18"/>
                <w:b w:val="1"/>
                <w:bCs w:val="1"/>
                <w:color w:val="auto"/>
                <w:w w:val="89"/>
              </w:rPr>
              <w:t>1-6714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4320" w:type="dxa"/>
            <w:vAlign w:val="bottom"/>
          </w:tcPr>
          <w:p>
            <w:pPr>
              <w:jc w:val="center"/>
              <w:ind w:right="250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24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20" w:type="dxa"/>
            <w:vAlign w:val="bottom"/>
          </w:tcPr>
          <w:p>
            <w:pPr>
              <w:jc w:val="center"/>
              <w:ind w:right="2484"/>
              <w:spacing w:after="0"/>
              <w:rPr>
                <w:sz w:val="20"/>
                <w:szCs w:val="20"/>
                <w:color w:val="auto"/>
              </w:rPr>
            </w:pPr>
            <w:r>
              <w:rPr>
                <w:rFonts w:ascii="Arial" w:cs="Arial" w:eastAsia="Arial" w:hAnsi="Arial"/>
                <w:sz w:val="14"/>
                <w:szCs w:val="14"/>
                <w:b w:val="1"/>
                <w:bCs w:val="1"/>
                <w:color w:val="auto"/>
                <w:w w:val="88"/>
              </w:rPr>
              <w:t>incorporation or organization)</w:t>
            </w:r>
          </w:p>
        </w:tc>
        <w:tc>
          <w:tcPr>
            <w:tcW w:w="2240" w:type="dxa"/>
            <w:vAlign w:val="bottom"/>
          </w:tcPr>
          <w:p>
            <w:pPr>
              <w:jc w:val="center"/>
              <w:ind w:right="12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320" w:type="dxa"/>
            <w:vAlign w:val="bottom"/>
          </w:tcPr>
          <w:p>
            <w:pPr>
              <w:jc w:val="center"/>
              <w:ind w:left="1124"/>
              <w:spacing w:after="0"/>
              <w:rPr>
                <w:sz w:val="20"/>
                <w:szCs w:val="20"/>
                <w:color w:val="auto"/>
              </w:rPr>
            </w:pPr>
            <w:r>
              <w:rPr>
                <w:rFonts w:ascii="Arial" w:cs="Arial" w:eastAsia="Arial" w:hAnsi="Arial"/>
                <w:sz w:val="18"/>
                <w:szCs w:val="18"/>
                <w:b w:val="1"/>
                <w:bCs w:val="1"/>
                <w:color w:val="auto"/>
                <w:w w:val="88"/>
              </w:rPr>
              <w:t>1150 15th Street, N.W. Washington, D.C.</w:t>
            </w:r>
          </w:p>
        </w:tc>
        <w:tc>
          <w:tcPr>
            <w:tcW w:w="224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4320" w:type="dxa"/>
            <w:vAlign w:val="bottom"/>
          </w:tcPr>
          <w:p>
            <w:pPr>
              <w:jc w:val="center"/>
              <w:ind w:left="11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4, 2011, The Washington Post Company issued a press release announcing the Company’s earnings for the third quarter ended October 2, 2011. A copy of this press release is furnished with this report as an exhibit to this Form 8-K.</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November 4, 2011.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460" w:val="left"/>
          <w:tab w:leader="none" w:pos="8120" w:val="left"/>
          <w:tab w:leader="none" w:pos="8460" w:val="left"/>
        </w:tabs>
        <w:rPr>
          <w:sz w:val="20"/>
          <w:szCs w:val="20"/>
          <w:color w:val="auto"/>
        </w:rPr>
      </w:pPr>
      <w:r>
        <w:rPr>
          <w:rFonts w:ascii="Arial" w:cs="Arial" w:eastAsia="Arial" w:hAnsi="Arial"/>
          <w:sz w:val="18"/>
          <w:szCs w:val="18"/>
          <w:color w:val="auto"/>
        </w:rPr>
        <w:t>Date</w:t>
        <w:tab/>
        <w:t>November 4,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69462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16"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9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November 4, 2011.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Contact:</w:t>
            </w:r>
          </w:p>
        </w:tc>
        <w:tc>
          <w:tcPr>
            <w:tcW w:w="2180" w:type="dxa"/>
            <w:vAlign w:val="bottom"/>
          </w:tcPr>
          <w:p>
            <w:pPr>
              <w:ind w:left="520"/>
              <w:spacing w:after="0"/>
              <w:rPr>
                <w:sz w:val="20"/>
                <w:szCs w:val="20"/>
                <w:color w:val="auto"/>
              </w:rPr>
            </w:pPr>
            <w:r>
              <w:rPr>
                <w:rFonts w:ascii="Arial" w:cs="Arial" w:eastAsia="Arial" w:hAnsi="Arial"/>
                <w:sz w:val="18"/>
                <w:szCs w:val="18"/>
                <w:color w:val="auto"/>
              </w:rPr>
              <w:t>Hal S. Jones</w:t>
            </w:r>
          </w:p>
        </w:tc>
        <w:tc>
          <w:tcPr>
            <w:tcW w:w="542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110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(202) 334-6645</w:t>
            </w:r>
          </w:p>
        </w:tc>
        <w:tc>
          <w:tcPr>
            <w:tcW w:w="542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November 4, 2011</w:t>
            </w:r>
          </w:p>
        </w:tc>
      </w:tr>
      <w:tr>
        <w:trPr>
          <w:trHeight w:val="372"/>
        </w:trPr>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40" w:type="dxa"/>
            <w:vAlign w:val="bottom"/>
            <w:gridSpan w:val="2"/>
          </w:tcPr>
          <w:p>
            <w:pPr>
              <w:jc w:val="center"/>
              <w:ind w:right="209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1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040" w:type="dxa"/>
            <w:vAlign w:val="bottom"/>
            <w:gridSpan w:val="2"/>
          </w:tcPr>
          <w:p>
            <w:pPr>
              <w:jc w:val="center"/>
              <w:ind w:right="2092"/>
              <w:spacing w:after="0"/>
              <w:rPr>
                <w:sz w:val="20"/>
                <w:szCs w:val="20"/>
                <w:color w:val="auto"/>
              </w:rPr>
            </w:pPr>
            <w:r>
              <w:rPr>
                <w:rFonts w:ascii="Arial" w:cs="Arial" w:eastAsia="Arial" w:hAnsi="Arial"/>
                <w:sz w:val="18"/>
                <w:szCs w:val="18"/>
                <w:color w:val="auto"/>
                <w:w w:val="94"/>
              </w:rPr>
              <w:t>THIRD QUARTER EARNINGS</w:t>
            </w:r>
          </w:p>
        </w:tc>
      </w:tr>
    </w:tbl>
    <w:p>
      <w:pPr>
        <w:spacing w:after="0" w:line="15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WASHINGTON – The Washington Post Company (NYSE: WPO) today reported a net loss attributable to common shares of $6.2 million ($0.82 loss per share) for the third quarter ended October 2, 2011, compared to net income attributable to common shares of $60.9 million ($6.84 per share) for the third quarter of last year. Net (loss) income includes $2.5 million ($0.32 per share) and $24.6 million ($2.76 per share) in losses from discontinued operations for the third quarter of 2011 and 2010, respectively. (Loss) income from continuing operations attributable to common shares was a loss of $3.7 million ($0.50 loss per share) for the third quarter of 2011, compared to income of $85.5 million ($9.60 per share) for the third quarter of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third quarter of 2011:</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$5.6 million in severance and restructuring charges at Kaplan (after-tax impact of $3.5 million, or $0.44 per share);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$11.9 million goodwill impairment charge at the Company’s online lead generation business, included in other businesses (after-tax impact of $11.9 million, or $1.51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$9.2 million impairment charge at one of the Company’s affiliates (after-tax impact of $5.7 million, or $0.72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$23.1 million write-down of a marketable equity security (after-tax impact of $14.9 million, or $1.89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$6.7 million in non-operating unrealized foreign currency losses (after-tax impact of $4.2 million, or $0.54 per share);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charge of $5.2 million in income tax expense related to valuation allowances provided (impact of $0.67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2010:</w:t>
      </w:r>
    </w:p>
    <w:p>
      <w:pPr>
        <w:spacing w:after="0" w:line="90" w:lineRule="exact"/>
        <w:rPr>
          <w:sz w:val="20"/>
          <w:szCs w:val="20"/>
          <w:color w:val="auto"/>
        </w:rPr>
      </w:pPr>
    </w:p>
    <w:p>
      <w:pPr>
        <w:ind w:left="900" w:right="3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$2.7 million charge recorded at The Washington Post in connection with the withdrawal from a multiemployer pension plan (after-tax impact of $1.6 million, or $0.18 per share);</w:t>
      </w:r>
    </w:p>
    <w:p>
      <w:pPr>
        <w:spacing w:after="0" w:line="50" w:lineRule="exact"/>
        <w:rPr>
          <w:rFonts w:ascii="Arial" w:cs="Arial" w:eastAsia="Arial" w:hAnsi="Arial"/>
          <w:sz w:val="18"/>
          <w:szCs w:val="18"/>
          <w:color w:val="auto"/>
        </w:rPr>
      </w:pPr>
    </w:p>
    <w:p>
      <w:pPr>
        <w:ind w:left="900" w:right="7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$27.5 million goodwill and other intangible assets impairment charge at the Company’s online lead generation business, included in other businesses (after-tax impact of $26.3 million, or $2.96 per share);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$11.9 million in non-operating unrealized foreign currency gains (after-tax impact of $7.5 million, or $0.84 per share).</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Excluding these items, the Company’s net income attributable to common shares was $39.2 million ($4.95 per share) for the third quarter ended October 2, 2011, compared to net income attributable to common shares of $81.4 million ($9.14 per share) for the third quarter of last year. Excluding these items, income from continuing operations attributable to common shares was $41.8 million ($5.27 per share) for the third quarter of 2011, compared to income of $106.0 million ($11.90 per share) for the third quarter of 2010. (Non-GAAP measures are discussed below).</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third quarter of 2011 was $1,032.6 million, down 13% from $1,183.5 million in the third quarter of 2010. The Company reported operating income of $52.0 million in the third quarter of 2011, compared to operating income of $137.5 million in the third quarter of 2010. Revenues and operating income were down at all of the Company’s divisions.</w:t>
      </w:r>
    </w:p>
    <w:p>
      <w:pPr>
        <w:spacing w:after="0" w:line="140"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For the first nine months of 2011, the Company reported net income attributable to common shares of $54.5 million ($6.81 per share), compared to $198.2 million ($21.75 per share) for the same period of 2010. Net income includes $5.8 million ($0.73 per share) and $42.9 million ($4.71 per share) in losses from discontinued operations for the first nine months of 2011 and 2010, respectively. Income from continuing operations attributable to common shares was $60.3 million ($7.54 per share) for the first nine months of 2011, compared to $241.1 million ($26.46 per share) for the first nine months of 2010. As a result of the Company’s share repurchases, there were 12% fewer diluted average shares outstanding in the first nine months of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Items included in the Company’s income from continuing operations for the first nine months of 2011:</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$19.6 million in severance and restructuring charges at Kaplan (after-tax impact of $12.2 million, or $1.52 per share);</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$11.9 million goodwill impairment charge at the Company’s online lead generation business, included in other businesses (after-tax impact of $11.9 million, or $1.51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$9.2 million impairment charge at one of the Company’s affiliates (after-tax impact of $5.7 million, or $0.72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$53.8 million write-down of a marketable equity security (after-tax impact of $34.6 million, or $4.34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 million in non-operating unrealized foreign currency losses (after-tax impact of $2.3 million, or $0.29 per share);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 of $5.2 million in income tax expense related to valuation allowances provided (impact of $0.67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2010:</w:t>
      </w:r>
    </w:p>
    <w:p>
      <w:pPr>
        <w:spacing w:after="0" w:line="90" w:lineRule="exact"/>
        <w:rPr>
          <w:sz w:val="20"/>
          <w:szCs w:val="20"/>
          <w:color w:val="auto"/>
        </w:rPr>
      </w:pPr>
    </w:p>
    <w:p>
      <w:pPr>
        <w:ind w:left="900" w:right="1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$20.4 million charge recorded at The Washington Post in connection with the withdrawal from a multiemployer pension plan (after-tax impact of $12.7 million, or $1.38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$7.8 million in severance and restructuring charges at Kaplan (after-tax impact of $4.8 million, or $0.52 per share);</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$27.5 million goodwill and other intangible assets impairment charge at the Company’s online lead generation business, included in other businesses (after-tax impact of $26.3 million, or $2.96 per share);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$4.8 million in non-operating unrealized foreign currency gains (after-tax impact of $3.1 million, or $0.36 per share).</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Excluding these items, the Company’s net income attributable to common shares was $126.5 million ($15.86 per share) for the nine months ended October 2, 2011, compared to net income attributable to common shares of $239.0 million ($26.25 per share) for the same period of 2010. Excluding these items, income from continuing operations attributable to common shares was $132.3 million ($16.59 per share) for the first nine months of 2011, compared to income of $281.9 million ($30.96 per share) for the first nine months of 2010. (Non-GAAP measures are discussed below).</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 for the first nine months of 2011 was $3,151.4 million, down 10% from $3,501.9 million in the first nine months of 2010. Revenues were down at the education, newspaper publishing and television broadcasting divisions, while revenues were up slightly at the cable television division. The Company reported operating income of $188.2 million for the first nine months of 2011, compared to $411.6 million for the first nine months of 2010. Operating results declined at the education and cable television divisions and improved slightly at the television broadcasting division. Excluding the multiemployer pension plan charge noted above, operating results also declined at the newspaper publishing division.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Education division revenue totaled $615.9 million for the third quarter of 2011, a 16% decline from revenue of $737.1 million for the third quarter of 2010. Excluding revenue from acquired businesses, education division revenue declined 19% in the third quarter of 2011. Kaplan reported third quarter 2011 operating income of $18.0 million, down from $106.0 million in the third quarter of 2010.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nine months of 2011, education division revenue totaled $1,867.4 million, a 14% decline from revenue of $2,170.3 million for the same period of 2010. Excluding revenue from acquired businesses, education division revenue declined 15% for the first nine months of 2011. Kaplan reported operating income of $57.2 million for the first nine months of 2011, down from $280.5 million for the first nine months of 2010.</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light of recent revenue declines and other business challenges, Kaplan has formulated and implemented restructuring plans at its various businesses that have resulted in significant costs in 2010 and 2011, with the objective of establishing lower costs levels in future periods. Across all businesses, severance and restructuring costs totaled $5.6 million and $19.6 million in the third quarter and first nine months of 2011, respectively, compared to $7.8 million in the first nine months of 2010 (from the first half of 2010). Kaplan estimates that approximately $5.0 million in additional costs will be incurred in the fourth quarter of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third quarter and the first nine months of 2011 compared to 2010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Third Quarter</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Change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330,856</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$491,570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1,076,051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1,469,719</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80,236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239,289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188,963</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151,208</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503,721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422,582</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17,919</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14,065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1,293</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1,375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3,949</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(2,777)</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615,884</w:t>
            </w:r>
          </w:p>
        </w:tc>
        <w:tc>
          <w:tcPr>
            <w:tcW w:w="14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737,131</w:t>
            </w:r>
          </w:p>
        </w:tc>
        <w:tc>
          <w:tcPr>
            <w:tcW w:w="80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1,867,359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2,170,338</w:t>
            </w:r>
          </w:p>
        </w:tc>
        <w:tc>
          <w:tcPr>
            <w:tcW w:w="3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8"/>
              </w:rPr>
              <w:t>Operating Income (loss)</w:t>
            </w:r>
          </w:p>
        </w:tc>
        <w:tc>
          <w:tcPr>
            <w:tcW w:w="3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25,083</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$ 117,011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120,890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336,232</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(4,745)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(1,625)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(13,722)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12,311</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14,904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32,376</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(3,875)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(5,076)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98"/>
              </w:rPr>
              <w:t>(5,509)</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(16,756)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(45,148)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2,397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58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98"/>
              </w:rPr>
              <w:t>(5,992)</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(4,886)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(16,350)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(16,292)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(1,080)</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18,047</w:t>
            </w:r>
          </w:p>
        </w:tc>
        <w:tc>
          <w:tcPr>
            <w:tcW w:w="14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105,999</w:t>
            </w:r>
          </w:p>
        </w:tc>
        <w:tc>
          <w:tcPr>
            <w:tcW w:w="80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57,164</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280,498</w:t>
            </w:r>
          </w:p>
        </w:tc>
        <w:tc>
          <w:tcPr>
            <w:tcW w:w="3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Kaplan sold Kaplan Compliance Solutions in October 2011, Kaplan Virtual Education in July 2011 and Education Connection in April 2010. Consequently, the education division’s operating results exclude these businesses.</w:t>
      </w:r>
    </w:p>
    <w:p>
      <w:pPr>
        <w:spacing w:after="0" w:line="132"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 In the third quarter and first nine months of 2011, higher education revenue declined 33% and 27%, respectively, due to declines in average enrollments. Operating income decreased 79% and 64% for the third quarter and first nine months of 2011, respectively. These declines were due to lower revenue, increased regulatory compliance costs and $1.6 million and $7.1 million in severance costs associated with workforce reductions in the third quarter and first nine months of 2011, respectively, offset by lower advertising costs, other expense reductions associated with lower enrollments, and incentive compensation credits recorded in 2011 related to amounts previously accrued.</w:t>
      </w:r>
    </w:p>
    <w:p>
      <w:pPr>
        <w:spacing w:after="0" w:line="1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KHE has implemented a number of marketing and admissions changes to increase student selectivity and help KHE comply with recent regulations. KHE also implemented the Kaplan Commitment program, which provides first-time students with a risk-free trial period. Under the program, KHE also monitors academic progress and conducts academic assessments to help determine whether students are likely to be successful in their chosen course of study. Students who withdraw or are subject to academic dismissal during the risk-free trial period do not incur any significant financial obligation. These changes, along with generally lower demand, have resulted in 30% and 42% declines in new enrollments for the third quarter and first nine months of 2011, respectively. Management estimates that without the Kaplan Commitment, this decline would have been approximately 28% for the first nine months of 2011. Management also estimates that revenue for the first nine months of 2011 would have been approximately $47 million higher if the Kaplan Commitment had not been implemented. KHE does not recognize tuition revenue for students during the risk-free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expects KHE’s operating income to continue to decline for the remainder of 2011 versus 2010 due primarily to lower student enrollment levels. In addition, KHE has incurred severance and restructuring costs totaling $7.1 million for the first nine months of 2011 and additional costs will be incurred in the fourth quarter of 2011 in order to establish lower cost levels in future periods.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Student enrollments at September 30, 2011, excluding the Kaplan University School of Continuing and Professional Education, were down 29%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but increased 1% compared to June 30, 2011,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Student Enrollments As of</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6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r>
      <w:tr>
        <w:trPr>
          <w:trHeight w:val="88"/>
        </w:trPr>
        <w:tc>
          <w:tcPr>
            <w:tcW w:w="6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Kaplan University</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53,309</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75,751</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Kaplan Higher Education Campuses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26,184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25,225</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36,390</w:t>
            </w:r>
          </w:p>
        </w:tc>
      </w:tr>
      <w:tr>
        <w:trPr>
          <w:trHeight w:val="27"/>
        </w:trPr>
        <w:tc>
          <w:tcPr>
            <w:tcW w:w="6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78,534</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112,141</w:t>
            </w:r>
          </w:p>
        </w:tc>
      </w:tr>
      <w:tr>
        <w:trPr>
          <w:trHeight w:val="20"/>
        </w:trPr>
        <w:tc>
          <w:tcPr>
            <w:tcW w:w="6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Kaplan University enrollments included 6,036, 5,837 and 7,999 campus-based students as of September 30, 2011, June 30, 2011, and September 30, 2010, respectively.</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Kaplan University and Kaplan Higher Education Campuses enrollments at September 30, 2011, and September 30, 2010, by degree and certificate programs,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7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6"/>
              </w:rPr>
              <w:t>As of September 30,</w:t>
            </w:r>
          </w:p>
        </w:tc>
      </w:tr>
      <w:tr>
        <w:trPr>
          <w:trHeight w:val="142"/>
        </w:trPr>
        <w:tc>
          <w:tcPr>
            <w:tcW w:w="69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Certificate</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Associate’s</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Master’s</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7"/>
        </w:trPr>
        <w:tc>
          <w:tcPr>
            <w:tcW w:w="69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6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Test preparation includes Kaplan’s standardized test preparation and tutoring offerings and other businesses. In the first quarter of 2010, the Company discontinued certain offerings of the K12 business; $7.8 million in severance and other closure costs were recorded in the first nine months of 2010 in connection with this plan. In the fourth quarter of 2010, Kaplan Test Preparation began implementing a plan to reorganize its business consistent with the migration of students to Kaplan’s online and hybrid test preparation offerings, reducing the number of leased test preparation centers. In the first nine months of 2011, implementation of the plan continued and $3.5 million and $12.0 million in restructuring and severance costs were incurred in the third quarter and first nine months of 2011, respectively. This plan is expected to be largely completed by the end of 2011, and the Company estimates that approximately $1.0 million in additional costs will be incurred.</w:t>
      </w:r>
    </w:p>
    <w:p>
      <w:pPr>
        <w:spacing w:after="0" w:line="1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Test preparation revenue declined 1% in the first nine months of 2011. Higher enrollment, particularly in the Pre-College and Health programs, was offset by reduced prices for many programs related to increased competition and a shift in demand to lower priced online test preparation offerings. Test preparation operating results were down in the first nine months of 2011 due to reduced prices at the traditional test preparation programs, higher spending to expand online offerings and innovate various programs, and increased restructuring costs.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Kaplan International includes professional training and postsecondary education businesses outside the United States, as well as English-language programs. In May 2011, Kaplan Australia acquired Franklyn Scholar and Carrick Education Group, leading national providers of vocational training and higher education in Australia. In June 2011, Kaplan acquired Structuralia, a provider of e-learning for the engineering and infrastructure sector in Spain. Kaplan International revenue increased 25% and 19% in the third quarter and first nine months of 2011, respectively. Excluding revenue from acquired businesses, Kaplan International revenue increased 13% in the third quarter and first nine months of 2011 due to favorable exchange rates and enrollment growth in the pathways and English-language programs. Kaplan International operating income declined in the first nine months of 2011 due to up-front spending for admission and occupancy at its Asian and United Kingdom businesses to support expanding operations, as well as overall losses from newly acquired businesses. In addition, Kaplan International operating income decreased due to enrollment declines at its UK professional training schools arising from new pending student visa restrictions.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Kaplan Ventures is made up of several businesses in various stages of development that are managed separately from the other education businesses. Revenue at Kaplan Ventures increased 27% and 29% for the third quarter and first nine months of 2011, respectively. Kaplan Ventures reported an operating loss of $3.9 million and $11.2 million in the third quarter and first nine months of 2011, compared to an operating loss of $5.1 million and $14.0 million in the third quarter and first nine months of 2010,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 w:name="page9"/>
    <w:bookmarkEnd w:id="8"/>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represents unallocated expenses of Kaplan, Inc.’s corporate office and other minor shared activities. Kaplan corporate costs have declined in the first nine months of 2011 due to lower incentive compensation expense and other cost reductions.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Television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Cable television division revenue declined slightly in the third quarter of 2011 to $187.9 million, from $188.7 million for the third quarter of 2010; for the first nine months of 2011, revenue increased slightly to $569.4 million, from $568.6 million in the same period of 2010. The revenue increase for the first nine months of 2011 is due to continued growth of the division’s Internet and telephone service revenues, offset by an increase in promotional discounts and a decline in basic video subscribers.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Cable television division operating income decreased 9% to $36.8 million, from $40.3 million in the third quarter of 2010; cable division operating income for the first nine months of 2011 decreased 9% to $114.9 million, from $126.6 million for the first nine months of 2010. The division’s operating income declined primarily due to increased programming, technical and sales costs.</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At September 30, 2011, Primary Service Units (PSUs) were up 4% from the prior year due to growth in high-speed data and telephony subscribers, offset by a decrease in basic subscribers. A summary of PSUs is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5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4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5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3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800" w:type="dxa"/>
            <w:vAlign w:val="bottom"/>
          </w:tcPr>
          <w:p>
            <w:pPr>
              <w:spacing w:after="0"/>
              <w:rPr>
                <w:sz w:val="7"/>
                <w:szCs w:val="7"/>
                <w:color w:val="auto"/>
              </w:rPr>
            </w:pPr>
          </w:p>
        </w:tc>
        <w:tc>
          <w:tcPr>
            <w:tcW w:w="266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Basic video</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627,659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High-speed data</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448,143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416,690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Telephony</w:t>
            </w:r>
          </w:p>
        </w:tc>
        <w:tc>
          <w:tcPr>
            <w:tcW w:w="2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176,527</w:t>
            </w:r>
          </w:p>
        </w:tc>
        <w:tc>
          <w:tcPr>
            <w:tcW w:w="4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Total</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1,252,329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1,205,301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Newspaper Publishing</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Newspaper publishing division revenue totaled $149.3 million for the third quarter of 2011, down 9% from revenue of $163.4 million for the third quarter of 2010; division revenue declined 5% to $467.0 million for the first nine months of 2011, from $491.9 million for the first nine months of 2010. Print advertising revenue at The Washington Post in the third quarter of 2011 declined 20% to $57.6 million, from $72.0 million in the third quarter of 2010, and declined 13% to $187.4 million for the first nine months of 2011, from $215.9 million for the first nine months of 2010. The decline is largely due to reductions in classified, zoned and general advertising. Revenue generated by the Company’s newspaper online publishing activities, primarily washingtonpost.com and Slate, decreased 14% to $23.3 million for the third quarter of 2011, versus $27.0 million for the third quarter of 2010; newspaper online revenues declined 7% to $72.3 million for the first nine months of 2011, versus $77.6 million for the first nine months of 2010. Display online advertising revenue declined 17% and 9% for the third quarter and first nine months of 2011, respectively. Online classified advertising revenue decreased 5% for the third quarter of 2011, but was flat for the first nine months of 2011. The revenue declines from print advertising and newspaper online publishing activities were partially offset by increased revenue from new lines of business in the first nine months of 2011.</w:t>
      </w:r>
    </w:p>
    <w:p>
      <w:pPr>
        <w:spacing w:after="0" w:line="12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first nine months of 2011, Post daily and Sunday circulation declined 5.4% and 4.4%, respectively, compared to the same periods of the prior year. For the nine months ended October 2, 2011, average daily circulation at The Washington Post totaled 518,700 and average Sunday circulation totaled 736,800.</w:t>
      </w:r>
    </w:p>
    <w:p>
      <w:pPr>
        <w:spacing w:after="0" w:line="8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newspaper publishing division reported an operating loss of $9.9 million in the third quarter of 2011, compared to an operating loss of $1.7 million in the third quarter of 2010. For the first nine months of 2011, the newspaper publishing division reported an operating loss of $25.6 million, compared to an operating loss of $29.8 million for the first nine months of 2010. As previously disclosed, The Washington Post recorded a $20.4 million charge in 2010 in connection with its withdrawal from the CWA-ITU Negotiated Pension Plan; $17.7 million of this charge was recorded in the second quarter of 2010, and $2.7 million was recorded in the third quarter of 2010. Excluding this charge and a $3.1 million loss recorded on an office lease in the first quarter of 2010, operating results declined in the first nine months of 2011 due to the revenue reductions discussed above, offset by a small decrease in overall costs. Newsprint expense was down 15% and 6% for the third quarter and first nine months of 2011, respectively, due to a decline in newsprint consumption.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Television Broadcasting</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Revenue for the television broadcasting division declined 11% in the third quarter of 2011 to $73.8 million, from $83.2 million in 2010; operating income for the third quarter of 2011 also declined 5% to $24.1 million, from $25.3 million in 2010. For the first nine months of 2011, revenue declined 3% to $231.0 million, from $239.3 million in 2010; operating income for the first nine months of 2011 increased slightly to $76.2 million, from $76.0 million in 2010.</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decline in revenue for the third quarter and first nine months of 2011 is due primarily to the absence of $4.7 million in incremental winter Olympics-related advertising in the first quarter of 2010 and a $9.6 million and $13.9 million decrease in political advertising revenue for the third quarter and first nine months of 2011, respectively. For the third quarter of 2011, operating results declined as a result of lower revenue, offset by expense reductions from various cost control initiatives. For the first nine months of 2011, operating results improved slightly due to expense reductions from various cost control initiatives, offset by lower revenue.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includes the operating results of Avenue100 Media Solutions and other small businesses.</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the first nine months of 2011, revenues declined substantially due to volume declines as a result of changes implemented at Avenue100 Media Solutions to improve lead quality. In the third quarter of 2011, an $11.9 goodwill impairment charge was recorded at Avenue100 Media Solutions, the Company’s digital marketing business that sources leads for academic institutions and recruiting organizations. In the third quarter of 2010, a $27.5 million goodwill and other intangible assets impairment charge was recorded at Avenue100 Media Solutions.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equity in losses of affiliates for the third quarter of 2011 was $1.5 million, compared to earnings of $2.1 million for the third quarter of 2010. For the first nine months of 2011, the Company’s equity in earnings of affiliates totaled $5.4 million, compared with losses of $3.9 million for the same period of 2010. The decline in the third quarter of 2011 is due to a $9.2 million impairment charge recorded on the Company’s interest in Bowater Mersey Paper Company, offset by improved results at the Company’s Classified Ventures affiliate and other affiliates. The results for the first nine months of 2011 reflect improved earnings at the Company’s Classified Ventures affiliate and other affiliates.</w:t>
      </w:r>
    </w:p>
    <w:p>
      <w:pPr>
        <w:spacing w:after="0" w:line="116"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The Company holds a 49% interest in Bowater Mersey Paper Company, a 16.5% interest in Classified Ventures, LLC and interests in several other affiliates.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Non-Operating (Expense) Income</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recorded other non-operating expense, net, of $29.7 million for the third quarter of 2011, compared to other non-operating income, net, of $12.5 million for the third quarter of 2010. The third quarter 2011 non-operating expense, net, included a $23.1 million write-down of a marketable equity security (Corinthian Colleges, Inc.) and $6.7 million in unrealized foreign currency losses and other items. The third quarter 2010 non-operating income, net, included $11.9 million in unrealized foreign currency gains.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recorded non-operating expense, net, of $56.3 million for the first nine months of 2011, compared to other non-operating income, net, of $5.4 million for the same period of the prior year. The 2011 non-operating expense, net, included a $53.8 million write-down of a marketable equity security (Corinthian Colleges, Inc.), and $3.7 million in unrealized foreign currency losses and other items. The 2010 non-operating expense, net, included $4.8 million in unrealized foreign currency gains.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incurred net interest expense of $7.7 million and $21.6 million for the third quarter and first nine months of 2011, respectively, compared to $7.0 million and $21.3 million for the same periods of 2010. At October 2, 2011, the Company had $453.2 million in borrowings outstanding, at an average interest rate of 7.0%.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income from continuing operations for the first nine months of 2011 was 47.1%. The higher effective rate in 2011 is primarily due to</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$4.5 million from nondeductible goodwill in connection with an impairment charge and $5.2 million in income tax expense related to valuation allowances, both recorded in the third quarter of 2011.</w:t>
      </w:r>
    </w:p>
    <w:p>
      <w:pPr>
        <w:spacing w:after="0" w:line="13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effective tax rate for income from continuing operations for the first nine months of 2010 was 38.2%. The effective rate in 2010 was adversely impacted by $9.1 million from nondeductible goodwill in connection with an impairment charge recorded in the third quarter of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September 30, 2010, the Company completed the sale of Newsweek. In addition, Kaplan sold Kaplan Compliance Solutions in October 2011, Kaplan Virtual Education in July 2011 and Education Connection in April 2010. Consequently, the Company’s income from continuing operations excludes these businesses, which have been reclassified to discontinued operations, net of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9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calculation of diluted earnings per share for the third quarter and first nine months of 2011 was based on 7,801,639 and 7,978,520 weighted average shares outstanding, respectively, compared to 8,904,453 and 9,112,564, respectively, for the third quarter and first nine months of 2010. In the first nine months of 2011, the Company repurchased 442,325 shares of its Class B common stock at a cost of $179.4 million. On September 8, 2011, the Company’s Board of Directors authorized the Company to acquire up to 750,000 shares of its Class B common stock. The Company did not announce a ceiling price or a time limit for the purchases. The authorization included 43,573 shares that remained under the previous authorization. At October 2, 2011, there were 7,793,806 shares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1,032,640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1,183,535</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(897,509)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(951,423)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(62,644)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(60,752)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(8,603)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(6,409)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intangible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(27,477)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1"/>
        </w:trPr>
        <w:tc>
          <w:tcPr>
            <w:tcW w:w="7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51,961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137,474</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earnings of affiliates,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(29,650)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12,486</w:t>
            </w:r>
          </w:p>
        </w:tc>
        <w:tc>
          <w:tcPr>
            <w:tcW w:w="4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145,067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59,400</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(2,510)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(24,591)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The Washington Post Company</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The Washington Post Company common stockholders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attributable to The Washington Post Company common stockholders:</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85,513</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(2,510)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(24,591)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Per share information attributable to The Washington Post Company common stockholders:</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Basic (loss) income per common share from continuing operations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per common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Basic average number of common shares outstanding</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8,839</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(loss) income per common share from continuing operations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common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Diluted average number of common shares outstanding</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3,151,394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3,501,880</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(2,740,357)</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(2,859,533)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(189,355)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(182,931)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(21,546)</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(20,304)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intangible assets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(11,923)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(27,477)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1"/>
        </w:trPr>
        <w:tc>
          <w:tcPr>
            <w:tcW w:w="7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188,213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411,635</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affiliates,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1,525</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(24,588)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(56,273)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5,358</w:t>
            </w:r>
          </w:p>
        </w:tc>
        <w:tc>
          <w:tcPr>
            <w:tcW w:w="4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115,706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391,766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149,800</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241,966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(5,780)</w:t>
            </w: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(42,935)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199,031</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199,127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(922)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 common stockholders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attributable to The Washington Post Company common stockholders:</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241,140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(5,780)</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(42,935)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Per share information attributable to The Washington Post Company common stockholders:</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(4.71)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Basic average number of common shares outstanding</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9,047</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(4.71)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Diluted average number of common shares outstanding</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9,113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Third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615,884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737,131</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1,867,359</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2,170,338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188,694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568,610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149,257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163,447</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467,026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491,948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83,178</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239,252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13,098</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19,014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37,925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(2,013)</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(2,361)</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(6,193)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1,032,640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1,183,535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3,151,394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3,501,880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597,837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631,132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1,810,195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1,889,840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151,097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148,430</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454,476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442,020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492,668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521,715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57,895</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154,718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163,252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70,102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3,898</w:t>
            </w:r>
          </w:p>
        </w:tc>
        <w:tc>
          <w:tcPr>
            <w:tcW w:w="3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9,509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(6,193)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980,679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1,046,061</w:t>
            </w:r>
          </w:p>
        </w:tc>
        <w:tc>
          <w:tcPr>
            <w:tcW w:w="3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2,963,181</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3,090,245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18,047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105,999</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57,164</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280,498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126,590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(9,897)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(1,715)</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(25,642)</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(29,767)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76,000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(18,126)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(28,459)</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(28,179)</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(32,177)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(3,898)</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51,961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137,474</w:t>
            </w:r>
          </w:p>
        </w:tc>
        <w:tc>
          <w:tcPr>
            <w:tcW w:w="3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188,213</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411,635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21,314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18,763</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64,613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56,088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93,522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7,416</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19,893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23,118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9,579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62,644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60,752</w:t>
            </w: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189,355</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182,931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Amortization of intangible assets and Impairment of goodwill and other</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intangible assets: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5,992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4,886</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16,350</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16,292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933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28,664</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16,049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30,331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33,886</w:t>
            </w:r>
          </w:p>
        </w:tc>
        <w:tc>
          <w:tcPr>
            <w:tcW w:w="3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33,469</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47,781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(Expense) credit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(1,434)</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(4,859)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(4,309)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(8,088)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(17,237)</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(36,840)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25,230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(1,732)</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2,806</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(18,233)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$2.7 million and $20.4 million in charges for the third quarter and first nine months of 2010, respectively, related to the withdrawal from a multiemployer pension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80"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8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(loss) income from continuing operations and net (loss) income excluding certain items described below reconciled to the most directly comparable GAAP measures. Management believes these non-GAAP measures, when read in conjunction with the company’s GAAP financials, provide useful information to investors by offering:</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7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Income from continuing operations excluding certain items and 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Third Quarter</w:t>
            </w:r>
          </w:p>
        </w:tc>
        <w:tc>
          <w:tcPr>
            <w:tcW w:w="8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To Date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6"/>
              </w:rPr>
              <w:t>Amounts attributable to The Washington Post Company common stockholders: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(Loss) income from continuing operations, as reported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85,513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60,299</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241,140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(6,208)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60,922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198,205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Adjustments: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Kaplan severance and restructuring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Multiemployer pension plan withdrawal expense</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 and other intangible asset impairment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26,323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Investment in affiliates impairment charge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Marketable equity securities write-down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Foreign currency loss (gain)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(7,512)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expense related to valuation allowances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Income from continuing operations, adjusted (non-GAAP)</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41,757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105,970</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132,286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281,905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 adjusted (non-GAAP)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39,247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126,506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238,970</w:t>
            </w:r>
          </w:p>
        </w:tc>
        <w:tc>
          <w:tcPr>
            <w:tcW w:w="0" w:type="dxa"/>
            <w:vAlign w:val="bottom"/>
          </w:tcPr>
          <w:p>
            <w:pPr>
              <w:spacing w:after="0"/>
              <w:rPr>
                <w:sz w:val="1"/>
                <w:szCs w:val="1"/>
                <w:color w:val="auto"/>
              </w:rPr>
            </w:pPr>
          </w:p>
        </w:tc>
      </w:tr>
      <w:tr>
        <w:trPr>
          <w:trHeight w:val="317"/>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w w:val="98"/>
              </w:rPr>
              <w:t>Per share information attributable to The Washington Post Company common</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Diluted (loss) income per common share from continuing operations,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54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Diluted net (loss) income per common share, as reported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20" w:type="dxa"/>
            <w:vAlign w:val="bottom"/>
            <w:gridSpan w:val="2"/>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81</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Kaplan severance and restructuring charges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Multiemployer pension plan withdrawal expense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Goodwill and other intangible asset impairment charges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 in affiliates impairment charge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Marketable equity securities write-down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loss (gain)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Income tax expense related to valuation allowances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7"/>
                <w:shd w:val="clear" w:color="auto" w:fill="CCEEFF"/>
              </w:rPr>
              <w:t>Diluted income per common share from continuing operations, adjusted (non-GAAP)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5.27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16.59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30.96</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 adjusted (non-GAAP)</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14</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adjusted diluted per share amounts may not compute due to rounding.</w:t>
      </w:r>
    </w:p>
    <w:p>
      <w:pPr>
        <w:spacing w:after="0" w:line="171" w:lineRule="exact"/>
        <w:rPr>
          <w:sz w:val="20"/>
          <w:szCs w:val="20"/>
          <w:color w:val="auto"/>
        </w:rPr>
      </w:pPr>
    </w:p>
    <w:p>
      <w:pPr>
        <w:ind w:left="5400"/>
        <w:spacing w:after="0"/>
        <w:tabs>
          <w:tab w:leader="none" w:pos="5660" w:val="left"/>
          <w:tab w:leader="none" w:pos="59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4"/>
          <w:szCs w:val="14"/>
          <w:color w:val="auto"/>
        </w:rPr>
        <w:t>#</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2019-12-10T04:11:05Z</dcterms:created>
  <dcterms:modified xsi:type="dcterms:W3CDTF">2019-12-10T04:11:05Z</dcterms:modified>
</cp:coreProperties>
</file>