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110490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1"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88"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001-06714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62"/>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(State or other jurisdiction of</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Identification No.)</w:t>
            </w:r>
          </w:p>
        </w:tc>
      </w:tr>
      <w:tr>
        <w:trPr>
          <w:trHeight w:val="296"/>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4"/>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Pr>
          <w:p>
            <w:pPr>
              <w:jc w:val="center"/>
              <w:ind w:right="660"/>
              <w:spacing w:after="0"/>
              <w:rPr>
                <w:sz w:val="20"/>
                <w:szCs w:val="20"/>
                <w:color w:val="auto"/>
              </w:rPr>
            </w:pPr>
            <w:r>
              <w:rPr>
                <w:rFonts w:ascii="Arial" w:cs="Arial" w:eastAsia="Arial" w:hAnsi="Arial"/>
                <w:sz w:val="14"/>
                <w:szCs w:val="14"/>
                <w:b w:val="1"/>
                <w:bCs w:val="1"/>
                <w:color w:val="auto"/>
              </w:rPr>
              <w:t>(Zip Code)</w:t>
            </w:r>
          </w:p>
        </w:tc>
      </w:tr>
      <w:tr>
        <w:trPr>
          <w:trHeight w:val="444"/>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1"/>
        </w:trPr>
        <w:tc>
          <w:tcPr>
            <w:tcW w:w="7500" w:type="dxa"/>
            <w:vAlign w:val="bottom"/>
            <w:gridSpan w:val="5"/>
          </w:tcPr>
          <w:p>
            <w:pPr>
              <w:jc w:val="center"/>
              <w:ind w:left="36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tcPr>
          <w:p>
            <w:pPr>
              <w:spacing w:after="0"/>
              <w:rPr>
                <w:sz w:val="20"/>
                <w:szCs w:val="20"/>
                <w:color w:val="auto"/>
              </w:rPr>
            </w:pPr>
          </w:p>
        </w:tc>
      </w:tr>
      <w:tr>
        <w:trPr>
          <w:trHeight w:val="350"/>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3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24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30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rPr>
              <w:t>Class B Common Stock, par value $1.00 per share</w:t>
            </w:r>
          </w:p>
        </w:tc>
        <w:tc>
          <w:tcPr>
            <w:tcW w:w="2580" w:type="dxa"/>
            <w:vAlign w:val="bottom"/>
            <w:gridSpan w:val="3"/>
          </w:tcPr>
          <w:p>
            <w:pPr>
              <w:jc w:val="center"/>
              <w:ind w:right="580"/>
              <w:spacing w:after="0"/>
              <w:rPr>
                <w:sz w:val="20"/>
                <w:szCs w:val="20"/>
                <w:color w:val="auto"/>
              </w:rPr>
            </w:pPr>
            <w:r>
              <w:rPr>
                <w:rFonts w:ascii="Arial" w:cs="Arial" w:eastAsia="Arial" w:hAnsi="Arial"/>
                <w:sz w:val="16"/>
                <w:szCs w:val="16"/>
                <w:color w:val="auto"/>
              </w:rPr>
              <w:t>GHC</w:t>
            </w:r>
          </w:p>
        </w:tc>
        <w:tc>
          <w:tcPr>
            <w:tcW w:w="3700" w:type="dxa"/>
            <w:vAlign w:val="bottom"/>
          </w:tcPr>
          <w:p>
            <w:pPr>
              <w:jc w:val="center"/>
              <w:ind w:right="300"/>
              <w:spacing w:after="0"/>
              <w:rPr>
                <w:sz w:val="20"/>
                <w:szCs w:val="20"/>
                <w:color w:val="auto"/>
              </w:rPr>
            </w:pPr>
            <w:r>
              <w:rPr>
                <w:rFonts w:ascii="Arial" w:cs="Arial" w:eastAsia="Arial" w:hAnsi="Arial"/>
                <w:sz w:val="16"/>
                <w:szCs w:val="16"/>
                <w:color w:val="auto"/>
              </w:rPr>
              <w:t>New York Stock Exchange</w:t>
            </w:r>
          </w:p>
        </w:tc>
      </w:tr>
    </w:tbl>
    <w:p>
      <w:pPr>
        <w:spacing w:after="0" w:line="221" w:lineRule="exact"/>
        <w:rPr>
          <w:sz w:val="24"/>
          <w:szCs w:val="24"/>
          <w:color w:val="auto"/>
        </w:rPr>
      </w:pPr>
    </w:p>
    <w:p>
      <w:pPr>
        <w:ind w:right="4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ind w:right="24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80" w:type="dxa"/>
        <w:tblCellMar>
          <w:top w:w="0" w:type="dxa"/>
          <w:left w:w="0" w:type="dxa"/>
          <w:bottom w:w="0" w:type="dxa"/>
          <w:right w:w="0" w:type="dxa"/>
        </w:tblCellMar>
      </w:tblPr>
      <w:tr>
        <w:trPr>
          <w:trHeight w:val="184"/>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62"/>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right="1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30, 2021:</w:t>
      </w:r>
    </w:p>
    <w:p>
      <w:pPr>
        <w:spacing w:after="0" w:line="104"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4,037,648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74"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Comprehensive Income (Loss)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Income Taxes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Earnings (Loss)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623570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1</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p>
      <w:pPr>
        <w:spacing w:after="0" w:line="262"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6</w:t>
        </w:r>
      </w:hyperlink>
    </w:p>
    <w:p>
      <w:pPr>
        <w:spacing w:after="0" w:line="208" w:lineRule="exact"/>
        <w:rPr>
          <w:sz w:val="20"/>
          <w:szCs w:val="20"/>
          <w:color w:val="auto"/>
        </w:rPr>
      </w:pPr>
    </w:p>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6</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6</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13</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13</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14</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15</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17</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17</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18</w:t>
        </w:r>
      </w:hyperlink>
    </w:p>
    <w:p>
      <w:pPr>
        <w:spacing w:after="0" w:line="32" w:lineRule="exact"/>
        <w:rPr>
          <w:sz w:val="20"/>
          <w:szCs w:val="20"/>
          <w:color w:val="auto"/>
        </w:rPr>
      </w:pPr>
    </w:p>
    <w:p>
      <w:pPr>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18</w:t>
        </w:r>
      </w:hyperlink>
    </w:p>
    <w:p>
      <w:pPr>
        <w:spacing w:after="0" w:line="316"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30</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31</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32</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33</w:t>
        </w:r>
      </w:hyperlink>
    </w:p>
    <w:p>
      <w:pPr>
        <w:sectPr>
          <w:pgSz w:w="11900" w:h="16838" w:orient="portrait"/>
          <w:cols w:equalWidth="0" w:num="2">
            <w:col w:w="10280" w:space="720"/>
            <w:col w:w="180"/>
          </w:cols>
          <w:pgMar w:left="340" w:top="94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00" w:type="dxa"/>
            <w:vAlign w:val="bottom"/>
          </w:tcPr>
          <w:p>
            <w:pPr>
              <w:ind w:left="220"/>
              <w:spacing w:after="0"/>
              <w:rPr>
                <w:sz w:val="20"/>
                <w:szCs w:val="20"/>
                <w:color w:val="auto"/>
              </w:rPr>
            </w:pPr>
            <w:r>
              <w:rPr>
                <w:rFonts w:ascii="Arial" w:cs="Arial" w:eastAsia="Arial" w:hAnsi="Arial"/>
                <w:sz w:val="16"/>
                <w:szCs w:val="16"/>
                <w:color w:val="auto"/>
              </w:rPr>
              <w:t>Sales of services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483,669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516,637</w:t>
            </w:r>
          </w:p>
        </w:tc>
        <w:tc>
          <w:tcPr>
            <w:tcW w:w="0" w:type="dxa"/>
            <w:vAlign w:val="bottom"/>
          </w:tcPr>
          <w:p>
            <w:pPr>
              <w:spacing w:after="0"/>
              <w:rPr>
                <w:sz w:val="1"/>
                <w:szCs w:val="1"/>
                <w:color w:val="auto"/>
              </w:rPr>
            </w:pPr>
          </w:p>
        </w:tc>
      </w:tr>
      <w:tr>
        <w:trPr>
          <w:trHeight w:val="242"/>
        </w:trPr>
        <w:tc>
          <w:tcPr>
            <w:tcW w:w="8700" w:type="dxa"/>
            <w:vAlign w:val="bottom"/>
          </w:tcPr>
          <w:p>
            <w:pPr>
              <w:ind w:left="220"/>
              <w:spacing w:after="0"/>
              <w:rPr>
                <w:sz w:val="20"/>
                <w:szCs w:val="20"/>
                <w:color w:val="auto"/>
              </w:rPr>
            </w:pPr>
            <w:r>
              <w:rPr>
                <w:rFonts w:ascii="Arial" w:cs="Arial" w:eastAsia="Arial" w:hAnsi="Arial"/>
                <w:sz w:val="16"/>
                <w:szCs w:val="16"/>
                <w:color w:val="auto"/>
              </w:rPr>
              <w:t>Sales of goods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228,786</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215,620</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712,455</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732,257</w:t>
            </w:r>
          </w:p>
        </w:tc>
        <w:tc>
          <w:tcPr>
            <w:tcW w:w="0" w:type="dxa"/>
            <w:vAlign w:val="bottom"/>
          </w:tcPr>
          <w:p>
            <w:pPr>
              <w:spacing w:after="0"/>
              <w:rPr>
                <w:sz w:val="1"/>
                <w:szCs w:val="1"/>
                <w:color w:val="auto"/>
              </w:rPr>
            </w:pP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80" w:type="dxa"/>
            <w:vAlign w:val="bottom"/>
          </w:tcPr>
          <w:p>
            <w:pPr>
              <w:spacing w:after="0"/>
              <w:rPr>
                <w:sz w:val="18"/>
                <w:szCs w:val="18"/>
                <w:color w:val="auto"/>
              </w:rPr>
            </w:pP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292,434</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6"/>
                <w:szCs w:val="16"/>
                <w:color w:val="auto"/>
              </w:rPr>
              <w:t>Cost of services sold</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333,049</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178,787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166,701</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175,861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177,152</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16,545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16,704</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13,937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14,165</w:t>
            </w:r>
          </w:p>
        </w:tc>
        <w:tc>
          <w:tcPr>
            <w:tcW w:w="0" w:type="dxa"/>
            <w:vAlign w:val="bottom"/>
          </w:tcPr>
          <w:p>
            <w:pPr>
              <w:spacing w:after="0"/>
              <w:rPr>
                <w:sz w:val="1"/>
                <w:szCs w:val="1"/>
                <w:color w:val="auto"/>
              </w:rPr>
            </w:pPr>
          </w:p>
        </w:tc>
      </w:tr>
      <w:tr>
        <w:trPr>
          <w:trHeight w:val="243"/>
        </w:trPr>
        <w:tc>
          <w:tcPr>
            <w:tcW w:w="870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1,047</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16,401</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678,611</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724,172</w:t>
            </w:r>
          </w:p>
        </w:tc>
        <w:tc>
          <w:tcPr>
            <w:tcW w:w="0" w:type="dxa"/>
            <w:vAlign w:val="bottom"/>
          </w:tcPr>
          <w:p>
            <w:pPr>
              <w:spacing w:after="0"/>
              <w:rPr>
                <w:sz w:val="1"/>
                <w:szCs w:val="1"/>
                <w:color w:val="auto"/>
              </w:rPr>
            </w:pPr>
          </w:p>
        </w:tc>
      </w:tr>
      <w:tr>
        <w:trPr>
          <w:trHeight w:val="215"/>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33,844</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8,085</w:t>
            </w:r>
          </w:p>
        </w:tc>
        <w:tc>
          <w:tcPr>
            <w:tcW w:w="0" w:type="dxa"/>
            <w:vAlign w:val="bottom"/>
          </w:tcPr>
          <w:p>
            <w:pPr>
              <w:spacing w:after="0"/>
              <w:rPr>
                <w:sz w:val="1"/>
                <w:szCs w:val="1"/>
                <w:color w:val="auto"/>
              </w:rPr>
            </w:pPr>
          </w:p>
        </w:tc>
      </w:tr>
      <w:tr>
        <w:trPr>
          <w:trHeight w:val="225"/>
        </w:trPr>
        <w:tc>
          <w:tcPr>
            <w:tcW w:w="870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13,428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890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(8,448)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(7,678)</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28,787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18,403</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79,214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(100,393)</w:t>
            </w:r>
          </w:p>
        </w:tc>
        <w:tc>
          <w:tcPr>
            <w:tcW w:w="0" w:type="dxa"/>
            <w:vAlign w:val="bottom"/>
          </w:tcPr>
          <w:p>
            <w:pPr>
              <w:spacing w:after="0"/>
              <w:rPr>
                <w:sz w:val="1"/>
                <w:szCs w:val="1"/>
                <w:color w:val="auto"/>
              </w:rPr>
            </w:pPr>
          </w:p>
        </w:tc>
      </w:tr>
      <w:tr>
        <w:trPr>
          <w:trHeight w:val="243"/>
        </w:trPr>
        <w:tc>
          <w:tcPr>
            <w:tcW w:w="87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6,320</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15"/>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154,035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(79,291)</w:t>
            </w:r>
          </w:p>
        </w:tc>
        <w:tc>
          <w:tcPr>
            <w:tcW w:w="0" w:type="dxa"/>
            <w:vAlign w:val="bottom"/>
          </w:tcPr>
          <w:p>
            <w:pPr>
              <w:spacing w:after="0"/>
              <w:rPr>
                <w:sz w:val="1"/>
                <w:szCs w:val="1"/>
                <w:color w:val="auto"/>
              </w:rPr>
            </w:pPr>
          </w:p>
        </w:tc>
      </w:tr>
      <w:tr>
        <w:trPr>
          <w:trHeight w:val="238"/>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41,400</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(45,400)</w:t>
            </w:r>
          </w:p>
        </w:tc>
        <w:tc>
          <w:tcPr>
            <w:tcW w:w="0" w:type="dxa"/>
            <w:vAlign w:val="bottom"/>
          </w:tcPr>
          <w:p>
            <w:pPr>
              <w:spacing w:after="0"/>
              <w:rPr>
                <w:sz w:val="1"/>
                <w:szCs w:val="1"/>
                <w:color w:val="auto"/>
              </w:rPr>
            </w:pPr>
          </w:p>
        </w:tc>
      </w:tr>
      <w:tr>
        <w:trPr>
          <w:trHeight w:val="215"/>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112,635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(33,891)</w:t>
            </w:r>
          </w:p>
        </w:tc>
        <w:tc>
          <w:tcPr>
            <w:tcW w:w="0" w:type="dxa"/>
            <w:vAlign w:val="bottom"/>
          </w:tcPr>
          <w:p>
            <w:pPr>
              <w:spacing w:after="0"/>
              <w:rPr>
                <w:sz w:val="1"/>
                <w:szCs w:val="1"/>
                <w:color w:val="auto"/>
              </w:rPr>
            </w:pPr>
          </w:p>
        </w:tc>
      </w:tr>
      <w:tr>
        <w:trPr>
          <w:trHeight w:val="238"/>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112,450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(33,245)</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22.49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4,967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22.44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4,977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132"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0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March 31</w:t>
            </w:r>
          </w:p>
        </w:tc>
      </w:tr>
      <w:tr>
        <w:trPr>
          <w:trHeight w:val="184"/>
        </w:trPr>
        <w:tc>
          <w:tcPr>
            <w:tcW w:w="9060" w:type="dxa"/>
            <w:vAlign w:val="bottom"/>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gain (loss)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 (Loss)</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60" w:hanging="342"/>
        <w:spacing w:after="0"/>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112,635  </w:t>
      </w:r>
      <w:r>
        <w:rPr>
          <w:rFonts w:ascii="Arial" w:cs="Arial" w:eastAsia="Arial" w:hAnsi="Arial"/>
          <w:sz w:val="16"/>
          <w:szCs w:val="16"/>
          <w:color w:val="auto"/>
        </w:rPr>
        <w:t>$   (33,891)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(486)</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(37,376)</w:t>
            </w:r>
          </w:p>
        </w:tc>
      </w:tr>
      <w:tr>
        <w:trPr>
          <w:trHeight w:val="459"/>
        </w:trPr>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792</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43"/>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(2,429)</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(1,637)</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238"/>
        </w:trPr>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621</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w:t>
            </w:r>
          </w:p>
        </w:tc>
      </w:tr>
      <w:tr>
        <w:trPr>
          <w:trHeight w:val="215"/>
        </w:trPr>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(1,502)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(38,063)</w:t>
            </w:r>
          </w:p>
        </w:tc>
      </w:tr>
      <w:tr>
        <w:trPr>
          <w:trHeight w:val="238"/>
        </w:trPr>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299</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23"/>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(1,203)</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(37,943)</w:t>
            </w:r>
          </w:p>
        </w:tc>
      </w:tr>
      <w:tr>
        <w:trPr>
          <w:trHeight w:val="215"/>
        </w:trPr>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111,432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(71,834)</w:t>
            </w:r>
          </w:p>
        </w:tc>
      </w:tr>
      <w:tr>
        <w:trPr>
          <w:trHeight w:val="238"/>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223"/>
        </w:trPr>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111,247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(71,188)</w:t>
            </w:r>
          </w:p>
        </w:tc>
      </w:tr>
      <w:tr>
        <w:trPr>
          <w:trHeight w:val="27"/>
        </w:trPr>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60" w:space="720"/>
            <w:col w:w="2160"/>
          </w:cols>
          <w:pgMar w:left="320" w:top="940"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240" w:type="dxa"/>
            <w:vAlign w:val="bottom"/>
          </w:tcPr>
          <w:p>
            <w:pPr>
              <w:jc w:val="right"/>
              <w:ind w:right="179"/>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0"/>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350,135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413,991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22,484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715,580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587,582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515,220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537,156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132,136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120,622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85,119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75,523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15,339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29,313</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1,427</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5"/>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1,837,440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1,774,192</w:t>
            </w: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375,862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378,286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453,193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462,560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169,203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155,777</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1,485,137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1,484,750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121,050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120,437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190,041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204,646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1,730,625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1,708,305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7,651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8,396</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148,218</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146,770</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6,518,420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492,625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520,236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331,678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331,021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6,891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84,749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86,797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4,238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6,452</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7,553</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927,734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949,646</w:t>
            </w: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196,558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201,918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36,591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48,768</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549,418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521,274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10,272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419,131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428,849</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506,091</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506,103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2,645,795</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2,665,798</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7,786</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11,928</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8"/>
                <w:szCs w:val="18"/>
                <w:color w:val="auto"/>
              </w:rPr>
            </w:pP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385,257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388,159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6,902,166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6,804,822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9,268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9,754</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594,093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595,287</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(4,051,909)</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(4,056,993)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3,857,625</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3,759,302</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7,214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7,091</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3,864,839</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3,766,393</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6,518,420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67" w:right="359"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7" w:right="359" w:bottom="198"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2"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112,635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(33,891)</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31,529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47,270</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18,594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23,749</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(24,501)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(13,784)</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(81,937)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100,393</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loss on disposition and write-down of businesses,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doubtful trade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1,126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1,485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gain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(4,290)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 of distributions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(11,241)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(benefit from)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29,311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(21,550)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25,196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100,732</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(11,493)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(8,512)</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(29,965)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(97,476)</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(6,655)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(12,790)</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10,860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(27,774)</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(21,119)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(22,503)</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(20,881)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(24,980)</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1,298</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23,999</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12,403</w:t>
            </w:r>
          </w:p>
        </w:tc>
        <w:tc>
          <w:tcPr>
            <w:tcW w:w="0" w:type="dxa"/>
            <w:vAlign w:val="bottom"/>
          </w:tcPr>
          <w:p>
            <w:pPr>
              <w:spacing w:after="0"/>
              <w:rPr>
                <w:sz w:val="1"/>
                <w:szCs w:val="1"/>
                <w:color w:val="auto"/>
              </w:rPr>
            </w:pPr>
          </w:p>
        </w:tc>
      </w:tr>
      <w:tr>
        <w:trPr>
          <w:trHeight w:val="21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(48,036)</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(13,113)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(25,235)</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(2,415)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(7,427)</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270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48,016</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(6,011)</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(63,290)</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9,561</w:t>
            </w:r>
          </w:p>
        </w:tc>
        <w:tc>
          <w:tcPr>
            <w:tcW w:w="0" w:type="dxa"/>
            <w:vAlign w:val="bottom"/>
          </w:tcPr>
          <w:p>
            <w:pPr>
              <w:spacing w:after="0"/>
              <w:rPr>
                <w:sz w:val="1"/>
                <w:szCs w:val="1"/>
                <w:color w:val="auto"/>
              </w:rPr>
            </w:pPr>
          </w:p>
        </w:tc>
      </w:tr>
      <w:tr>
        <w:trPr>
          <w:trHeight w:val="21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(7,553)</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(7,703)</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(3,508)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3,212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9,062</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vehicle floor plan 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2,462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(2,223)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(1,340)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(1,034)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(33,610)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(10,129)</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(26,685)</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(1,015)</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w:t>
            </w:r>
          </w:p>
        </w:tc>
        <w:tc>
          <w:tcPr>
            <w:tcW w:w="0" w:type="dxa"/>
            <w:vAlign w:val="bottom"/>
          </w:tcPr>
          <w:p>
            <w:pPr>
              <w:spacing w:after="0"/>
              <w:rPr>
                <w:sz w:val="1"/>
                <w:szCs w:val="1"/>
                <w:color w:val="auto"/>
              </w:rPr>
            </w:pP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(50,435)</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(12,405)</w:t>
            </w:r>
          </w:p>
        </w:tc>
        <w:tc>
          <w:tcPr>
            <w:tcW w:w="0" w:type="dxa"/>
            <w:vAlign w:val="bottom"/>
          </w:tcPr>
          <w:p>
            <w:pPr>
              <w:spacing w:after="0"/>
              <w:rPr>
                <w:sz w:val="1"/>
                <w:szCs w:val="1"/>
                <w:color w:val="auto"/>
              </w:rPr>
            </w:pPr>
          </w:p>
        </w:tc>
      </w:tr>
      <w:tr>
        <w:trPr>
          <w:trHeight w:val="238"/>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423,054</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214,044</w:t>
            </w:r>
          </w:p>
        </w:tc>
        <w:tc>
          <w:tcPr>
            <w:tcW w:w="0" w:type="dxa"/>
            <w:vAlign w:val="bottom"/>
          </w:tcPr>
          <w:p>
            <w:pPr>
              <w:spacing w:after="0"/>
              <w:rPr>
                <w:sz w:val="1"/>
                <w:szCs w:val="1"/>
                <w:color w:val="auto"/>
              </w:rPr>
            </w:pP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372,619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201,639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0" w:right="35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60" w:type="dxa"/>
            <w:vAlign w:val="bottom"/>
          </w:tcPr>
          <w:p>
            <w:pPr>
              <w:ind w:left="180"/>
              <w:spacing w:after="0"/>
              <w:rPr>
                <w:sz w:val="20"/>
                <w:szCs w:val="20"/>
                <w:color w:val="auto"/>
              </w:rPr>
            </w:pPr>
            <w:r>
              <w:rPr>
                <w:rFonts w:ascii="Arial" w:cs="Arial" w:eastAsia="Arial" w:hAnsi="Arial"/>
                <w:sz w:val="11"/>
                <w:szCs w:val="11"/>
                <w:color w:val="auto"/>
              </w:rPr>
              <w:t>Capital in</w:t>
            </w:r>
          </w:p>
        </w:tc>
        <w:tc>
          <w:tcPr>
            <w:tcW w:w="82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9"/>
              </w:rPr>
              <w:t>Accumulated Other</w:t>
            </w:r>
          </w:p>
        </w:tc>
        <w:tc>
          <w:tcPr>
            <w:tcW w:w="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jc w:val="center"/>
              <w:ind w:left="186"/>
              <w:spacing w:after="0"/>
              <w:rPr>
                <w:sz w:val="20"/>
                <w:szCs w:val="20"/>
                <w:color w:val="auto"/>
              </w:rPr>
            </w:pPr>
            <w:r>
              <w:rPr>
                <w:rFonts w:ascii="Arial" w:cs="Arial" w:eastAsia="Arial" w:hAnsi="Arial"/>
                <w:sz w:val="11"/>
                <w:szCs w:val="11"/>
                <w:color w:val="auto"/>
                <w:w w:val="96"/>
              </w:rPr>
              <w:t>Redeemable</w:t>
            </w:r>
          </w:p>
        </w:tc>
      </w:tr>
      <w:tr>
        <w:trPr>
          <w:trHeight w:val="108"/>
        </w:trPr>
        <w:tc>
          <w:tcPr>
            <w:tcW w:w="2180" w:type="dxa"/>
            <w:vAlign w:val="bottom"/>
          </w:tcPr>
          <w:p>
            <w:pPr>
              <w:spacing w:after="0"/>
              <w:rPr>
                <w:sz w:val="9"/>
                <w:szCs w:val="9"/>
                <w:color w:val="auto"/>
              </w:rPr>
            </w:pPr>
          </w:p>
        </w:tc>
        <w:tc>
          <w:tcPr>
            <w:tcW w:w="2080" w:type="dxa"/>
            <w:vAlign w:val="bottom"/>
          </w:tcPr>
          <w:p>
            <w:pPr>
              <w:ind w:left="1480"/>
              <w:spacing w:after="0" w:line="108" w:lineRule="exact"/>
              <w:rPr>
                <w:sz w:val="20"/>
                <w:szCs w:val="20"/>
                <w:color w:val="auto"/>
              </w:rPr>
            </w:pPr>
            <w:r>
              <w:rPr>
                <w:rFonts w:ascii="Arial" w:cs="Arial" w:eastAsia="Arial" w:hAnsi="Arial"/>
                <w:sz w:val="11"/>
                <w:szCs w:val="11"/>
                <w:color w:val="auto"/>
              </w:rPr>
              <w:t>Common</w:t>
            </w:r>
          </w:p>
        </w:tc>
        <w:tc>
          <w:tcPr>
            <w:tcW w:w="860" w:type="dxa"/>
            <w:vAlign w:val="bottom"/>
          </w:tcPr>
          <w:p>
            <w:pPr>
              <w:ind w:left="160"/>
              <w:spacing w:after="0" w:line="108" w:lineRule="exact"/>
              <w:rPr>
                <w:sz w:val="20"/>
                <w:szCs w:val="20"/>
                <w:color w:val="auto"/>
              </w:rPr>
            </w:pPr>
            <w:r>
              <w:rPr>
                <w:rFonts w:ascii="Arial" w:cs="Arial" w:eastAsia="Arial" w:hAnsi="Arial"/>
                <w:sz w:val="11"/>
                <w:szCs w:val="11"/>
                <w:color w:val="auto"/>
              </w:rPr>
              <w:t>Excess of</w:t>
            </w:r>
          </w:p>
        </w:tc>
        <w:tc>
          <w:tcPr>
            <w:tcW w:w="820" w:type="dxa"/>
            <w:vAlign w:val="bottom"/>
          </w:tcPr>
          <w:p>
            <w:pPr>
              <w:ind w:left="220"/>
              <w:spacing w:after="0" w:line="108" w:lineRule="exact"/>
              <w:rPr>
                <w:sz w:val="20"/>
                <w:szCs w:val="20"/>
                <w:color w:val="auto"/>
              </w:rPr>
            </w:pPr>
            <w:r>
              <w:rPr>
                <w:rFonts w:ascii="Arial" w:cs="Arial" w:eastAsia="Arial" w:hAnsi="Arial"/>
                <w:sz w:val="11"/>
                <w:szCs w:val="11"/>
                <w:color w:val="auto"/>
              </w:rPr>
              <w:t>Retained</w:t>
            </w:r>
          </w:p>
        </w:tc>
        <w:tc>
          <w:tcPr>
            <w:tcW w:w="1260" w:type="dxa"/>
            <w:vAlign w:val="bottom"/>
          </w:tcPr>
          <w:p>
            <w:pPr>
              <w:jc w:val="center"/>
              <w:spacing w:after="0" w:line="108" w:lineRule="exact"/>
              <w:rPr>
                <w:sz w:val="20"/>
                <w:szCs w:val="20"/>
                <w:color w:val="auto"/>
              </w:rPr>
            </w:pPr>
            <w:r>
              <w:rPr>
                <w:rFonts w:ascii="Arial" w:cs="Arial" w:eastAsia="Arial" w:hAnsi="Arial"/>
                <w:sz w:val="11"/>
                <w:szCs w:val="11"/>
                <w:color w:val="auto"/>
                <w:w w:val="96"/>
              </w:rPr>
              <w:t>Comprehensive</w:t>
            </w:r>
          </w:p>
        </w:tc>
        <w:tc>
          <w:tcPr>
            <w:tcW w:w="820" w:type="dxa"/>
            <w:vAlign w:val="bottom"/>
          </w:tcPr>
          <w:p>
            <w:pPr>
              <w:ind w:left="180"/>
              <w:spacing w:after="0" w:line="108" w:lineRule="exact"/>
              <w:rPr>
                <w:sz w:val="20"/>
                <w:szCs w:val="20"/>
                <w:color w:val="auto"/>
              </w:rPr>
            </w:pPr>
            <w:r>
              <w:rPr>
                <w:rFonts w:ascii="Arial" w:cs="Arial" w:eastAsia="Arial" w:hAnsi="Arial"/>
                <w:sz w:val="11"/>
                <w:szCs w:val="11"/>
                <w:color w:val="auto"/>
              </w:rPr>
              <w:t>Treasury</w:t>
            </w:r>
          </w:p>
        </w:tc>
        <w:tc>
          <w:tcPr>
            <w:tcW w:w="1100" w:type="dxa"/>
            <w:vAlign w:val="bottom"/>
          </w:tcPr>
          <w:p>
            <w:pPr>
              <w:ind w:left="220"/>
              <w:spacing w:after="0" w:line="108" w:lineRule="exact"/>
              <w:rPr>
                <w:sz w:val="20"/>
                <w:szCs w:val="20"/>
                <w:color w:val="auto"/>
              </w:rPr>
            </w:pPr>
            <w:r>
              <w:rPr>
                <w:rFonts w:ascii="Arial" w:cs="Arial" w:eastAsia="Arial" w:hAnsi="Arial"/>
                <w:sz w:val="11"/>
                <w:szCs w:val="11"/>
                <w:color w:val="auto"/>
              </w:rPr>
              <w:t>Noncontrolling</w:t>
            </w:r>
          </w:p>
        </w:tc>
        <w:tc>
          <w:tcPr>
            <w:tcW w:w="1000" w:type="dxa"/>
            <w:vAlign w:val="bottom"/>
          </w:tcPr>
          <w:p>
            <w:pPr>
              <w:spacing w:after="0"/>
              <w:rPr>
                <w:sz w:val="9"/>
                <w:szCs w:val="9"/>
                <w:color w:val="auto"/>
              </w:rPr>
            </w:pPr>
          </w:p>
        </w:tc>
        <w:tc>
          <w:tcPr>
            <w:tcW w:w="92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96"/>
              </w:rPr>
              <w:t>Noncontrolling</w:t>
            </w:r>
          </w:p>
        </w:tc>
      </w:tr>
      <w:tr>
        <w:trPr>
          <w:trHeight w:val="130"/>
        </w:trPr>
        <w:tc>
          <w:tcPr>
            <w:tcW w:w="2180" w:type="dxa"/>
            <w:vAlign w:val="bottom"/>
          </w:tcPr>
          <w:p>
            <w:pPr>
              <w:spacing w:after="0"/>
              <w:rPr>
                <w:sz w:val="20"/>
                <w:szCs w:val="20"/>
                <w:color w:val="auto"/>
              </w:rPr>
            </w:pPr>
            <w:r>
              <w:rPr>
                <w:rFonts w:ascii="Arial" w:cs="Arial" w:eastAsia="Arial" w:hAnsi="Arial"/>
                <w:sz w:val="11"/>
                <w:szCs w:val="11"/>
                <w:color w:val="auto"/>
              </w:rPr>
              <w:t>(in thousands)</w:t>
            </w:r>
          </w:p>
        </w:tc>
        <w:tc>
          <w:tcPr>
            <w:tcW w:w="2080" w:type="dxa"/>
            <w:vAlign w:val="bottom"/>
          </w:tcPr>
          <w:p>
            <w:pPr>
              <w:ind w:left="1580"/>
              <w:spacing w:after="0"/>
              <w:rPr>
                <w:sz w:val="20"/>
                <w:szCs w:val="20"/>
                <w:color w:val="auto"/>
              </w:rPr>
            </w:pPr>
            <w:r>
              <w:rPr>
                <w:rFonts w:ascii="Arial" w:cs="Arial" w:eastAsia="Arial" w:hAnsi="Arial"/>
                <w:sz w:val="11"/>
                <w:szCs w:val="11"/>
                <w:color w:val="auto"/>
              </w:rPr>
              <w:t>Stock</w:t>
            </w:r>
          </w:p>
        </w:tc>
        <w:tc>
          <w:tcPr>
            <w:tcW w:w="860" w:type="dxa"/>
            <w:vAlign w:val="bottom"/>
          </w:tcPr>
          <w:p>
            <w:pPr>
              <w:ind w:left="180"/>
              <w:spacing w:after="0"/>
              <w:rPr>
                <w:sz w:val="20"/>
                <w:szCs w:val="20"/>
                <w:color w:val="auto"/>
              </w:rPr>
            </w:pPr>
            <w:r>
              <w:rPr>
                <w:rFonts w:ascii="Arial" w:cs="Arial" w:eastAsia="Arial" w:hAnsi="Arial"/>
                <w:sz w:val="11"/>
                <w:szCs w:val="11"/>
                <w:color w:val="auto"/>
              </w:rPr>
              <w:t>Par Value</w:t>
            </w:r>
          </w:p>
        </w:tc>
        <w:tc>
          <w:tcPr>
            <w:tcW w:w="820" w:type="dxa"/>
            <w:vAlign w:val="bottom"/>
          </w:tcPr>
          <w:p>
            <w:pPr>
              <w:ind w:left="240"/>
              <w:spacing w:after="0"/>
              <w:rPr>
                <w:sz w:val="20"/>
                <w:szCs w:val="20"/>
                <w:color w:val="auto"/>
              </w:rPr>
            </w:pPr>
            <w:r>
              <w:rPr>
                <w:rFonts w:ascii="Arial" w:cs="Arial" w:eastAsia="Arial" w:hAnsi="Arial"/>
                <w:sz w:val="11"/>
                <w:szCs w:val="11"/>
                <w:color w:val="auto"/>
              </w:rPr>
              <w:t>Earnings</w:t>
            </w:r>
          </w:p>
        </w:tc>
        <w:tc>
          <w:tcPr>
            <w:tcW w:w="1260" w:type="dxa"/>
            <w:vAlign w:val="bottom"/>
          </w:tcPr>
          <w:p>
            <w:pPr>
              <w:jc w:val="center"/>
              <w:spacing w:after="0"/>
              <w:rPr>
                <w:sz w:val="20"/>
                <w:szCs w:val="20"/>
                <w:color w:val="auto"/>
              </w:rPr>
            </w:pPr>
            <w:r>
              <w:rPr>
                <w:rFonts w:ascii="Arial" w:cs="Arial" w:eastAsia="Arial" w:hAnsi="Arial"/>
                <w:sz w:val="11"/>
                <w:szCs w:val="11"/>
                <w:color w:val="auto"/>
                <w:w w:val="94"/>
              </w:rPr>
              <w:t>Income</w:t>
            </w:r>
          </w:p>
        </w:tc>
        <w:tc>
          <w:tcPr>
            <w:tcW w:w="820" w:type="dxa"/>
            <w:vAlign w:val="bottom"/>
          </w:tcPr>
          <w:p>
            <w:pPr>
              <w:ind w:left="280"/>
              <w:spacing w:after="0"/>
              <w:rPr>
                <w:sz w:val="20"/>
                <w:szCs w:val="20"/>
                <w:color w:val="auto"/>
              </w:rPr>
            </w:pPr>
            <w:r>
              <w:rPr>
                <w:rFonts w:ascii="Arial" w:cs="Arial" w:eastAsia="Arial" w:hAnsi="Arial"/>
                <w:sz w:val="11"/>
                <w:szCs w:val="11"/>
                <w:color w:val="auto"/>
              </w:rPr>
              <w:t>Stock</w:t>
            </w:r>
          </w:p>
        </w:tc>
        <w:tc>
          <w:tcPr>
            <w:tcW w:w="1100" w:type="dxa"/>
            <w:vAlign w:val="bottom"/>
          </w:tcPr>
          <w:p>
            <w:pPr>
              <w:ind w:left="400"/>
              <w:spacing w:after="0"/>
              <w:rPr>
                <w:sz w:val="20"/>
                <w:szCs w:val="20"/>
                <w:color w:val="auto"/>
              </w:rPr>
            </w:pPr>
            <w:r>
              <w:rPr>
                <w:rFonts w:ascii="Arial" w:cs="Arial" w:eastAsia="Arial" w:hAnsi="Arial"/>
                <w:sz w:val="11"/>
                <w:szCs w:val="11"/>
                <w:color w:val="auto"/>
              </w:rPr>
              <w:t>Interest</w:t>
            </w:r>
          </w:p>
        </w:tc>
        <w:tc>
          <w:tcPr>
            <w:tcW w:w="1000" w:type="dxa"/>
            <w:vAlign w:val="bottom"/>
          </w:tcPr>
          <w:p>
            <w:pPr>
              <w:ind w:left="180"/>
              <w:spacing w:after="0"/>
              <w:rPr>
                <w:sz w:val="20"/>
                <w:szCs w:val="20"/>
                <w:color w:val="auto"/>
              </w:rPr>
            </w:pPr>
            <w:r>
              <w:rPr>
                <w:rFonts w:ascii="Arial" w:cs="Arial" w:eastAsia="Arial" w:hAnsi="Arial"/>
                <w:sz w:val="11"/>
                <w:szCs w:val="11"/>
                <w:color w:val="auto"/>
              </w:rPr>
              <w:t>Total Equity</w:t>
            </w:r>
          </w:p>
        </w:tc>
        <w:tc>
          <w:tcPr>
            <w:tcW w:w="920" w:type="dxa"/>
            <w:vAlign w:val="bottom"/>
          </w:tcPr>
          <w:p>
            <w:pPr>
              <w:jc w:val="center"/>
              <w:ind w:left="186"/>
              <w:spacing w:after="0"/>
              <w:rPr>
                <w:sz w:val="20"/>
                <w:szCs w:val="20"/>
                <w:color w:val="auto"/>
              </w:rPr>
            </w:pPr>
            <w:r>
              <w:rPr>
                <w:rFonts w:ascii="Arial" w:cs="Arial" w:eastAsia="Arial" w:hAnsi="Arial"/>
                <w:sz w:val="11"/>
                <w:szCs w:val="11"/>
                <w:color w:val="auto"/>
                <w:w w:val="97"/>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 of December 31, 2020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income for the period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income attributable to noncontrolling interests</w:t>
      </w:r>
    </w:p>
    <w:p>
      <w:pPr>
        <w:spacing w:after="0" w:line="53" w:lineRule="exact"/>
        <w:rPr>
          <w:sz w:val="20"/>
          <w:szCs w:val="20"/>
          <w:color w:val="auto"/>
        </w:rPr>
      </w:pPr>
    </w:p>
    <w:p>
      <w:pPr>
        <w:ind w:left="180" w:right="600" w:hanging="161"/>
        <w:spacing w:after="0" w:line="281" w:lineRule="auto"/>
        <w:rPr>
          <w:sz w:val="20"/>
          <w:szCs w:val="20"/>
          <w:color w:val="auto"/>
        </w:rPr>
      </w:pPr>
      <w:r>
        <w:rPr>
          <w:rFonts w:ascii="Arial" w:cs="Arial" w:eastAsia="Arial" w:hAnsi="Arial"/>
          <w:sz w:val="13"/>
          <w:szCs w:val="13"/>
          <w:b w:val="1"/>
          <w:bCs w:val="1"/>
          <w:color w:val="auto"/>
        </w:rPr>
        <w:t>Change in redemption value of redeemable noncontrolling interests</w:t>
      </w:r>
    </w:p>
    <w:p>
      <w:pPr>
        <w:spacing w:after="0" w:line="1" w:lineRule="exact"/>
        <w:rPr>
          <w:sz w:val="20"/>
          <w:szCs w:val="20"/>
          <w:color w:val="auto"/>
        </w:rPr>
      </w:pPr>
    </w:p>
    <w:p>
      <w:pPr>
        <w:ind w:left="20" w:right="920"/>
        <w:spacing w:after="0" w:line="325" w:lineRule="auto"/>
        <w:rPr>
          <w:sz w:val="20"/>
          <w:szCs w:val="20"/>
          <w:color w:val="auto"/>
        </w:rPr>
      </w:pPr>
      <w:r>
        <w:rPr>
          <w:rFonts w:ascii="Arial" w:cs="Arial" w:eastAsia="Arial" w:hAnsi="Arial"/>
          <w:sz w:val="13"/>
          <w:szCs w:val="13"/>
          <w:b w:val="1"/>
          <w:bCs w:val="1"/>
          <w:color w:val="auto"/>
        </w:rPr>
        <w:t>Distribution to noncontrolling interest Dividends on common stock</w:t>
      </w:r>
    </w:p>
    <w:p>
      <w:pPr>
        <w:ind w:left="180" w:hanging="161"/>
        <w:spacing w:after="0" w:line="281" w:lineRule="auto"/>
        <w:rPr>
          <w:sz w:val="20"/>
          <w:szCs w:val="20"/>
          <w:color w:val="auto"/>
        </w:rPr>
      </w:pPr>
      <w:r>
        <w:rPr>
          <w:rFonts w:ascii="Arial" w:cs="Arial" w:eastAsia="Arial" w:hAnsi="Arial"/>
          <w:sz w:val="13"/>
          <w:szCs w:val="13"/>
          <w:b w:val="1"/>
          <w:bCs w:val="1"/>
          <w:color w:val="auto"/>
        </w:rPr>
        <w:t>Issuance of Class B common stock, net of restricted stock forfeitures</w:t>
      </w:r>
    </w:p>
    <w:p>
      <w:pPr>
        <w:spacing w:after="0" w:line="1" w:lineRule="exact"/>
        <w:rPr>
          <w:sz w:val="20"/>
          <w:szCs w:val="20"/>
          <w:color w:val="auto"/>
        </w:rPr>
      </w:pPr>
    </w:p>
    <w:p>
      <w:pPr>
        <w:ind w:left="180" w:right="100" w:hanging="161"/>
        <w:spacing w:after="0" w:line="281" w:lineRule="auto"/>
        <w:rPr>
          <w:sz w:val="20"/>
          <w:szCs w:val="20"/>
          <w:color w:val="auto"/>
        </w:rPr>
      </w:pPr>
      <w:r>
        <w:rPr>
          <w:rFonts w:ascii="Arial" w:cs="Arial" w:eastAsia="Arial" w:hAnsi="Arial"/>
          <w:sz w:val="13"/>
          <w:szCs w:val="13"/>
          <w:b w:val="1"/>
          <w:bCs w:val="1"/>
          <w:color w:val="auto"/>
        </w:rPr>
        <w:t>Amortization of unearned stock compensation and stock option expense</w:t>
      </w:r>
    </w:p>
    <w:p>
      <w:pPr>
        <w:spacing w:after="0" w:line="1" w:lineRule="exact"/>
        <w:rPr>
          <w:sz w:val="20"/>
          <w:szCs w:val="20"/>
          <w:color w:val="auto"/>
        </w:rPr>
      </w:pPr>
    </w:p>
    <w:p>
      <w:pPr>
        <w:ind w:left="20" w:right="280"/>
        <w:spacing w:after="0" w:line="357" w:lineRule="auto"/>
        <w:rPr>
          <w:sz w:val="20"/>
          <w:szCs w:val="20"/>
          <w:color w:val="auto"/>
        </w:rPr>
      </w:pPr>
      <w:r>
        <w:rPr>
          <w:rFonts w:ascii="Arial" w:cs="Arial" w:eastAsia="Arial" w:hAnsi="Arial"/>
          <w:sz w:val="13"/>
          <w:szCs w:val="13"/>
          <w:b w:val="1"/>
          <w:bCs w:val="1"/>
          <w:color w:val="auto"/>
        </w:rPr>
        <w:t>Other comprehensive loss, net of income taxes Purchase of redeemable noncontrolling interest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 of March 31, 2021</w:t>
      </w:r>
    </w:p>
    <w:p>
      <w:pPr>
        <w:spacing w:after="0" w:line="377"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20,000</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388,159</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6,804,822</w:t>
            </w:r>
          </w:p>
        </w:tc>
        <w:tc>
          <w:tcPr>
            <w:tcW w:w="300" w:type="dxa"/>
            <w:vAlign w:val="bottom"/>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603,314</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(4,056,993)</w:t>
            </w:r>
          </w:p>
        </w:tc>
        <w:tc>
          <w:tcPr>
            <w:tcW w:w="340" w:type="dxa"/>
            <w:vAlign w:val="bottom"/>
          </w:tcPr>
          <w:p>
            <w:pPr>
              <w:jc w:val="right"/>
              <w:ind w:right="193"/>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7,091</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3,766,393</w:t>
            </w:r>
          </w:p>
        </w:tc>
        <w:tc>
          <w:tcPr>
            <w:tcW w:w="380" w:type="dxa"/>
            <w:vAlign w:val="bottom"/>
          </w:tcPr>
          <w:p>
            <w:pPr>
              <w:jc w:val="right"/>
              <w:ind w:right="153"/>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11,928</w:t>
            </w:r>
          </w:p>
        </w:tc>
      </w:tr>
      <w:tr>
        <w:trPr>
          <w:trHeight w:val="203"/>
        </w:trPr>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112,635</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112,635</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(185)</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185</w:t>
            </w: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697</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64</w:t>
            </w:r>
          </w:p>
        </w:tc>
        <w:tc>
          <w:tcPr>
            <w:tcW w:w="20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761</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(634)</w:t>
            </w:r>
          </w:p>
        </w:tc>
      </w:tr>
      <w:tr>
        <w:trPr>
          <w:trHeight w:val="203"/>
        </w:trPr>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(126)</w:t>
            </w: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(126)</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(15,106)</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(15,106)</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(5,188)</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5,084</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(104)</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1,589</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1,589</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(1,203)</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(1,203)</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(3,508)</w:t>
            </w:r>
          </w:p>
        </w:tc>
      </w:tr>
      <w:tr>
        <w:trPr>
          <w:trHeight w:val="19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20,000</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385,257</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6,902,166</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602,111</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(4,051,909)</w:t>
            </w: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7,214</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3,864,839</w:t>
            </w:r>
          </w:p>
        </w:tc>
        <w:tc>
          <w:tcPr>
            <w:tcW w:w="3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7,786</w:t>
            </w:r>
          </w:p>
        </w:tc>
      </w:tr>
      <w:tr>
        <w:trPr>
          <w:trHeight w:val="27"/>
        </w:trPr>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00" w:type="dxa"/>
            <w:vAlign w:val="bottom"/>
          </w:tcPr>
          <w:p>
            <w:pPr>
              <w:spacing w:after="0"/>
              <w:rPr>
                <w:sz w:val="10"/>
                <w:szCs w:val="10"/>
                <w:color w:val="auto"/>
              </w:rPr>
            </w:pPr>
          </w:p>
        </w:tc>
        <w:tc>
          <w:tcPr>
            <w:tcW w:w="860" w:type="dxa"/>
            <w:vAlign w:val="bottom"/>
          </w:tcPr>
          <w:p>
            <w:pPr>
              <w:ind w:left="180"/>
              <w:spacing w:after="0"/>
              <w:rPr>
                <w:sz w:val="20"/>
                <w:szCs w:val="20"/>
                <w:color w:val="auto"/>
              </w:rPr>
            </w:pPr>
            <w:r>
              <w:rPr>
                <w:rFonts w:ascii="Arial" w:cs="Arial" w:eastAsia="Arial" w:hAnsi="Arial"/>
                <w:sz w:val="11"/>
                <w:szCs w:val="11"/>
                <w:color w:val="auto"/>
              </w:rPr>
              <w:t>Capital in</w:t>
            </w:r>
          </w:p>
        </w:tc>
        <w:tc>
          <w:tcPr>
            <w:tcW w:w="82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9"/>
              </w:rPr>
              <w:t>Accumulated Other</w:t>
            </w:r>
          </w:p>
        </w:tc>
        <w:tc>
          <w:tcPr>
            <w:tcW w:w="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jc w:val="center"/>
              <w:ind w:left="186"/>
              <w:spacing w:after="0"/>
              <w:rPr>
                <w:sz w:val="20"/>
                <w:szCs w:val="20"/>
                <w:color w:val="auto"/>
              </w:rPr>
            </w:pPr>
            <w:r>
              <w:rPr>
                <w:rFonts w:ascii="Arial" w:cs="Arial" w:eastAsia="Arial" w:hAnsi="Arial"/>
                <w:sz w:val="11"/>
                <w:szCs w:val="11"/>
                <w:color w:val="auto"/>
                <w:w w:val="96"/>
              </w:rPr>
              <w:t>Redeemable</w:t>
            </w:r>
          </w:p>
        </w:tc>
      </w:tr>
      <w:tr>
        <w:trPr>
          <w:trHeight w:val="108"/>
        </w:trPr>
        <w:tc>
          <w:tcPr>
            <w:tcW w:w="600" w:type="dxa"/>
            <w:vAlign w:val="bottom"/>
          </w:tcPr>
          <w:p>
            <w:pPr>
              <w:spacing w:after="0" w:line="108" w:lineRule="exact"/>
              <w:rPr>
                <w:sz w:val="20"/>
                <w:szCs w:val="20"/>
                <w:color w:val="auto"/>
              </w:rPr>
            </w:pPr>
            <w:r>
              <w:rPr>
                <w:rFonts w:ascii="Arial" w:cs="Arial" w:eastAsia="Arial" w:hAnsi="Arial"/>
                <w:sz w:val="11"/>
                <w:szCs w:val="11"/>
                <w:color w:val="auto"/>
              </w:rPr>
              <w:t>Common</w:t>
            </w:r>
          </w:p>
        </w:tc>
        <w:tc>
          <w:tcPr>
            <w:tcW w:w="860" w:type="dxa"/>
            <w:vAlign w:val="bottom"/>
          </w:tcPr>
          <w:p>
            <w:pPr>
              <w:ind w:left="160"/>
              <w:spacing w:after="0" w:line="108" w:lineRule="exact"/>
              <w:rPr>
                <w:sz w:val="20"/>
                <w:szCs w:val="20"/>
                <w:color w:val="auto"/>
              </w:rPr>
            </w:pPr>
            <w:r>
              <w:rPr>
                <w:rFonts w:ascii="Arial" w:cs="Arial" w:eastAsia="Arial" w:hAnsi="Arial"/>
                <w:sz w:val="11"/>
                <w:szCs w:val="11"/>
                <w:color w:val="auto"/>
              </w:rPr>
              <w:t>Excess of</w:t>
            </w:r>
          </w:p>
        </w:tc>
        <w:tc>
          <w:tcPr>
            <w:tcW w:w="820" w:type="dxa"/>
            <w:vAlign w:val="bottom"/>
          </w:tcPr>
          <w:p>
            <w:pPr>
              <w:ind w:left="220"/>
              <w:spacing w:after="0" w:line="108" w:lineRule="exact"/>
              <w:rPr>
                <w:sz w:val="20"/>
                <w:szCs w:val="20"/>
                <w:color w:val="auto"/>
              </w:rPr>
            </w:pPr>
            <w:r>
              <w:rPr>
                <w:rFonts w:ascii="Arial" w:cs="Arial" w:eastAsia="Arial" w:hAnsi="Arial"/>
                <w:sz w:val="11"/>
                <w:szCs w:val="11"/>
                <w:color w:val="auto"/>
              </w:rPr>
              <w:t>Retained</w:t>
            </w:r>
          </w:p>
        </w:tc>
        <w:tc>
          <w:tcPr>
            <w:tcW w:w="1260" w:type="dxa"/>
            <w:vAlign w:val="bottom"/>
          </w:tcPr>
          <w:p>
            <w:pPr>
              <w:jc w:val="center"/>
              <w:spacing w:after="0" w:line="108" w:lineRule="exact"/>
              <w:rPr>
                <w:sz w:val="20"/>
                <w:szCs w:val="20"/>
                <w:color w:val="auto"/>
              </w:rPr>
            </w:pPr>
            <w:r>
              <w:rPr>
                <w:rFonts w:ascii="Arial" w:cs="Arial" w:eastAsia="Arial" w:hAnsi="Arial"/>
                <w:sz w:val="11"/>
                <w:szCs w:val="11"/>
                <w:color w:val="auto"/>
                <w:w w:val="96"/>
              </w:rPr>
              <w:t>Comprehensive</w:t>
            </w:r>
          </w:p>
        </w:tc>
        <w:tc>
          <w:tcPr>
            <w:tcW w:w="820" w:type="dxa"/>
            <w:vAlign w:val="bottom"/>
          </w:tcPr>
          <w:p>
            <w:pPr>
              <w:ind w:left="180"/>
              <w:spacing w:after="0" w:line="108" w:lineRule="exact"/>
              <w:rPr>
                <w:sz w:val="20"/>
                <w:szCs w:val="20"/>
                <w:color w:val="auto"/>
              </w:rPr>
            </w:pPr>
            <w:r>
              <w:rPr>
                <w:rFonts w:ascii="Arial" w:cs="Arial" w:eastAsia="Arial" w:hAnsi="Arial"/>
                <w:sz w:val="11"/>
                <w:szCs w:val="11"/>
                <w:color w:val="auto"/>
              </w:rPr>
              <w:t>Treasury</w:t>
            </w:r>
          </w:p>
        </w:tc>
        <w:tc>
          <w:tcPr>
            <w:tcW w:w="1100" w:type="dxa"/>
            <w:vAlign w:val="bottom"/>
          </w:tcPr>
          <w:p>
            <w:pPr>
              <w:ind w:left="220"/>
              <w:spacing w:after="0" w:line="108" w:lineRule="exact"/>
              <w:rPr>
                <w:sz w:val="20"/>
                <w:szCs w:val="20"/>
                <w:color w:val="auto"/>
              </w:rPr>
            </w:pPr>
            <w:r>
              <w:rPr>
                <w:rFonts w:ascii="Arial" w:cs="Arial" w:eastAsia="Arial" w:hAnsi="Arial"/>
                <w:sz w:val="11"/>
                <w:szCs w:val="11"/>
                <w:color w:val="auto"/>
              </w:rPr>
              <w:t>Noncontrolling</w:t>
            </w:r>
          </w:p>
        </w:tc>
        <w:tc>
          <w:tcPr>
            <w:tcW w:w="1000" w:type="dxa"/>
            <w:vAlign w:val="bottom"/>
          </w:tcPr>
          <w:p>
            <w:pPr>
              <w:spacing w:after="0"/>
              <w:rPr>
                <w:sz w:val="9"/>
                <w:szCs w:val="9"/>
                <w:color w:val="auto"/>
              </w:rPr>
            </w:pPr>
          </w:p>
        </w:tc>
        <w:tc>
          <w:tcPr>
            <w:tcW w:w="92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96"/>
              </w:rPr>
              <w:t>Noncontrolling</w:t>
            </w:r>
          </w:p>
        </w:tc>
      </w:tr>
      <w:tr>
        <w:trPr>
          <w:trHeight w:val="130"/>
        </w:trPr>
        <w:tc>
          <w:tcPr>
            <w:tcW w:w="600" w:type="dxa"/>
            <w:vAlign w:val="bottom"/>
          </w:tcPr>
          <w:p>
            <w:pPr>
              <w:ind w:left="100"/>
              <w:spacing w:after="0"/>
              <w:rPr>
                <w:sz w:val="20"/>
                <w:szCs w:val="20"/>
                <w:color w:val="auto"/>
              </w:rPr>
            </w:pPr>
            <w:r>
              <w:rPr>
                <w:rFonts w:ascii="Arial" w:cs="Arial" w:eastAsia="Arial" w:hAnsi="Arial"/>
                <w:sz w:val="11"/>
                <w:szCs w:val="11"/>
                <w:color w:val="auto"/>
              </w:rPr>
              <w:t>Stock</w:t>
            </w:r>
          </w:p>
        </w:tc>
        <w:tc>
          <w:tcPr>
            <w:tcW w:w="860" w:type="dxa"/>
            <w:vAlign w:val="bottom"/>
          </w:tcPr>
          <w:p>
            <w:pPr>
              <w:ind w:left="180"/>
              <w:spacing w:after="0"/>
              <w:rPr>
                <w:sz w:val="20"/>
                <w:szCs w:val="20"/>
                <w:color w:val="auto"/>
              </w:rPr>
            </w:pPr>
            <w:r>
              <w:rPr>
                <w:rFonts w:ascii="Arial" w:cs="Arial" w:eastAsia="Arial" w:hAnsi="Arial"/>
                <w:sz w:val="11"/>
                <w:szCs w:val="11"/>
                <w:color w:val="auto"/>
              </w:rPr>
              <w:t>Par Value</w:t>
            </w:r>
          </w:p>
        </w:tc>
        <w:tc>
          <w:tcPr>
            <w:tcW w:w="820" w:type="dxa"/>
            <w:vAlign w:val="bottom"/>
          </w:tcPr>
          <w:p>
            <w:pPr>
              <w:ind w:left="240"/>
              <w:spacing w:after="0"/>
              <w:rPr>
                <w:sz w:val="20"/>
                <w:szCs w:val="20"/>
                <w:color w:val="auto"/>
              </w:rPr>
            </w:pPr>
            <w:r>
              <w:rPr>
                <w:rFonts w:ascii="Arial" w:cs="Arial" w:eastAsia="Arial" w:hAnsi="Arial"/>
                <w:sz w:val="11"/>
                <w:szCs w:val="11"/>
                <w:color w:val="auto"/>
              </w:rPr>
              <w:t>Earnings</w:t>
            </w:r>
          </w:p>
        </w:tc>
        <w:tc>
          <w:tcPr>
            <w:tcW w:w="1260" w:type="dxa"/>
            <w:vAlign w:val="bottom"/>
          </w:tcPr>
          <w:p>
            <w:pPr>
              <w:jc w:val="center"/>
              <w:spacing w:after="0"/>
              <w:rPr>
                <w:sz w:val="20"/>
                <w:szCs w:val="20"/>
                <w:color w:val="auto"/>
              </w:rPr>
            </w:pPr>
            <w:r>
              <w:rPr>
                <w:rFonts w:ascii="Arial" w:cs="Arial" w:eastAsia="Arial" w:hAnsi="Arial"/>
                <w:sz w:val="11"/>
                <w:szCs w:val="11"/>
                <w:color w:val="auto"/>
                <w:w w:val="94"/>
              </w:rPr>
              <w:t>Income</w:t>
            </w:r>
          </w:p>
        </w:tc>
        <w:tc>
          <w:tcPr>
            <w:tcW w:w="820" w:type="dxa"/>
            <w:vAlign w:val="bottom"/>
          </w:tcPr>
          <w:p>
            <w:pPr>
              <w:ind w:left="280"/>
              <w:spacing w:after="0"/>
              <w:rPr>
                <w:sz w:val="20"/>
                <w:szCs w:val="20"/>
                <w:color w:val="auto"/>
              </w:rPr>
            </w:pPr>
            <w:r>
              <w:rPr>
                <w:rFonts w:ascii="Arial" w:cs="Arial" w:eastAsia="Arial" w:hAnsi="Arial"/>
                <w:sz w:val="11"/>
                <w:szCs w:val="11"/>
                <w:color w:val="auto"/>
              </w:rPr>
              <w:t>Stock</w:t>
            </w:r>
          </w:p>
        </w:tc>
        <w:tc>
          <w:tcPr>
            <w:tcW w:w="1100" w:type="dxa"/>
            <w:vAlign w:val="bottom"/>
          </w:tcPr>
          <w:p>
            <w:pPr>
              <w:ind w:left="400"/>
              <w:spacing w:after="0"/>
              <w:rPr>
                <w:sz w:val="20"/>
                <w:szCs w:val="20"/>
                <w:color w:val="auto"/>
              </w:rPr>
            </w:pPr>
            <w:r>
              <w:rPr>
                <w:rFonts w:ascii="Arial" w:cs="Arial" w:eastAsia="Arial" w:hAnsi="Arial"/>
                <w:sz w:val="11"/>
                <w:szCs w:val="11"/>
                <w:color w:val="auto"/>
              </w:rPr>
              <w:t>Interest</w:t>
            </w:r>
          </w:p>
        </w:tc>
        <w:tc>
          <w:tcPr>
            <w:tcW w:w="1000" w:type="dxa"/>
            <w:vAlign w:val="bottom"/>
          </w:tcPr>
          <w:p>
            <w:pPr>
              <w:ind w:left="180"/>
              <w:spacing w:after="0"/>
              <w:rPr>
                <w:sz w:val="20"/>
                <w:szCs w:val="20"/>
                <w:color w:val="auto"/>
              </w:rPr>
            </w:pPr>
            <w:r>
              <w:rPr>
                <w:rFonts w:ascii="Arial" w:cs="Arial" w:eastAsia="Arial" w:hAnsi="Arial"/>
                <w:sz w:val="11"/>
                <w:szCs w:val="11"/>
                <w:color w:val="auto"/>
              </w:rPr>
              <w:t>Total Equity</w:t>
            </w:r>
          </w:p>
        </w:tc>
        <w:tc>
          <w:tcPr>
            <w:tcW w:w="920" w:type="dxa"/>
            <w:vAlign w:val="bottom"/>
          </w:tcPr>
          <w:p>
            <w:pPr>
              <w:jc w:val="center"/>
              <w:ind w:left="186"/>
              <w:spacing w:after="0"/>
              <w:rPr>
                <w:sz w:val="20"/>
                <w:szCs w:val="20"/>
                <w:color w:val="auto"/>
              </w:rPr>
            </w:pPr>
            <w:r>
              <w:rPr>
                <w:rFonts w:ascii="Arial" w:cs="Arial" w:eastAsia="Arial" w:hAnsi="Arial"/>
                <w:sz w:val="11"/>
                <w:szCs w:val="11"/>
                <w:color w:val="auto"/>
                <w:w w:val="97"/>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3380" w:space="180"/>
            <w:col w:w="7680"/>
          </w:cols>
          <w:pgMar w:left="320" w:top="940" w:right="339" w:bottom="1440" w:gutter="0" w:footer="0" w:header="0"/>
          <w:type w:val="continuous"/>
        </w:sectPr>
      </w:pPr>
    </w:p>
    <w:tbl>
      <w:tblPr>
        <w:tblLayout w:type="fixed"/>
        <w:tblInd w:w="2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Arial" w:cs="Arial" w:eastAsia="Arial" w:hAnsi="Arial"/>
                <w:sz w:val="13"/>
                <w:szCs w:val="13"/>
                <w:color w:val="auto"/>
              </w:rPr>
              <w:t>As of December 31, 2019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381,669</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6,534,427</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303,295</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(3,920,152)</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7,557</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3,326,796</w:t>
            </w:r>
          </w:p>
        </w:tc>
        <w:tc>
          <w:tcPr>
            <w:tcW w:w="42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5,655</w:t>
            </w: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Net loss for the period</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(33,891)</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(33,891)</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Net loss attributable to noncontrolling interest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772</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(772)</w:t>
            </w: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9"/>
        </w:trPr>
        <w:tc>
          <w:tcPr>
            <w:tcW w:w="354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62"/>
        </w:trPr>
        <w:tc>
          <w:tcPr>
            <w:tcW w:w="354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(126)</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(15,289)</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(15,289)</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(33,610)</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(33,610)</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Issuance of Class B common stock</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5,335</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5,335</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9"/>
        </w:trPr>
        <w:tc>
          <w:tcPr>
            <w:tcW w:w="354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62"/>
        </w:trPr>
        <w:tc>
          <w:tcPr>
            <w:tcW w:w="354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1,568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1,568</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(37,943)</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(37,943)</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As of March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383,237</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6,485,893</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265,352</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(3,948,427)</w:t>
            </w: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6,785</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3,212,840</w:t>
            </w:r>
          </w:p>
        </w:tc>
        <w:tc>
          <w:tcPr>
            <w:tcW w:w="4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5,781</w:t>
            </w: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7" w:name="page8"/>
    <w:bookmarkEnd w:id="7"/>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(U.S.). The Company’s media operations comprise the ownership and operation of seven television broadcasting stations, several websites and print publications, podcast content and a marketing solutions provider. The Company’s other business operations include manufacturing, automotive dealerships, restaurants and entertainment venues, custom framing services and home health and hospice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4" w:lineRule="exact"/>
        <w:rPr>
          <w:sz w:val="20"/>
          <w:szCs w:val="20"/>
          <w:color w:val="auto"/>
        </w:rPr>
      </w:pPr>
    </w:p>
    <w:p>
      <w:pPr>
        <w:ind w:right="40" w:firstLine="8"/>
        <w:spacing w:after="0" w:line="222"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2021 and 2020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2020.</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37"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 March 31, 2021 and through the date of this filing. The accounting matters assessed included, but were not limited to, the Company’s carrying value of goodwill and other long-lived assets, allowance for doubtful accounts, inventory valuation and related reserves, fair value of financial assets, valuation allowances for tax assets and revenue recognition. Other than the other long-lived asset impairment charges (see Note 8), there were no other impacts to the Company’s condensed consolidated financial statements as of and for the three months ended March 31, 2021 resulting from our assessments. The Company’s assessments as of and for the three months ended March 31, 2020 resulted in goodwill and indefinite-lived asset impairment charges (see Note 6 and Note 8). The Company’s future assessment of the magnitude and duration of COVID-19, as well as other factors, could result in material impacts to the Company’s condensed consolidated financial statements in future reporting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During 2020, the Company acquired three businesses: two in education and one in other businesses for $96.8 million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contingent consideration. The assets and liabilities of the companies acquired were recorded at their estimated fair values at the date of acquisition.</w:t>
      </w:r>
    </w:p>
    <w:p>
      <w:pPr>
        <w:spacing w:after="0" w:line="135" w:lineRule="exact"/>
        <w:rPr>
          <w:sz w:val="20"/>
          <w:szCs w:val="20"/>
          <w:color w:val="auto"/>
        </w:rPr>
      </w:pPr>
    </w:p>
    <w:p>
      <w:pPr>
        <w:ind w:right="1000"/>
        <w:spacing w:after="0" w:line="235" w:lineRule="auto"/>
        <w:rPr>
          <w:sz w:val="20"/>
          <w:szCs w:val="20"/>
          <w:color w:val="auto"/>
        </w:rPr>
      </w:pPr>
      <w:r>
        <w:rPr>
          <w:rFonts w:ascii="Arial" w:cs="Arial" w:eastAsia="Arial" w:hAnsi="Arial"/>
          <w:sz w:val="18"/>
          <w:szCs w:val="18"/>
          <w:color w:val="auto"/>
        </w:rPr>
        <w:t>In the first three months of 2020, Kaplan acquired two small businesses; one in its supplemental education division and one in its international division.</w:t>
      </w:r>
    </w:p>
    <w:p>
      <w:pPr>
        <w:spacing w:after="0" w:line="135"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 accounted for Framebridge under the equity method, and included it in Investments in Affiliates on the Condensed Consolidated Balance Sheet (see Note 3). The contingent consideration is primarily based on Framebridge achieving revenue milestones within a specific time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ind w:right="240"/>
        <w:spacing w:after="0" w:line="227" w:lineRule="auto"/>
        <w:rPr>
          <w:sz w:val="20"/>
          <w:szCs w:val="20"/>
          <w:color w:val="auto"/>
        </w:rPr>
      </w:pPr>
      <w:r>
        <w:rPr>
          <w:rFonts w:ascii="Arial" w:cs="Arial" w:eastAsia="Arial" w:hAnsi="Arial"/>
          <w:sz w:val="18"/>
          <w:szCs w:val="18"/>
          <w:color w:val="auto"/>
        </w:rPr>
        <w:t>period. The fair value of the contingent consideration at the acquisition date was $50.6 million, determined using a Monte Carlo simulation. The fair value of the redeemable noncontrolling interest in Framebridge was $6.0 million as of the acquisition date, determined using a market approach. The minority shareholder has an option to put 20% of the minority shares annually starting in 2024. The acquisition is expected to provide benefits in the future by diversifying the Company’s business operations and is included in other businesses.</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Acquisition-related costs were expensed as incurred. The aggregate purchase price of the 2020 acquisitions was allocated as follows based on acquisition date fair values to the following assets and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Purchase Price Allocation</w:t>
            </w:r>
          </w:p>
        </w:tc>
      </w:tr>
      <w:tr>
        <w:trPr>
          <w:trHeight w:val="190"/>
        </w:trPr>
        <w:tc>
          <w:tcPr>
            <w:tcW w:w="8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jc w:val="center"/>
              <w:ind w:right="181"/>
              <w:spacing w:after="0"/>
              <w:rPr>
                <w:sz w:val="20"/>
                <w:szCs w:val="20"/>
                <w:color w:val="auto"/>
              </w:rPr>
            </w:pPr>
            <w:r>
              <w:rPr>
                <w:rFonts w:ascii="Arial" w:cs="Arial" w:eastAsia="Arial" w:hAnsi="Arial"/>
                <w:sz w:val="14"/>
                <w:szCs w:val="14"/>
                <w:b w:val="1"/>
                <w:bCs w:val="1"/>
                <w:color w:val="auto"/>
              </w:rPr>
              <w:t>Year Ended</w:t>
            </w:r>
          </w:p>
        </w:tc>
      </w:tr>
      <w:tr>
        <w:trPr>
          <w:trHeight w:val="209"/>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86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745</w:t>
            </w:r>
          </w:p>
        </w:tc>
      </w:tr>
      <w:tr>
        <w:trPr>
          <w:trHeight w:val="230"/>
        </w:trPr>
        <w:tc>
          <w:tcPr>
            <w:tcW w:w="86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3,496</w:t>
            </w:r>
          </w:p>
        </w:tc>
      </w:tr>
      <w:tr>
        <w:trPr>
          <w:trHeight w:val="229"/>
        </w:trPr>
        <w:tc>
          <w:tcPr>
            <w:tcW w:w="8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3,346</w:t>
            </w:r>
          </w:p>
        </w:tc>
      </w:tr>
      <w:tr>
        <w:trPr>
          <w:trHeight w:val="229"/>
        </w:trPr>
        <w:tc>
          <w:tcPr>
            <w:tcW w:w="866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6,580</w:t>
            </w:r>
          </w:p>
        </w:tc>
      </w:tr>
      <w:tr>
        <w:trPr>
          <w:trHeight w:val="230"/>
        </w:trPr>
        <w:tc>
          <w:tcPr>
            <w:tcW w:w="86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73,951</w:t>
            </w:r>
          </w:p>
        </w:tc>
      </w:tr>
      <w:tr>
        <w:trPr>
          <w:trHeight w:val="229"/>
        </w:trPr>
        <w:tc>
          <w:tcPr>
            <w:tcW w:w="86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14,589</w:t>
            </w:r>
          </w:p>
        </w:tc>
      </w:tr>
      <w:tr>
        <w:trPr>
          <w:trHeight w:val="230"/>
        </w:trPr>
        <w:tc>
          <w:tcPr>
            <w:tcW w:w="8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975</w:t>
            </w:r>
          </w:p>
        </w:tc>
      </w:tr>
      <w:tr>
        <w:trPr>
          <w:trHeight w:val="229"/>
        </w:trPr>
        <w:tc>
          <w:tcPr>
            <w:tcW w:w="86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15,958</w:t>
            </w:r>
          </w:p>
        </w:tc>
      </w:tr>
      <w:tr>
        <w:trPr>
          <w:trHeight w:val="229"/>
        </w:trPr>
        <w:tc>
          <w:tcPr>
            <w:tcW w:w="86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(14,917)</w:t>
            </w:r>
          </w:p>
        </w:tc>
      </w:tr>
      <w:tr>
        <w:trPr>
          <w:trHeight w:val="230"/>
        </w:trPr>
        <w:tc>
          <w:tcPr>
            <w:tcW w:w="86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(6,593)</w:t>
            </w:r>
          </w:p>
        </w:tc>
      </w:tr>
      <w:tr>
        <w:trPr>
          <w:trHeight w:val="242"/>
        </w:trPr>
        <w:tc>
          <w:tcPr>
            <w:tcW w:w="866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(6,005)</w:t>
            </w:r>
          </w:p>
        </w:tc>
      </w:tr>
      <w:tr>
        <w:trPr>
          <w:trHeight w:val="230"/>
        </w:trPr>
        <w:tc>
          <w:tcPr>
            <w:tcW w:w="866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92,125</w:t>
            </w: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The 2020 fair values recorded were based upon valuations and the estimates and assumptions used in such valuations are subject to change within the measurement period (up to one year from the acquisition date).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$3.2 million of goodwill for income tax purposes for the acquisitions completed in 2020.</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presents the Company’s results as if the 2020 acquisitions occurred at the beginning of 2019:</w:t>
      </w:r>
    </w:p>
    <w:p>
      <w:pPr>
        <w:spacing w:after="0" w:line="178"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Three Months</w:t>
      </w:r>
    </w:p>
    <w:p>
      <w:pPr>
        <w:ind w:left="10060"/>
        <w:spacing w:after="0" w:line="229" w:lineRule="auto"/>
        <w:rPr>
          <w:sz w:val="20"/>
          <w:szCs w:val="20"/>
          <w:color w:val="auto"/>
        </w:rPr>
      </w:pPr>
      <w:r>
        <w:rPr>
          <w:rFonts w:ascii="Arial" w:cs="Arial" w:eastAsia="Arial" w:hAnsi="Arial"/>
          <w:sz w:val="14"/>
          <w:szCs w:val="14"/>
          <w:b w:val="1"/>
          <w:bCs w:val="1"/>
          <w:color w:val="auto"/>
        </w:rPr>
        <w:t>Ended</w:t>
      </w:r>
    </w:p>
    <w:p>
      <w:pPr>
        <w:ind w:left="1000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color w:val="auto"/>
              </w:rPr>
              <w:t>2020</w:t>
            </w:r>
          </w:p>
        </w:tc>
      </w:tr>
      <w:tr>
        <w:trPr>
          <w:trHeight w:val="209"/>
        </w:trPr>
        <w:tc>
          <w:tcPr>
            <w:tcW w:w="94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738,331</w:t>
            </w:r>
          </w:p>
        </w:tc>
      </w:tr>
      <w:tr>
        <w:trPr>
          <w:trHeight w:val="230"/>
        </w:trPr>
        <w:tc>
          <w:tcPr>
            <w:tcW w:w="9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(40,396)</w:t>
            </w:r>
          </w:p>
        </w:tc>
      </w:tr>
    </w:tbl>
    <w:p>
      <w:pPr>
        <w:spacing w:after="0" w:line="16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December 2020, the Company completed the sale of Megaphone which was included in other businesses.</w:t>
      </w:r>
    </w:p>
    <w:p>
      <w:pPr>
        <w:spacing w:after="0" w:line="14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2021, Hoover’s minority shareholders put the remaining outstanding shares to the Company, which had a</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value of $3.5 million. Following the redemption, the Company owns 100% of Hoover.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March 31, 2021 and December 31, 2020, the Company had money market investments of $175.2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$268.8 million, respectively, that are classified as cash and cash equivalents in the Company’s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148"/>
        </w:trPr>
        <w:tc>
          <w:tcPr>
            <w:tcW w:w="8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304"/>
              <w:spacing w:after="0" w:line="149"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200" w:type="dxa"/>
            <w:vAlign w:val="bottom"/>
          </w:tcPr>
          <w:p>
            <w:pPr>
              <w:jc w:val="right"/>
              <w:ind w:right="163"/>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2020</w:t>
            </w:r>
          </w:p>
        </w:tc>
      </w:tr>
      <w:tr>
        <w:trPr>
          <w:trHeight w:val="214"/>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280,883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232,847</w:t>
            </w:r>
          </w:p>
        </w:tc>
      </w:tr>
      <w:tr>
        <w:trPr>
          <w:trHeight w:val="238"/>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419,469</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340,255</w:t>
            </w: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700,352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573,102</w:t>
            </w: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At March 31, 2021 and December 31, 2020, the Company owned 44,430 shares and 28,000 shares, respectively, in Markel Corporation (Markel) valued at $50.6 million and $28.9 million, respectively. The Co-Chief Executive Officer of Markel, Mr. Thomas S. Gayner, is a member of the Company’s Board of Directors. As of March 31, 2021, there was no marketable equity security holding that exceeded 5% of the Company’s total assets.</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Company purchased $48.0 million of marketable equity securities during the first three months of 2021. There were no purchases of marketable equity securities during the first three months of 2020.</w:t>
      </w:r>
    </w:p>
    <w:p>
      <w:pPr>
        <w:spacing w:after="0" w:line="135"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There were no sales of marketable equity securities during the first three months of 2021. During the first three months of 2020, the gross cumulative realized losses from the sales of marketable equity securities were $2.0 million. The total proceeds from such sales were $48.0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186"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190"/>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r>
      <w:tr>
        <w:trPr>
          <w:trHeight w:val="214"/>
        </w:trPr>
        <w:tc>
          <w:tcPr>
            <w:tcW w:w="890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79,214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(100,393)</w:t>
            </w:r>
          </w:p>
        </w:tc>
      </w:tr>
      <w:tr>
        <w:trPr>
          <w:trHeight w:val="238"/>
        </w:trPr>
        <w:tc>
          <w:tcPr>
            <w:tcW w:w="8900" w:type="dxa"/>
            <w:vAlign w:val="bottom"/>
          </w:tcPr>
          <w:p>
            <w:pPr>
              <w:ind w:left="20"/>
              <w:spacing w:after="0"/>
              <w:rPr>
                <w:sz w:val="20"/>
                <w:szCs w:val="20"/>
                <w:color w:val="auto"/>
              </w:rPr>
            </w:pPr>
            <w:r>
              <w:rPr>
                <w:rFonts w:ascii="Arial" w:cs="Arial" w:eastAsia="Arial" w:hAnsi="Arial"/>
                <w:sz w:val="16"/>
                <w:szCs w:val="16"/>
                <w:color w:val="auto"/>
              </w:rPr>
              <w:t>Less: Net losses in earnings from marketable equity securities sold and donated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8,774</w:t>
            </w:r>
          </w:p>
        </w:tc>
      </w:tr>
      <w:tr>
        <w:trPr>
          <w:trHeight w:val="229"/>
        </w:trPr>
        <w:tc>
          <w:tcPr>
            <w:tcW w:w="8900" w:type="dxa"/>
            <w:vAlign w:val="bottom"/>
          </w:tcPr>
          <w:p>
            <w:pPr>
              <w:ind w:left="20"/>
              <w:spacing w:after="0"/>
              <w:rPr>
                <w:sz w:val="20"/>
                <w:szCs w:val="20"/>
                <w:color w:val="auto"/>
              </w:rPr>
            </w:pPr>
            <w:r>
              <w:rPr>
                <w:rFonts w:ascii="Arial" w:cs="Arial" w:eastAsia="Arial" w:hAnsi="Arial"/>
                <w:sz w:val="16"/>
                <w:szCs w:val="16"/>
                <w:b w:val="1"/>
                <w:bCs w:val="1"/>
                <w:color w:val="auto"/>
              </w:rPr>
              <w:t>Net unrealized gains (losses) in earnings from marketable equity securities still held at the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79,214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(91,619)</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March 31, 2021, the Company held an approximate 12%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Graham Healthcare Group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each of the three months ended March 31, 2021 and 2020, the Company recorded $2.5 million in revenue for services provided to the affiliates of GHG.</w:t>
      </w:r>
    </w:p>
    <w:p>
      <w:pPr>
        <w:spacing w:after="0" w:line="137" w:lineRule="exact"/>
        <w:rPr>
          <w:sz w:val="20"/>
          <w:szCs w:val="20"/>
          <w:color w:val="auto"/>
        </w:rPr>
      </w:pPr>
    </w:p>
    <w:p>
      <w:pPr>
        <w:ind w:right="980"/>
        <w:spacing w:after="0" w:line="235" w:lineRule="auto"/>
        <w:rPr>
          <w:sz w:val="20"/>
          <w:szCs w:val="20"/>
          <w:color w:val="auto"/>
        </w:rPr>
      </w:pPr>
      <w:r>
        <w:rPr>
          <w:rFonts w:ascii="Arial" w:cs="Arial" w:eastAsia="Arial" w:hAnsi="Arial"/>
          <w:sz w:val="18"/>
          <w:szCs w:val="18"/>
          <w:color w:val="auto"/>
        </w:rPr>
        <w:t>The Company had $39.4 million and $26.1 million in its investment account that represents cumulative undistributed income in its investments in affiliates as of March 31, 2021 and December 31, 2020, respectively.</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the first quarter of 2020, the Company recorded impairment charges of $3.6 million on two of its investments in affiliates as a result of the challenging economic environment for these businesses, of which $2.7 million related to the Company’s investment in Framebridge. It is reasonably possible that further COVID-19 disruptions could result in additional impairment charges related to the Company’s investments in affiliates should the impact of COVID-19 not dissipate or have a worsening adverse impact on our affiliates in future periods. The Company records its share of the earnings or losses of its affiliates from their most recent available financial statements. In some instances, the reporting period of the affiliates’ financial statements lags the Company’s financial reporting period, but such lag is never more than three months. It is possible that the Company’s results of operations for the three months ended March 31, 2021 does not capture the impact of the COVID-19 pandemic on the earnings or losses of the affiliates whose financial results are recorded on a lag basis.</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May 2020, the Company made an additional investment in Framebridge (see Note 2) that resulted in the Company obtaining control of the investee. The results of operations, cash flows, assets and liabilities of Framebridge are included in the condensed consolidated financial statements of the Company from the date of the acquisition. Timothy J. O’Shaughnessy, President and Chief Executive Officer of Graham Holdings Company, was a personal investor in Framebridge and served as Chairman of the Board prior to the acquisition of the additional interest. The Company acquired Mr. O’Shaughnessy’s interest under the same terms as the other Framebridge investors.</w:t>
      </w:r>
    </w:p>
    <w:p>
      <w:pPr>
        <w:spacing w:after="0" w:line="137"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loaned the joint venture £22 million, which loan is repayable over 25 years at an interest rate of 7% and guaranteed by the University of York. The loan is repayable by December 2041.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p>
    <w:p>
      <w:pPr>
        <w:spacing w:after="0" w:line="223" w:lineRule="auto"/>
        <w:rPr>
          <w:sz w:val="20"/>
          <w:szCs w:val="20"/>
          <w:color w:val="auto"/>
        </w:rPr>
      </w:pPr>
      <w:r>
        <w:rPr>
          <w:rFonts w:ascii="Arial" w:cs="Arial" w:eastAsia="Arial" w:hAnsi="Arial"/>
          <w:sz w:val="18"/>
          <w:szCs w:val="18"/>
          <w:color w:val="auto"/>
        </w:rPr>
        <w:t>accounted for as cost method investments, which are recorded at cost, less impairment, and adjusted for observable price changes for</w:t>
      </w:r>
    </w:p>
    <w:p>
      <w:pPr>
        <w:spacing w:after="0" w:line="219" w:lineRule="auto"/>
        <w:rPr>
          <w:sz w:val="20"/>
          <w:szCs w:val="20"/>
          <w:color w:val="auto"/>
        </w:rPr>
      </w:pPr>
      <w:r>
        <w:rPr>
          <w:rFonts w:ascii="Arial" w:cs="Arial" w:eastAsia="Arial" w:hAnsi="Arial"/>
          <w:sz w:val="18"/>
          <w:szCs w:val="18"/>
          <w:color w:val="auto"/>
        </w:rPr>
        <w:t>identical or similar investments of the same issuer. The carrying value of these investments was $38.6 million and $35.7 million as of</w:t>
      </w:r>
    </w:p>
    <w:p>
      <w:pPr>
        <w:spacing w:after="0" w:line="220" w:lineRule="auto"/>
        <w:rPr>
          <w:sz w:val="20"/>
          <w:szCs w:val="20"/>
          <w:color w:val="auto"/>
        </w:rPr>
      </w:pPr>
      <w:r>
        <w:rPr>
          <w:rFonts w:ascii="Arial" w:cs="Arial" w:eastAsia="Arial" w:hAnsi="Arial"/>
          <w:sz w:val="18"/>
          <w:szCs w:val="18"/>
          <w:color w:val="auto"/>
        </w:rPr>
        <w:t>March 31, 2021 and December 31, 2020, respectively. During the three months ended March 31, 2021, the Company recorded gains of $2.7</w:t>
      </w:r>
    </w:p>
    <w:p>
      <w:pPr>
        <w:spacing w:after="0" w:line="219" w:lineRule="auto"/>
        <w:rPr>
          <w:sz w:val="20"/>
          <w:szCs w:val="20"/>
          <w:color w:val="auto"/>
        </w:rPr>
      </w:pPr>
      <w:r>
        <w:rPr>
          <w:rFonts w:ascii="Arial" w:cs="Arial" w:eastAsia="Arial" w:hAnsi="Arial"/>
          <w:sz w:val="18"/>
          <w:szCs w:val="18"/>
          <w:color w:val="auto"/>
        </w:rPr>
        <w:t>million to those equity securities based on observable transactions. During the three months ended March 31, 2020, the Company recorded</w:t>
      </w:r>
    </w:p>
    <w:p>
      <w:pPr>
        <w:spacing w:after="0"/>
        <w:rPr>
          <w:sz w:val="20"/>
          <w:szCs w:val="20"/>
          <w:color w:val="auto"/>
        </w:rPr>
      </w:pPr>
      <w:r>
        <w:rPr>
          <w:rFonts w:ascii="Arial" w:cs="Arial" w:eastAsia="Arial" w:hAnsi="Arial"/>
          <w:sz w:val="18"/>
          <w:szCs w:val="18"/>
          <w:color w:val="auto"/>
        </w:rPr>
        <w:t>impairment losses of $2.6 million to those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148"/>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304"/>
              <w:spacing w:after="0" w:line="14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1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2020</w:t>
            </w:r>
          </w:p>
        </w:tc>
      </w:tr>
      <w:tr>
        <w:trPr>
          <w:trHeight w:val="214"/>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$21,126 and $21,494</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495,443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519,577</w:t>
            </w:r>
          </w:p>
        </w:tc>
      </w:tr>
      <w:tr>
        <w:trPr>
          <w:trHeight w:val="238"/>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19,777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17,579</w:t>
            </w: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515,220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537,156</w:t>
            </w:r>
          </w:p>
        </w:tc>
      </w:tr>
      <w:tr>
        <w:trPr>
          <w:trHeight w:val="27"/>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Credit loss expense was $1.1 million and $2.4 million for the three months ended March 31, 2021 and 2020, respectively.</w:t>
      </w:r>
    </w:p>
    <w:p>
      <w:pPr>
        <w:spacing w:after="0" w:line="122" w:lineRule="exact"/>
        <w:rPr>
          <w:sz w:val="20"/>
          <w:szCs w:val="20"/>
          <w:color w:val="auto"/>
        </w:rPr>
      </w:pPr>
    </w:p>
    <w:p>
      <w:pPr>
        <w:ind w:right="3940"/>
        <w:spacing w:after="0" w:line="443"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148"/>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14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2020</w:t>
            </w:r>
          </w:p>
        </w:tc>
      </w:tr>
      <w:tr>
        <w:trPr>
          <w:trHeight w:val="214"/>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46,177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45,382</w:t>
            </w:r>
          </w:p>
        </w:tc>
      </w:tr>
      <w:tr>
        <w:trPr>
          <w:trHeight w:val="225"/>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14,534</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10,402</w:t>
            </w: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71,254</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64,061</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171</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777</w:t>
            </w: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132,136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120,622</w:t>
            </w:r>
          </w:p>
        </w:tc>
      </w:tr>
      <w:tr>
        <w:trPr>
          <w:trHeight w:val="27"/>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Company finances new and used vehicle inventory through a standardized floor plan facility (the “floor plan facility”) with Truist Bank. The vehicle floor plan facility bears interest at variable rates that are based on LIBOR plus 1.15% per annum. The weighted average interest rate for the floor plan facility was 1.2% and 2.6% for the three months ended March 31, 2021 and 2020, respectively. As of March 31, 2021, the aggregate capacity under the floor plan facility was $50 million, of which $28.4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March 31, 2021.</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 Operations when the associated inventory is sold. For the three months ended March 31, 2021 and 2020, the Company recognized a reduction in cost of goods sold of $0.6 million and $0.4 million, respectively, related to manufacturer floor plan assistance.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goodwill, indefinite-lived intangibles and other long-lived assets of the Clyde’s Restaurant Group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and the automotive dealerships are included in other businesses. Additional COVID-19 disruptions could result in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ind w:right="420"/>
        <w:spacing w:after="0" w:line="258" w:lineRule="auto"/>
        <w:rPr>
          <w:sz w:val="20"/>
          <w:szCs w:val="20"/>
          <w:color w:val="auto"/>
        </w:rPr>
      </w:pPr>
      <w:r>
        <w:rPr>
          <w:rFonts w:ascii="Arial" w:cs="Arial" w:eastAsia="Arial" w:hAnsi="Arial"/>
          <w:sz w:val="17"/>
          <w:szCs w:val="17"/>
          <w:color w:val="auto"/>
        </w:rPr>
        <w:t>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20"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Amortization of intangible assets for the three months ended March 31, 2021 and 2020, was $13.9 million and $14.2 million, respectively. Amortization of intangible assets is estimated to be approximately $38 million for the remainder of 2021, $46 million in 2022, $38 million in 2023, $27 million in 2024, $21 million in 2025 and $20 million thereafter. The changes in the carrying amount of goodwill, by segment,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104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1,183,379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130,472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1,838,080</w:t>
            </w:r>
          </w:p>
        </w:tc>
        <w:tc>
          <w:tcPr>
            <w:tcW w:w="0" w:type="dxa"/>
            <w:vAlign w:val="bottom"/>
          </w:tcPr>
          <w:p>
            <w:pPr>
              <w:spacing w:after="0"/>
              <w:rPr>
                <w:sz w:val="1"/>
                <w:szCs w:val="1"/>
                <w:color w:val="auto"/>
              </w:rPr>
            </w:pPr>
          </w:p>
        </w:tc>
      </w:tr>
      <w:tr>
        <w:trPr>
          <w:trHeight w:val="242"/>
        </w:trPr>
        <w:tc>
          <w:tcPr>
            <w:tcW w:w="36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(14,563)</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(353,330)</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852,228</w:t>
            </w:r>
          </w:p>
        </w:tc>
        <w:tc>
          <w:tcPr>
            <w:tcW w:w="20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227,377</w:t>
            </w:r>
          </w:p>
        </w:tc>
        <w:tc>
          <w:tcPr>
            <w:tcW w:w="18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115,909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1,484,750</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387</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1,183,766</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130,472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1,838,467</w:t>
            </w:r>
          </w:p>
        </w:tc>
        <w:tc>
          <w:tcPr>
            <w:tcW w:w="0" w:type="dxa"/>
            <w:vAlign w:val="bottom"/>
          </w:tcPr>
          <w:p>
            <w:pPr>
              <w:spacing w:after="0"/>
              <w:rPr>
                <w:sz w:val="1"/>
                <w:szCs w:val="1"/>
                <w:color w:val="auto"/>
              </w:rPr>
            </w:pPr>
          </w:p>
        </w:tc>
      </w:tr>
      <w:tr>
        <w:trPr>
          <w:trHeight w:val="242"/>
        </w:trPr>
        <w:tc>
          <w:tcPr>
            <w:tcW w:w="360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(7,616)</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(14,563)</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(353,330)</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852,615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227,377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115,909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1,485,137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28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634,749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374,066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1,183,379</w:t>
            </w:r>
          </w:p>
        </w:tc>
        <w:tc>
          <w:tcPr>
            <w:tcW w:w="0" w:type="dxa"/>
            <w:vAlign w:val="bottom"/>
          </w:tcPr>
          <w:p>
            <w:pPr>
              <w:spacing w:after="0"/>
              <w:rPr>
                <w:sz w:val="1"/>
                <w:szCs w:val="1"/>
                <w:color w:val="auto"/>
              </w:rPr>
            </w:pPr>
          </w:p>
        </w:tc>
      </w:tr>
      <w:tr>
        <w:trPr>
          <w:trHeight w:val="242"/>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634,749</w:t>
            </w:r>
          </w:p>
        </w:tc>
        <w:tc>
          <w:tcPr>
            <w:tcW w:w="2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154,239</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852,228</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361</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26</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635,110</w:t>
            </w:r>
          </w:p>
        </w:tc>
        <w:tc>
          <w:tcPr>
            <w:tcW w:w="2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374,092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1,183,766</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635,110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154,265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852,615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3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24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122"/>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293,481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185,781</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107,700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294,077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178,075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116,002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109,485</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57,667</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51,818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109,809</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54,766</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55,043</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7,322</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10,078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6,888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10,512</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34,747</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21,572</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13,175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34,864</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19,924</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963</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37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937</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24,800</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17,567</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7,233</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24,800</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16,714</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8,086</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480,913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290,872</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190,041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481,950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277,304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204,646</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88,042</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87,429</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21,858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121,050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120,437</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As of</w:t>
            </w:r>
          </w:p>
        </w:tc>
      </w:tr>
      <w:tr>
        <w:trPr>
          <w:trHeight w:val="189"/>
        </w:trPr>
        <w:tc>
          <w:tcPr>
            <w:tcW w:w="8340" w:type="dxa"/>
            <w:vAlign w:val="bottom"/>
          </w:tcPr>
          <w:p>
            <w:pPr>
              <w:spacing w:after="0"/>
              <w:rPr>
                <w:sz w:val="16"/>
                <w:szCs w:val="16"/>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March 31,</w:t>
            </w:r>
          </w:p>
        </w:tc>
        <w:tc>
          <w:tcPr>
            <w:tcW w:w="1740" w:type="dxa"/>
            <w:vAlign w:val="bottom"/>
          </w:tcPr>
          <w:p>
            <w:pPr>
              <w:jc w:val="center"/>
              <w:ind w:left="288"/>
              <w:spacing w:after="0"/>
              <w:rPr>
                <w:sz w:val="20"/>
                <w:szCs w:val="20"/>
                <w:color w:val="auto"/>
              </w:rPr>
            </w:pPr>
            <w:r>
              <w:rPr>
                <w:rFonts w:ascii="Arial" w:cs="Arial" w:eastAsia="Arial" w:hAnsi="Arial"/>
                <w:sz w:val="14"/>
                <w:szCs w:val="14"/>
                <w:color w:val="auto"/>
              </w:rPr>
              <w:t>December 31,</w:t>
            </w:r>
          </w:p>
        </w:tc>
      </w:tr>
      <w:tr>
        <w:trPr>
          <w:trHeight w:val="190"/>
        </w:trPr>
        <w:tc>
          <w:tcPr>
            <w:tcW w:w="8340" w:type="dxa"/>
            <w:vAlign w:val="bottom"/>
          </w:tcPr>
          <w:p>
            <w:pPr>
              <w:spacing w:after="0"/>
              <w:rPr>
                <w:sz w:val="20"/>
                <w:szCs w:val="20"/>
                <w:color w:val="auto"/>
              </w:rPr>
            </w:pPr>
            <w:r>
              <w:rPr>
                <w:rFonts w:ascii="Arial" w:cs="Arial" w:eastAsia="Arial" w:hAnsi="Arial"/>
                <w:sz w:val="14"/>
                <w:szCs w:val="14"/>
                <w:color w:val="auto"/>
              </w:rPr>
              <w:t>(in thousands)</w:t>
            </w: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Revolving credit facility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note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term loan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line of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indebtedness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Debt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current portion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396,289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396,112</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75,621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74,686</w:t>
            </w:r>
          </w:p>
        </w:tc>
      </w:tr>
      <w:tr>
        <w:trPr>
          <w:trHeight w:val="230"/>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24,500</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25,250</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10,411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10,692</w:t>
            </w:r>
          </w:p>
        </w:tc>
      </w:tr>
      <w:tr>
        <w:trPr>
          <w:trHeight w:val="230"/>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73</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2,295</w:t>
            </w: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3,435</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510,329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512,555</w:t>
            </w:r>
          </w:p>
        </w:tc>
      </w:tr>
      <w:tr>
        <w:trPr>
          <w:trHeight w:val="238"/>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(4,238)</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506,091</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506,103</w:t>
            </w:r>
          </w:p>
        </w:tc>
      </w:tr>
      <w:tr>
        <w:trPr>
          <w:trHeight w:val="27"/>
        </w:trPr>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ectPr>
          <w:pgSz w:w="11900" w:h="16838" w:orient="portrait"/>
          <w:cols w:equalWidth="0" w:num="2">
            <w:col w:w="7640" w:space="720"/>
            <w:col w:w="2880"/>
          </w:cols>
          <w:pgMar w:left="320" w:top="1035" w:right="339" w:bottom="1440" w:gutter="0" w:footer="0" w:header="0"/>
          <w:type w:val="continuous"/>
        </w:sect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$3.7 million and $3.9 million of unamortized debt issuance costs as of March 31, 2021 and December 31, 2020, respectively.</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outstanding balance on the Company’s revolving credit facility was £55 million as of March 31, 2021 with interest payable at the 3 month GBP LIBOR plus 1.50%. The Company’s other indebtedness at March 31, 2021 and December 31, 2020 is at interest rates of 0% to 16% and matures between 2023 and 2030.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financial covenants as of March 31, 2021.</w:t>
      </w:r>
    </w:p>
    <w:p>
      <w:pPr>
        <w:spacing w:after="0" w:line="144" w:lineRule="exact"/>
        <w:rPr>
          <w:sz w:val="20"/>
          <w:szCs w:val="20"/>
          <w:color w:val="auto"/>
        </w:rPr>
      </w:pPr>
    </w:p>
    <w:p>
      <w:pPr>
        <w:jc w:val="both"/>
        <w:ind w:right="480"/>
        <w:spacing w:after="0" w:line="245" w:lineRule="auto"/>
        <w:rPr>
          <w:sz w:val="20"/>
          <w:szCs w:val="20"/>
          <w:color w:val="auto"/>
        </w:rPr>
      </w:pPr>
      <w:r>
        <w:rPr>
          <w:rFonts w:ascii="Arial" w:cs="Arial" w:eastAsia="Arial" w:hAnsi="Arial"/>
          <w:sz w:val="17"/>
          <w:szCs w:val="17"/>
          <w:color w:val="auto"/>
        </w:rPr>
        <w:t>During the three months ended March 31, 2021 and 2020, the Company had average borrowings outstanding of approximately $512.1 million and $511.4 million, respectively, at average annual interest rates of approximately 5.0% and 5.1%, respectively. During the three months ended March 31, 2021 and 2020, the Company incurred net interest expense of $7.6 million and $6.5 million, respectively.</w:t>
      </w:r>
    </w:p>
    <w:p>
      <w:pPr>
        <w:spacing w:after="0" w:line="13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During the three months ended March 31, 2021, the Company recorded interest expense of $ 1.1 million to adjust the fair value of the mandatorily redeemable noncontrolling interest. The fair value of the mandatorily redeemable noncontrolling interest was based on the fair value of the underlying subsidiaries owned by GHC One,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March 31, 2021 and December 31, 2020, the fair value of the Company’s 5.75% unsecured notes, based on quoted market prices (Level 2 fair value assessment), totaled $ 418.4 million and $421.7 million, respectively, compared with the carrying amount of $396.3 million and $396.1 million, respectively. The carrying value of the Company’s other unsecured debt at March 31, 2021 and December 31, 2020 approximates fair value.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As of March 31, 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80" w:type="dxa"/>
            <w:vAlign w:val="bottom"/>
          </w:tcPr>
          <w:p>
            <w:pPr>
              <w:spacing w:after="0" w:line="240"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175,200</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175,200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700,352</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700,352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10,121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5,107</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710,473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180,307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890,780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vMerge w:val="continue"/>
          </w:tcPr>
          <w:p>
            <w:pPr>
              <w:spacing w:after="0"/>
              <w:rPr>
                <w:sz w:val="17"/>
                <w:szCs w:val="17"/>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29,442</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29,442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(4)</w:t>
            </w:r>
          </w:p>
        </w:tc>
        <w:tc>
          <w:tcPr>
            <w:tcW w:w="2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35,822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35,822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1,720</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10,272</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31,162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46,094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77,256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268,841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268,841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573,102</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573,102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10,397</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4,083</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583,499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272,924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856,423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(4)</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31,178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37,174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2,342</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9,240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33,779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46,414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80,193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4"/>
                <w:szCs w:val="14"/>
                <w:color w:val="auto"/>
              </w:rPr>
              <w:t>____________</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64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64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and Canadian corporations that are actively traded on U.S. and Canadian stock exchanges. Price quotes for these shares are readily available.</w:t>
      </w:r>
    </w:p>
    <w:p>
      <w:pPr>
        <w:spacing w:after="0" w:line="30" w:lineRule="exact"/>
        <w:rPr>
          <w:rFonts w:ascii="Arial" w:cs="Arial" w:eastAsia="Arial" w:hAnsi="Arial"/>
          <w:sz w:val="14"/>
          <w:szCs w:val="14"/>
          <w:color w:val="auto"/>
        </w:rPr>
      </w:pPr>
    </w:p>
    <w:p>
      <w:pPr>
        <w:ind w:left="480" w:right="14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80" w:right="360" w:hanging="454"/>
        <w:spacing w:after="0" w:line="228"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31" w:lineRule="exact"/>
        <w:rPr>
          <w:rFonts w:ascii="Arial" w:cs="Arial" w:eastAsia="Arial" w:hAnsi="Arial"/>
          <w:sz w:val="14"/>
          <w:szCs w:val="14"/>
          <w:color w:val="auto"/>
        </w:rPr>
      </w:pPr>
    </w:p>
    <w:p>
      <w:pPr>
        <w:ind w:left="480" w:right="2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a Monte Carlo simulation as of the acquisition dates, which included using estimated financial projections for the acquired businesses.</w:t>
      </w:r>
    </w:p>
    <w:p>
      <w:pPr>
        <w:spacing w:after="0" w:line="30" w:lineRule="exact"/>
        <w:rPr>
          <w:rFonts w:ascii="Arial" w:cs="Arial" w:eastAsia="Arial" w:hAnsi="Arial"/>
          <w:sz w:val="14"/>
          <w:szCs w:val="14"/>
          <w:color w:val="auto"/>
        </w:rPr>
      </w:pPr>
    </w:p>
    <w:p>
      <w:pPr>
        <w:ind w:left="480" w:right="20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80" w:right="520" w:hanging="454"/>
        <w:spacing w:after="0" w:line="23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after taking into account any debt and other noncontrolling interests of its subsidiary investments. The fair value of the owned subsidiaries is determined by reference to either a discounted cash flow or EBITDA multiple, which approximates fair value.</w:t>
      </w:r>
    </w:p>
    <w:p>
      <w:pPr>
        <w:spacing w:after="0" w:line="30" w:lineRule="exact"/>
        <w:rPr>
          <w:rFonts w:ascii="Arial" w:cs="Arial" w:eastAsia="Arial" w:hAnsi="Arial"/>
          <w:sz w:val="14"/>
          <w:szCs w:val="14"/>
          <w:color w:val="auto"/>
        </w:rPr>
      </w:pPr>
    </w:p>
    <w:p>
      <w:pPr>
        <w:ind w:left="480" w:right="20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4" w:name="page15"/>
    <w:bookmarkEnd w:id="14"/>
    <w:p>
      <w:pPr>
        <w:ind w:right="440"/>
        <w:spacing w:after="0" w:line="235"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right"/>
              <w:ind w:right="241"/>
              <w:spacing w:after="0"/>
              <w:rPr>
                <w:sz w:val="20"/>
                <w:szCs w:val="20"/>
                <w:color w:val="auto"/>
              </w:rPr>
            </w:pPr>
            <w:r>
              <w:rPr>
                <w:rFonts w:ascii="Arial" w:cs="Arial" w:eastAsia="Arial" w:hAnsi="Arial"/>
                <w:sz w:val="14"/>
                <w:szCs w:val="14"/>
                <w:b w:val="1"/>
                <w:bCs w:val="1"/>
                <w:color w:val="auto"/>
              </w:rPr>
              <w:t>Mandatorily redeemable</w:t>
            </w:r>
          </w:p>
        </w:tc>
      </w:tr>
      <w:tr>
        <w:trPr>
          <w:trHeight w:val="196"/>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noncontrolling interest</w:t>
            </w:r>
          </w:p>
        </w:tc>
      </w:tr>
      <w:tr>
        <w:trPr>
          <w:trHeight w:val="210"/>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37,174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9,240</w:t>
            </w: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Changes in fair value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1,051</w:t>
            </w: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Accretion of value included in net income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606</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(1,849)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242"/>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35,822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10,272</w:t>
            </w: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19" w:lineRule="auto"/>
        <w:rPr>
          <w:sz w:val="20"/>
          <w:szCs w:val="20"/>
          <w:color w:val="auto"/>
        </w:rPr>
      </w:pPr>
      <w:r>
        <w:rPr>
          <w:rFonts w:ascii="Arial" w:cs="Arial" w:eastAsia="Arial" w:hAnsi="Arial"/>
          <w:sz w:val="18"/>
          <w:szCs w:val="18"/>
          <w:color w:val="auto"/>
        </w:rPr>
        <w:t>During the three months ended March 31, 2021, the Company recorded other long-lived asset impairment charges of $1.0 million. During the three months ended March 31, 2020, the Company recorded goodwill and indefinite-lived intangible asset impairment charges of</w:t>
      </w:r>
    </w:p>
    <w:p>
      <w:pPr>
        <w:ind w:right="100"/>
        <w:spacing w:after="0" w:line="225" w:lineRule="auto"/>
        <w:rPr>
          <w:sz w:val="20"/>
          <w:szCs w:val="20"/>
          <w:color w:val="auto"/>
        </w:rPr>
      </w:pPr>
      <w:r>
        <w:rPr>
          <w:rFonts w:ascii="Arial" w:cs="Arial" w:eastAsia="Arial" w:hAnsi="Arial"/>
          <w:sz w:val="18"/>
          <w:szCs w:val="18"/>
          <w:color w:val="auto"/>
        </w:rPr>
        <w:t>$16.4 million.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indefinite-lived intangible assets, and other long-lived assets. A market value approach was also utilized to supplement the discounted cash flow model. The Company made estimates and assumptions regarding future cash flows, royalty rates, discount rates, market values, and long-term growth rates.</w:t>
      </w:r>
    </w:p>
    <w:p>
      <w:pPr>
        <w:spacing w:after="0" w:line="137" w:lineRule="exact"/>
        <w:rPr>
          <w:sz w:val="20"/>
          <w:szCs w:val="20"/>
          <w:color w:val="auto"/>
        </w:rPr>
      </w:pPr>
    </w:p>
    <w:p>
      <w:pPr>
        <w:jc w:val="both"/>
        <w:ind w:right="200"/>
        <w:spacing w:after="0" w:line="227" w:lineRule="auto"/>
        <w:rPr>
          <w:sz w:val="20"/>
          <w:szCs w:val="20"/>
          <w:color w:val="auto"/>
        </w:rPr>
      </w:pPr>
      <w:r>
        <w:rPr>
          <w:rFonts w:ascii="Arial" w:cs="Arial" w:eastAsia="Arial" w:hAnsi="Arial"/>
          <w:sz w:val="18"/>
          <w:szCs w:val="18"/>
          <w:color w:val="auto"/>
        </w:rPr>
        <w:t>During the three months ended March 31, 2021, the Company recorded gains of $2.7 million to equity securities that are accounted for as cost method investments based on observable transactions for identical or similar investments of the same issuer. During the three months ended March 31, 2020, the Company recorded impairment losses of $2.6 million to equity securities that are accounted for as cost method investments.</w:t>
      </w:r>
    </w:p>
    <w:p>
      <w:pPr>
        <w:spacing w:after="0" w:line="135"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During the three months ended March 31, 2020, the Company recorded impairment charges of $3.6 million on two of its investments in affiliates.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1, 2015 (the Distribution Date), the Company completed the spin-off of Cable ONE as an independent, publicly traded company. The transaction was structured as a tax-free spin-off of Cable ONE to the stockholders of the Company. Since July 1, 2015, Cable One has been an independent public company trading on the New York Stock Exchange under the symbol “CABO”. In connection with the Coronavirus Aid, Relief and Economic Security (CARES) Act, Cable One has the ability to carryback its 2019 taxable losses to the tax period from January 1, 2015 to June 30, 2015, the period in which Cable One was included in the Company’s 2015 tax return. As a result, the Company amended its 2015 tax returns in order to accommodate Cable One's request to carryback its 2019 taxable losses. The Company expects that this action will have no impact on the results or the financial position of the Company. To reflect the expected refund due to Cable One, the Company has included an estimated $15.9 million current income tax receivable and a corresponding current liability to Cable One on its balance sheet as of March 31, 2021.</w:t>
      </w:r>
    </w:p>
    <w:p>
      <w:pPr>
        <w:spacing w:after="0" w:line="140"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Company's effective tax rate for the first three months of 2021 was 26.9%. The Company’s effective tax rate for the first three months of 2020 was 57.3%, which was generally based on the Company’s estimated effective tax rate for fiscal year 2020. The Company’s estimated tax rate for 2020 included the adverse impacts of the COVID-19 pandemic and losses on marketable equity securities on the Company’s estimated pre-tax income for 2020, resulting in a significantly higher overall estimated tax rate, as permanent differences and increased valuation allowances have a larger impact on the overall estimated effective tax rate.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6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 generated 77% and 74% of its revenue from U.S. domestic sales for the three months ended March 31, 2021 and March 31, 2020, respectively. The remaining 23% and 26% of revenue was generated from non-U.S. sales for the three months ended March 31, 2021 and March 31, 2020, respectively.</w:t>
      </w:r>
    </w:p>
    <w:p>
      <w:pPr>
        <w:spacing w:after="0" w:line="137" w:lineRule="exact"/>
        <w:rPr>
          <w:sz w:val="20"/>
          <w:szCs w:val="20"/>
          <w:color w:val="auto"/>
        </w:rPr>
      </w:pPr>
    </w:p>
    <w:p>
      <w:pPr>
        <w:jc w:val="both"/>
        <w:ind w:right="320"/>
        <w:spacing w:after="0" w:line="245" w:lineRule="auto"/>
        <w:rPr>
          <w:sz w:val="20"/>
          <w:szCs w:val="20"/>
          <w:color w:val="auto"/>
        </w:rPr>
      </w:pPr>
      <w:r>
        <w:rPr>
          <w:rFonts w:ascii="Arial" w:cs="Arial" w:eastAsia="Arial" w:hAnsi="Arial"/>
          <w:sz w:val="17"/>
          <w:szCs w:val="17"/>
          <w:color w:val="auto"/>
        </w:rPr>
        <w:t>For the three months ended March 31, 2021, the Company recognized 70% of its revenue over time as control of the services and goods transferred to the customer, and the remaining 30% at a point in time, when the customer obtained control of the promised goods. For the three months ended March 31, 2020, the Company recognized 73% of its revenue over time, and the remaining 27% at a point in time.</w:t>
      </w:r>
    </w:p>
    <w:p>
      <w:pPr>
        <w:spacing w:after="0" w:line="108"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March 31, 2021, the Company recognized a contract asset of $10.0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$7.8 million related to this performance obligation over the next twelve months. As of December 31, 2020, the contract asset was $8.7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5" w:name="page16"/>
    <w:bookmarkEnd w:id="15"/>
    <w:p>
      <w:pPr>
        <w:ind w:right="60"/>
        <w:spacing w:after="0" w:line="256"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6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180" w:type="dxa"/>
            <w:vAlign w:val="bottom"/>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r>
      <w:tr>
        <w:trPr>
          <w:trHeight w:val="19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Change</w:t>
            </w:r>
          </w:p>
        </w:tc>
      </w:tr>
      <w:tr>
        <w:trPr>
          <w:trHeight w:val="214"/>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6"/>
              <w:spacing w:after="0"/>
              <w:rPr>
                <w:sz w:val="20"/>
                <w:szCs w:val="20"/>
                <w:color w:val="auto"/>
              </w:rPr>
            </w:pPr>
            <w:r>
              <w:rPr>
                <w:rFonts w:ascii="Arial" w:cs="Arial" w:eastAsia="Arial" w:hAnsi="Arial"/>
                <w:sz w:val="16"/>
                <w:szCs w:val="16"/>
                <w:b w:val="1"/>
                <w:bCs w:val="1"/>
                <w:color w:val="auto"/>
              </w:rPr>
              <w:t>336,440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343,322</w:t>
            </w:r>
          </w:p>
        </w:tc>
        <w:tc>
          <w:tcPr>
            <w:tcW w:w="1320" w:type="dxa"/>
            <w:vAlign w:val="bottom"/>
          </w:tcPr>
          <w:p>
            <w:pPr>
              <w:jc w:val="right"/>
              <w:ind w:right="485"/>
              <w:spacing w:after="0"/>
              <w:rPr>
                <w:sz w:val="20"/>
                <w:szCs w:val="20"/>
                <w:color w:val="auto"/>
              </w:rPr>
            </w:pPr>
            <w:r>
              <w:rPr>
                <w:rFonts w:ascii="Arial" w:cs="Arial" w:eastAsia="Arial" w:hAnsi="Arial"/>
                <w:sz w:val="16"/>
                <w:szCs w:val="16"/>
                <w:color w:val="auto"/>
              </w:rPr>
              <w:t>(2)</w:t>
            </w:r>
          </w:p>
        </w:tc>
      </w:tr>
    </w:tbl>
    <w:p>
      <w:pPr>
        <w:spacing w:after="0" w:line="163"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 CARES Act as a result of COVID-19. The amount is included in the current and noncurrent deferred revenue balances on the Condensed Consolidated Balance Sheets as of March 31, 2021 and December 31, 2020. The Department of Health and Human Services will recoup this advance beginning 365 days after the payment was issued, and the deferred revenue will be reduced by a portion of the amount of revenue recognized for claims submitted for services provided after the recoupment period begins.</w:t>
      </w:r>
    </w:p>
    <w:p>
      <w:pPr>
        <w:spacing w:after="0" w:line="137" w:lineRule="exact"/>
        <w:rPr>
          <w:sz w:val="20"/>
          <w:szCs w:val="20"/>
          <w:color w:val="auto"/>
        </w:rPr>
      </w:pPr>
    </w:p>
    <w:p>
      <w:pPr>
        <w:jc w:val="both"/>
        <w:ind w:right="420"/>
        <w:spacing w:after="0" w:line="229" w:lineRule="auto"/>
        <w:rPr>
          <w:sz w:val="20"/>
          <w:szCs w:val="20"/>
          <w:color w:val="auto"/>
        </w:rPr>
      </w:pPr>
      <w:r>
        <w:rPr>
          <w:rFonts w:ascii="Arial" w:cs="Arial" w:eastAsia="Arial" w:hAnsi="Arial"/>
          <w:sz w:val="18"/>
          <w:szCs w:val="18"/>
          <w:color w:val="auto"/>
        </w:rPr>
        <w:t>The majority of the change in deferred revenue balance is related to the cyclical nature of services in the education segment. During the three months ended March 31, 2021, the Company recognized $145.1 million related to the Company’s deferred revenue balance as of December 31, 2020.</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March 31, 2021, the deferred revenue balance related to certain medical and nursing qualifications with an original contract length greater than twelve months at Kaplan Supplemental Education was $7.3 million. Kaplan Supplemental Education expects to recognize 64%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vMerge w:val="restart"/>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vMerge w:val="restart"/>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4"/>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24,363</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11,833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(13,298)</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22,803</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Other activity includes currency translation adjustments for the three months ended March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(LOSS) PER SHARE</w:t>
      </w:r>
    </w:p>
    <w:p>
      <w:pPr>
        <w:spacing w:after="0" w:line="16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6" w:name="page17"/>
    <w:bookmarkEnd w:id="16"/>
    <w:p>
      <w:pPr>
        <w:ind w:right="140"/>
        <w:spacing w:after="0" w:line="235" w:lineRule="auto"/>
        <w:rPr>
          <w:sz w:val="20"/>
          <w:szCs w:val="20"/>
          <w:color w:val="auto"/>
        </w:rPr>
      </w:pPr>
      <w:r>
        <w:rPr>
          <w:rFonts w:ascii="Arial" w:cs="Arial" w:eastAsia="Arial" w:hAnsi="Arial"/>
          <w:sz w:val="18"/>
          <w:szCs w:val="18"/>
          <w:color w:val="auto"/>
        </w:rPr>
        <w:t>The following reflects the Company’s net income (loss) and share data used in the basic and diluted earnings (loss) per share computations using the two-class method:</w:t>
      </w:r>
    </w:p>
    <w:p>
      <w:pPr>
        <w:spacing w:after="0" w:line="176"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6"/>
                <w:szCs w:val="16"/>
                <w:color w:val="auto"/>
              </w:rPr>
              <w:t>Numerator for basic earnings (loss) per share: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Net income (loss) attributable to Graham Holdings Company common stockholders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112,450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(33,245)</w:t>
            </w:r>
          </w:p>
        </w:tc>
        <w:tc>
          <w:tcPr>
            <w:tcW w:w="0" w:type="dxa"/>
            <w:vAlign w:val="bottom"/>
          </w:tcPr>
          <w:p>
            <w:pPr>
              <w:spacing w:after="0"/>
              <w:rPr>
                <w:sz w:val="1"/>
                <w:szCs w:val="1"/>
                <w:color w:val="auto"/>
              </w:rPr>
            </w:pPr>
          </w:p>
        </w:tc>
      </w:tr>
      <w:tr>
        <w:trPr>
          <w:trHeight w:val="242"/>
        </w:trPr>
        <w:tc>
          <w:tcPr>
            <w:tcW w:w="832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(15,106)</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(15,289)</w:t>
            </w:r>
          </w:p>
        </w:tc>
        <w:tc>
          <w:tcPr>
            <w:tcW w:w="0" w:type="dxa"/>
            <w:vAlign w:val="bottom"/>
          </w:tcPr>
          <w:p>
            <w:pPr>
              <w:spacing w:after="0"/>
              <w:rPr>
                <w:sz w:val="1"/>
                <w:szCs w:val="1"/>
                <w:color w:val="auto"/>
              </w:rPr>
            </w:pPr>
          </w:p>
        </w:tc>
      </w:tr>
      <w:tr>
        <w:trPr>
          <w:trHeight w:val="215"/>
        </w:trPr>
        <w:tc>
          <w:tcPr>
            <w:tcW w:w="8320" w:type="dxa"/>
            <w:vAlign w:val="bottom"/>
          </w:tcPr>
          <w:p>
            <w:pPr>
              <w:ind w:left="220"/>
              <w:spacing w:after="0"/>
              <w:rPr>
                <w:sz w:val="20"/>
                <w:szCs w:val="20"/>
                <w:color w:val="auto"/>
              </w:rPr>
            </w:pPr>
            <w:r>
              <w:rPr>
                <w:rFonts w:ascii="Arial" w:cs="Arial" w:eastAsia="Arial" w:hAnsi="Arial"/>
                <w:sz w:val="16"/>
                <w:szCs w:val="16"/>
                <w:color w:val="auto"/>
              </w:rPr>
              <w:t>Undistributed earnings (loss)</w:t>
            </w:r>
          </w:p>
        </w:tc>
        <w:tc>
          <w:tcPr>
            <w:tcW w:w="320" w:type="dxa"/>
            <w:vAlign w:val="bottom"/>
          </w:tcPr>
          <w:p>
            <w:pPr>
              <w:spacing w:after="0"/>
              <w:rPr>
                <w:sz w:val="18"/>
                <w:szCs w:val="18"/>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97,344</w:t>
            </w:r>
          </w:p>
        </w:tc>
        <w:tc>
          <w:tcPr>
            <w:tcW w:w="46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(48,534)</w:t>
            </w:r>
          </w:p>
        </w:tc>
        <w:tc>
          <w:tcPr>
            <w:tcW w:w="0" w:type="dxa"/>
            <w:vAlign w:val="bottom"/>
          </w:tcPr>
          <w:p>
            <w:pPr>
              <w:spacing w:after="0"/>
              <w:rPr>
                <w:sz w:val="1"/>
                <w:szCs w:val="1"/>
                <w:color w:val="auto"/>
              </w:rPr>
            </w:pPr>
          </w:p>
        </w:tc>
      </w:tr>
      <w:tr>
        <w:trPr>
          <w:trHeight w:val="244"/>
        </w:trPr>
        <w:tc>
          <w:tcPr>
            <w:tcW w:w="8320" w:type="dxa"/>
            <w:vAlign w:val="bottom"/>
          </w:tcPr>
          <w:p>
            <w:pPr>
              <w:ind w:left="22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99.33 %</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8"/>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96,693</w:t>
            </w:r>
          </w:p>
        </w:tc>
        <w:tc>
          <w:tcPr>
            <w:tcW w:w="46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(48,534)</w:t>
            </w:r>
          </w:p>
        </w:tc>
        <w:tc>
          <w:tcPr>
            <w:tcW w:w="0" w:type="dxa"/>
            <w:vAlign w:val="bottom"/>
          </w:tcPr>
          <w:p>
            <w:pPr>
              <w:spacing w:after="0"/>
              <w:rPr>
                <w:sz w:val="1"/>
                <w:szCs w:val="1"/>
                <w:color w:val="auto"/>
              </w:rPr>
            </w:pPr>
          </w:p>
        </w:tc>
      </w:tr>
      <w:tr>
        <w:trPr>
          <w:trHeight w:val="238"/>
        </w:trPr>
        <w:tc>
          <w:tcPr>
            <w:tcW w:w="832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15,005</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15,205</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Numerator for basic earnings (loss)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111,698</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(33,329)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6"/>
                <w:szCs w:val="16"/>
                <w:color w:val="auto"/>
              </w:rPr>
              <w:t>Numerator for diluted earnings (loss)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111,699</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(33,329)</w:t>
            </w:r>
          </w:p>
        </w:tc>
        <w:tc>
          <w:tcPr>
            <w:tcW w:w="0" w:type="dxa"/>
            <w:vAlign w:val="bottom"/>
          </w:tcPr>
          <w:p>
            <w:pPr>
              <w:spacing w:after="0"/>
              <w:rPr>
                <w:sz w:val="1"/>
                <w:szCs w:val="1"/>
                <w:color w:val="auto"/>
              </w:rPr>
            </w:pPr>
          </w:p>
        </w:tc>
      </w:tr>
      <w:tr>
        <w:trPr>
          <w:trHeight w:val="21"/>
        </w:trPr>
        <w:tc>
          <w:tcPr>
            <w:tcW w:w="832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6"/>
                <w:szCs w:val="16"/>
                <w:color w:val="auto"/>
              </w:rPr>
              <w:t>Denominator for basic earnings (loss) per share: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19"/>
                <w:szCs w:val="19"/>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4,967</w:t>
            </w:r>
          </w:p>
        </w:tc>
        <w:tc>
          <w:tcPr>
            <w:tcW w:w="460" w:type="dxa"/>
            <w:vAlign w:val="bottom"/>
          </w:tcPr>
          <w:p>
            <w:pPr>
              <w:spacing w:after="0"/>
              <w:rPr>
                <w:sz w:val="19"/>
                <w:szCs w:val="19"/>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r>
        <w:trPr>
          <w:trHeight w:val="242"/>
        </w:trPr>
        <w:tc>
          <w:tcPr>
            <w:tcW w:w="832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10</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6"/>
                <w:szCs w:val="16"/>
                <w:color w:val="auto"/>
              </w:rPr>
              <w:t>Denominator for diluted earnings (loss) per share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4,977</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320" w:type="dxa"/>
            <w:vAlign w:val="bottom"/>
            <w:vMerge w:val="continue"/>
          </w:tcPr>
          <w:p>
            <w:pPr>
              <w:spacing w:after="0"/>
              <w:rPr>
                <w:sz w:val="17"/>
                <w:szCs w:val="17"/>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22.49</w:t>
            </w:r>
          </w:p>
        </w:tc>
        <w:tc>
          <w:tcPr>
            <w:tcW w:w="46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54"/>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Basic earnings (loss) per share</w:t>
            </w:r>
          </w:p>
        </w:tc>
        <w:tc>
          <w:tcPr>
            <w:tcW w:w="3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Diluted earnings (loss)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22.44</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_______</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00" w:firstLine="8"/>
        <w:spacing w:after="0" w:line="239" w:lineRule="auto"/>
        <w:tabs>
          <w:tab w:leader="none" w:pos="216"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Percent of undistributed losses allocated to common stockholders was 100% in the first three months of 2020 as participating securities are not contractually obligated to share in losses.</w:t>
      </w:r>
    </w:p>
    <w:p>
      <w:pPr>
        <w:spacing w:after="0" w:line="133"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76"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tcBorders>
              <w:bottom w:val="single" w:sz="8" w:color="auto"/>
            </w:tcBorders>
          </w:tcPr>
          <w:p>
            <w:pPr>
              <w:jc w:val="right"/>
              <w:ind w:right="884"/>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2020</w:t>
            </w:r>
          </w:p>
        </w:tc>
      </w:tr>
      <w:tr>
        <w:trPr>
          <w:trHeight w:val="214"/>
        </w:trPr>
        <w:tc>
          <w:tcPr>
            <w:tcW w:w="860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740" w:type="dxa"/>
            <w:vAlign w:val="bottom"/>
          </w:tcPr>
          <w:p>
            <w:pPr>
              <w:jc w:val="right"/>
              <w:ind w:right="464"/>
              <w:spacing w:after="0"/>
              <w:rPr>
                <w:sz w:val="20"/>
                <w:szCs w:val="20"/>
                <w:color w:val="auto"/>
              </w:rPr>
            </w:pPr>
            <w:r>
              <w:rPr>
                <w:rFonts w:ascii="Arial" w:cs="Arial" w:eastAsia="Arial" w:hAnsi="Arial"/>
                <w:sz w:val="16"/>
                <w:szCs w:val="16"/>
                <w:b w:val="1"/>
                <w:bCs w:val="1"/>
                <w:color w:val="auto"/>
              </w:rPr>
              <w:t>9</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12</w:t>
            </w:r>
          </w:p>
        </w:tc>
      </w:tr>
      <w:tr>
        <w:trPr>
          <w:trHeight w:val="225"/>
        </w:trPr>
        <w:tc>
          <w:tcPr>
            <w:tcW w:w="8600" w:type="dxa"/>
            <w:vAlign w:val="bottom"/>
          </w:tcPr>
          <w:p>
            <w:pPr>
              <w:ind w:left="140"/>
              <w:spacing w:after="0"/>
              <w:rPr>
                <w:sz w:val="20"/>
                <w:szCs w:val="20"/>
                <w:color w:val="auto"/>
              </w:rPr>
            </w:pPr>
            <w:r>
              <w:rPr>
                <w:rFonts w:ascii="Arial" w:cs="Arial" w:eastAsia="Arial" w:hAnsi="Arial"/>
                <w:sz w:val="16"/>
                <w:szCs w:val="16"/>
                <w:color w:val="auto"/>
              </w:rPr>
              <w:t>Weighted average stock options</w:t>
            </w:r>
          </w:p>
        </w:tc>
        <w:tc>
          <w:tcPr>
            <w:tcW w:w="1740" w:type="dxa"/>
            <w:vAlign w:val="bottom"/>
          </w:tcPr>
          <w:p>
            <w:pPr>
              <w:jc w:val="right"/>
              <w:ind w:right="464"/>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27</w:t>
            </w:r>
          </w:p>
        </w:tc>
      </w:tr>
    </w:tbl>
    <w:p>
      <w:pPr>
        <w:spacing w:after="0" w:line="167"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The diluted earnings (loss) per share amounts for the three months ended March 31, 2021 and March 31, 2020 exclude the effects of 104,000 stock options outstanding, as their inclusion would have been antidilutive due to a market condition.</w:t>
      </w:r>
    </w:p>
    <w:p>
      <w:pPr>
        <w:spacing w:after="0" w:line="13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the three months ended March 31, 2021 and March 31, 2020, the Company declared regular dividends totaling $3.02 and $2.90 per common share,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0"/>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5,602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5,783</w:t>
            </w:r>
          </w:p>
        </w:tc>
      </w:tr>
      <w:tr>
        <w:trPr>
          <w:trHeight w:val="225"/>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6,654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8,169</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(34,576)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(28,444)</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711</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243"/>
        </w:trPr>
        <w:tc>
          <w:tcPr>
            <w:tcW w:w="846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(2,892)</w:t>
            </w: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(24,501)</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(13,784)</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loss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Cost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76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17"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26035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spacing w:after="0"/>
        <w:tabs>
          <w:tab w:leader="none" w:pos="960" w:val="left"/>
          <w:tab w:leader="none" w:pos="1420" w:val="left"/>
          <w:tab w:leader="none" w:pos="24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255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238</w:t>
      </w:r>
    </w:p>
    <w:p>
      <w:pPr>
        <w:spacing w:after="0" w:line="66" w:lineRule="exact"/>
        <w:rPr>
          <w:sz w:val="20"/>
          <w:szCs w:val="20"/>
          <w:color w:val="auto"/>
        </w:rPr>
      </w:pPr>
    </w:p>
    <w:p>
      <w:pPr>
        <w:ind w:left="2420" w:hanging="1447"/>
        <w:spacing w:after="0"/>
        <w:tabs>
          <w:tab w:leader="none" w:pos="242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919</w:t>
      </w:r>
    </w:p>
    <w:p>
      <w:pPr>
        <w:spacing w:after="0" w:line="57" w:lineRule="exact"/>
        <w:rPr>
          <w:sz w:val="20"/>
          <w:szCs w:val="20"/>
          <w:color w:val="auto"/>
        </w:rPr>
      </w:pPr>
    </w:p>
    <w:p>
      <w:pPr>
        <w:ind w:left="2500" w:hanging="1437"/>
        <w:spacing w:after="0"/>
        <w:tabs>
          <w:tab w:leader="none" w:pos="250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83</w:t>
      </w:r>
    </w:p>
    <w:p>
      <w:pPr>
        <w:spacing w:after="0" w:line="25" w:lineRule="exact"/>
        <w:rPr>
          <w:rFonts w:ascii="Arial" w:cs="Arial" w:eastAsia="Arial" w:hAnsi="Arial"/>
          <w:sz w:val="16"/>
          <w:szCs w:val="16"/>
          <w:b w:val="1"/>
          <w:bCs w:val="1"/>
          <w:color w:val="auto"/>
        </w:rPr>
      </w:pPr>
    </w:p>
    <w:p>
      <w:pPr>
        <w:ind w:left="8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1,482</w:t>
      </w:r>
      <w:r>
        <w:rPr>
          <w:rFonts w:ascii="Arial" w:cs="Arial" w:eastAsia="Arial" w:hAnsi="Arial"/>
          <w:sz w:val="15"/>
          <w:szCs w:val="15"/>
          <w:color w:val="auto"/>
        </w:rPr>
        <w:t>1,317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65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39" w:lineRule="exact"/>
        <w:rPr>
          <w:sz w:val="20"/>
          <w:szCs w:val="20"/>
          <w:color w:val="auto"/>
        </w:rPr>
      </w:pPr>
    </w:p>
    <w:p>
      <w:pPr>
        <w:spacing w:after="0"/>
        <w:tabs>
          <w:tab w:leader="none" w:pos="820" w:val="left"/>
          <w:tab w:leader="none" w:pos="1420" w:val="left"/>
          <w:tab w:leader="none" w:pos="22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2,556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65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57785</wp:posOffset>
            </wp:positionV>
            <wp:extent cx="17659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7760" w:space="720"/>
            <w:col w:w="2760"/>
          </w:cols>
          <w:pgMar w:left="320" w:top="949" w:right="339" w:bottom="1440" w:gutter="0" w:footer="0" w:header="0"/>
          <w:type w:val="continuous"/>
        </w:sectPr>
      </w:pPr>
    </w:p>
    <w:p>
      <w:pPr>
        <w:ind w:right="6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a U.S. stock index fund, and a relatively small number of stocks and high-quality fixed-income securities that are held by a third-party trustee. The assets of the Company’s pension plans were allocated as follows:</w:t>
      </w:r>
    </w:p>
    <w:p>
      <w:pPr>
        <w:spacing w:after="0" w:line="177" w:lineRule="exact"/>
        <w:rPr>
          <w:sz w:val="20"/>
          <w:szCs w:val="20"/>
          <w:color w:val="auto"/>
        </w:rPr>
      </w:pPr>
    </w:p>
    <w:tbl>
      <w:tblPr>
        <w:tblLayout w:type="fixed"/>
        <w:tblInd w:w="8260" w:type="dxa"/>
        <w:tblCellMar>
          <w:top w:w="0" w:type="dxa"/>
          <w:left w:w="0" w:type="dxa"/>
          <w:bottom w:w="0" w:type="dxa"/>
          <w:right w:w="0" w:type="dxa"/>
        </w:tblCellMar>
      </w:tblPr>
      <w:tr>
        <w:trPr>
          <w:trHeight w:val="196"/>
        </w:trPr>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As of</w:t>
            </w:r>
          </w:p>
        </w:tc>
      </w:tr>
      <w:tr>
        <w:trPr>
          <w:trHeight w:val="189"/>
        </w:trPr>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rPr>
              <w:t>March 31,</w:t>
            </w:r>
          </w:p>
        </w:tc>
        <w:tc>
          <w:tcPr>
            <w:tcW w:w="1800" w:type="dxa"/>
            <w:vAlign w:val="bottom"/>
          </w:tcPr>
          <w:p>
            <w:pPr>
              <w:jc w:val="center"/>
              <w:ind w:left="268"/>
              <w:spacing w:after="0"/>
              <w:rPr>
                <w:sz w:val="20"/>
                <w:szCs w:val="20"/>
                <w:color w:val="auto"/>
              </w:rPr>
            </w:pPr>
            <w:r>
              <w:rPr>
                <w:rFonts w:ascii="Arial" w:cs="Arial" w:eastAsia="Arial" w:hAnsi="Arial"/>
                <w:sz w:val="14"/>
                <w:szCs w:val="14"/>
                <w:color w:val="auto"/>
              </w:rPr>
              <w:t>December 31,</w:t>
            </w:r>
          </w:p>
        </w:tc>
      </w:tr>
      <w:tr>
        <w:trPr>
          <w:trHeight w:val="190"/>
        </w:trPr>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61 %</w:t>
      </w:r>
      <w:r>
        <w:rPr>
          <w:sz w:val="20"/>
          <w:szCs w:val="20"/>
          <w:color w:val="auto"/>
        </w:rPr>
        <w:tab/>
      </w:r>
      <w:r>
        <w:rPr>
          <w:rFonts w:ascii="Arial" w:cs="Arial" w:eastAsia="Arial" w:hAnsi="Arial"/>
          <w:sz w:val="15"/>
          <w:szCs w:val="15"/>
          <w:color w:val="auto"/>
        </w:rPr>
        <w:t>58 %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18 %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9 %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8 %</w:t>
      </w:r>
      <w:r>
        <w:rPr>
          <w:sz w:val="20"/>
          <w:szCs w:val="20"/>
          <w:color w:val="auto"/>
        </w:rPr>
        <w:tab/>
      </w:r>
      <w:r>
        <w:rPr>
          <w:rFonts w:ascii="Arial" w:cs="Arial" w:eastAsia="Arial" w:hAnsi="Arial"/>
          <w:sz w:val="16"/>
          <w:szCs w:val="16"/>
          <w:color w:val="auto"/>
        </w:rPr>
        <w:t>8 %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31750</wp:posOffset>
            </wp:positionV>
            <wp:extent cx="18942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31750</wp:posOffset>
            </wp:positionV>
            <wp:extent cx="18942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57785</wp:posOffset>
            </wp:positionV>
            <wp:extent cx="1894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949" w:right="339" w:bottom="1440" w:gutter="0" w:footer="0" w:header="0"/>
          <w:type w:val="continuous"/>
        </w:sectPr>
      </w:pPr>
    </w:p>
    <w:p>
      <w:pPr>
        <w:spacing w:after="0" w:line="52"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Company manages approximately 40% of the pension assets internally, of which the majority is invested in a private investment fund with the remaining investments in Berkshire Hathaway stock, a U.S. stock index fund and short-term fixed-income securities. The remaining 60%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and no more than 30%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43"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2021. Types of concentrations that were evaluated include, but are not limited to, investment concentrations in a single entity, type of industry, foreign country and individual fund. At March 31, 2021, the pension plan held investments in one common stock and one private investment fund that exceeded 10% of total plan assets, valued at $885.3 million, or approximately 30% of total plan assets. At December 31, 2020, the pension plan held investments in one common stock and one private investment fund that exceeded 10% of total plan assets, valued at $850.6 million, or approximately 30% of total plan assets.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 xml:space="preserve">Other Postretirement Plans. </w:t>
      </w:r>
      <w:r>
        <w:rPr>
          <w:rFonts w:ascii="Arial" w:cs="Arial" w:eastAsia="Arial" w:hAnsi="Arial"/>
          <w:sz w:val="17"/>
          <w:szCs w:val="17"/>
          <w:color w:val="auto"/>
        </w:rPr>
        <w:t>The total cost arising from the Company’s other postretirement plans consists of the following components: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gain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7659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17"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26035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spacing w:after="0"/>
        <w:tabs>
          <w:tab w:leader="none" w:pos="1040" w:val="left"/>
          <w:tab w:leader="none" w:pos="1420" w:val="left"/>
          <w:tab w:leader="none" w:pos="24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62</w:t>
      </w:r>
    </w:p>
    <w:p>
      <w:pPr>
        <w:spacing w:after="0" w:line="66" w:lineRule="exact"/>
        <w:rPr>
          <w:sz w:val="20"/>
          <w:szCs w:val="20"/>
          <w:color w:val="auto"/>
        </w:rPr>
      </w:pPr>
    </w:p>
    <w:p>
      <w:pPr>
        <w:ind w:left="2360" w:hanging="1269"/>
        <w:spacing w:after="0"/>
        <w:tabs>
          <w:tab w:leader="none" w:pos="23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(120)</w:t>
      </w:r>
    </w:p>
    <w:p>
      <w:pPr>
        <w:spacing w:after="0" w:line="25" w:lineRule="exact"/>
        <w:rPr>
          <w:rFonts w:ascii="Arial" w:cs="Arial" w:eastAsia="Arial" w:hAnsi="Arial"/>
          <w:sz w:val="16"/>
          <w:szCs w:val="16"/>
          <w:b w:val="1"/>
          <w:bCs w:val="1"/>
          <w:color w:val="auto"/>
        </w:rPr>
      </w:pPr>
    </w:p>
    <w:p>
      <w:pPr>
        <w:ind w:left="7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(1,019)</w:t>
      </w:r>
      <w:r>
        <w:rPr>
          <w:rFonts w:ascii="Arial" w:cs="Arial" w:eastAsia="Arial" w:hAnsi="Arial"/>
          <w:sz w:val="16"/>
          <w:szCs w:val="16"/>
          <w:color w:val="auto"/>
        </w:rPr>
        <w:t>(1,097)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659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 w:lineRule="exact"/>
        <w:rPr>
          <w:sz w:val="20"/>
          <w:szCs w:val="20"/>
          <w:color w:val="auto"/>
        </w:rPr>
      </w:pPr>
    </w:p>
    <w:p>
      <w:pPr>
        <w:spacing w:after="0"/>
        <w:tabs>
          <w:tab w:leader="none" w:pos="900" w:val="left"/>
          <w:tab w:leader="none" w:pos="1420" w:val="left"/>
          <w:tab w:leader="none" w:pos="22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(985)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65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57785</wp:posOffset>
            </wp:positionV>
            <wp:extent cx="1765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7760" w:space="720"/>
            <w:col w:w="2760"/>
          </w:cols>
          <w:pgMar w:left="320" w:top="927"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8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40" w:type="dxa"/>
            <w:vAlign w:val="bottom"/>
          </w:tcPr>
          <w:p>
            <w:pPr>
              <w:spacing w:after="0"/>
              <w:rPr>
                <w:sz w:val="20"/>
                <w:szCs w:val="20"/>
                <w:color w:val="auto"/>
              </w:rPr>
            </w:pPr>
            <w:r>
              <w:rPr>
                <w:rFonts w:ascii="Arial" w:cs="Arial" w:eastAsia="Arial" w:hAnsi="Arial"/>
                <w:sz w:val="14"/>
                <w:szCs w:val="14"/>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a cost method investment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businesses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gain,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on sale of an equity affiliate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gain, net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820" w:val="left"/>
          <w:tab w:leader="none" w:pos="1420" w:val="left"/>
          <w:tab w:leader="none" w:pos="25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2,723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66" w:lineRule="exact"/>
        <w:rPr>
          <w:sz w:val="20"/>
          <w:szCs w:val="20"/>
          <w:color w:val="auto"/>
        </w:rPr>
      </w:pPr>
    </w:p>
    <w:p>
      <w:pPr>
        <w:ind w:left="2420" w:hanging="1447"/>
        <w:spacing w:after="0"/>
        <w:tabs>
          <w:tab w:leader="none" w:pos="242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107</w:t>
      </w:r>
    </w:p>
    <w:p>
      <w:pPr>
        <w:spacing w:after="0" w:line="46" w:lineRule="exact"/>
        <w:rPr>
          <w:sz w:val="20"/>
          <w:szCs w:val="20"/>
          <w:color w:val="auto"/>
        </w:rPr>
      </w:pPr>
    </w:p>
    <w:p>
      <w:pPr>
        <w:ind w:left="2420" w:hanging="1357"/>
        <w:spacing w:after="0"/>
        <w:tabs>
          <w:tab w:leader="none" w:pos="242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518</w:t>
      </w:r>
    </w:p>
    <w:p>
      <w:pPr>
        <w:spacing w:after="0" w:line="46" w:lineRule="exact"/>
        <w:rPr>
          <w:sz w:val="20"/>
          <w:szCs w:val="20"/>
          <w:color w:val="auto"/>
        </w:rPr>
      </w:pPr>
    </w:p>
    <w:p>
      <w:pPr>
        <w:ind w:left="2280" w:hanging="1127"/>
        <w:spacing w:after="0"/>
        <w:tabs>
          <w:tab w:leader="none" w:pos="228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4,290</w:t>
      </w:r>
    </w:p>
    <w:p>
      <w:pPr>
        <w:spacing w:after="0" w:line="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(2,577)</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(103)</w:t>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2,698</w:t>
      </w:r>
      <w:r>
        <w:rPr>
          <w:rFonts w:ascii="Arial" w:cs="Arial" w:eastAsia="Arial" w:hAnsi="Arial"/>
          <w:sz w:val="15"/>
          <w:szCs w:val="15"/>
          <w:color w:val="auto"/>
        </w:rPr>
        <w:t>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65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 w:lineRule="exact"/>
        <w:rPr>
          <w:sz w:val="20"/>
          <w:szCs w:val="20"/>
          <w:color w:val="auto"/>
        </w:rPr>
      </w:pPr>
    </w:p>
    <w:p>
      <w:pPr>
        <w:spacing w:after="0"/>
        <w:tabs>
          <w:tab w:leader="none" w:pos="820" w:val="left"/>
          <w:tab w:leader="none" w:pos="1420" w:val="left"/>
          <w:tab w:leader="none" w:pos="22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6,320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65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57785</wp:posOffset>
            </wp:positionV>
            <wp:extent cx="1765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760" w:space="720"/>
            <w:col w:w="2760"/>
          </w:cols>
          <w:pgMar w:left="320" w:top="927" w:right="339" w:bottom="1440" w:gutter="0" w:footer="0" w:header="0"/>
          <w:type w:val="continuous"/>
        </w:sectPr>
      </w:pPr>
    </w:p>
    <w:p>
      <w:pPr>
        <w:spacing w:after="0" w:line="2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the first quarter of 2021, the Company recorded a gain of $2.7 million resulting from observable price changes in the fair value of an equity security accounted for under the cost method.</w:t>
      </w:r>
    </w:p>
    <w:p>
      <w:pPr>
        <w:spacing w:after="0" w:line="13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In the first quarter of 2020, the Company recorded impairment losses of $2.6 million to equity securities that are accounted for as cost method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0"/>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6"/>
                <w:szCs w:val="16"/>
                <w:color w:val="auto"/>
              </w:rPr>
            </w:pPr>
          </w:p>
        </w:tc>
        <w:tc>
          <w:tcPr>
            <w:tcW w:w="780" w:type="dxa"/>
            <w:vAlign w:val="bottom"/>
          </w:tcPr>
          <w:p>
            <w:pPr>
              <w:jc w:val="right"/>
              <w:ind w:right="16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6"/>
                <w:szCs w:val="16"/>
                <w:color w:val="auto"/>
              </w:rPr>
            </w:pPr>
          </w:p>
        </w:tc>
        <w:tc>
          <w:tcPr>
            <w:tcW w:w="880" w:type="dxa"/>
            <w:vAlign w:val="bottom"/>
          </w:tcPr>
          <w:p>
            <w:pPr>
              <w:jc w:val="right"/>
              <w:ind w:right="14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6"/>
                <w:szCs w:val="16"/>
                <w:color w:val="auto"/>
              </w:rPr>
            </w:pPr>
          </w:p>
        </w:tc>
        <w:tc>
          <w:tcPr>
            <w:tcW w:w="920" w:type="dxa"/>
            <w:vAlign w:val="bottom"/>
          </w:tcPr>
          <w:p>
            <w:pPr>
              <w:jc w:val="right"/>
              <w:ind w:right="141"/>
              <w:spacing w:after="0"/>
              <w:rPr>
                <w:sz w:val="20"/>
                <w:szCs w:val="20"/>
                <w:color w:val="auto"/>
              </w:rPr>
            </w:pPr>
            <w:r>
              <w:rPr>
                <w:rFonts w:ascii="Arial" w:cs="Arial" w:eastAsia="Arial" w:hAnsi="Arial"/>
                <w:sz w:val="14"/>
                <w:szCs w:val="14"/>
                <w:color w:val="auto"/>
                <w:w w:val="98"/>
              </w:rPr>
              <w:t>Before-Tax</w:t>
            </w:r>
          </w:p>
        </w:tc>
        <w:tc>
          <w:tcPr>
            <w:tcW w:w="220" w:type="dxa"/>
            <w:vAlign w:val="bottom"/>
          </w:tcPr>
          <w:p>
            <w:pPr>
              <w:spacing w:after="0"/>
              <w:rPr>
                <w:sz w:val="16"/>
                <w:szCs w:val="16"/>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6"/>
                <w:szCs w:val="16"/>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color w:val="auto"/>
              </w:rPr>
              <w:t>After-Tax</w:t>
            </w:r>
          </w:p>
        </w:tc>
      </w:tr>
      <w:tr>
        <w:trPr>
          <w:trHeight w:val="20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Tax</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4"/>
              </w:rPr>
              <w:t>Tax</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Amount</w:t>
            </w:r>
          </w:p>
        </w:tc>
      </w:tr>
      <w:tr>
        <w:trPr>
          <w:trHeight w:val="209"/>
        </w:trPr>
        <w:tc>
          <w:tcPr>
            <w:tcW w:w="48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(486)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(486)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(37,376)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(37,376)</w:t>
            </w:r>
          </w:p>
        </w:tc>
      </w:tr>
      <w:tr>
        <w:trPr>
          <w:trHeight w:val="230"/>
        </w:trPr>
        <w:tc>
          <w:tcPr>
            <w:tcW w:w="482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1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792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(213)</w:t>
            </w: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579</w:t>
            </w:r>
          </w:p>
        </w:tc>
        <w:tc>
          <w:tcPr>
            <w:tcW w:w="20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671</w:t>
            </w:r>
          </w:p>
        </w:tc>
        <w:tc>
          <w:tcPr>
            <w:tcW w:w="22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490</w:t>
            </w: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 included in net income</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(2,429)</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656</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(1,773)</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220</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w:t>
            </w:r>
          </w:p>
        </w:tc>
      </w:tr>
      <w:tr>
        <w:trPr>
          <w:trHeight w:val="223"/>
        </w:trPr>
        <w:tc>
          <w:tcPr>
            <w:tcW w:w="4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(1,637)</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443</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(1,194)</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891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650</w:t>
            </w: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Gain (loss) for the period</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621</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477</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(1,578)</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361</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w:t>
            </w:r>
          </w:p>
        </w:tc>
      </w:tr>
      <w:tr>
        <w:trPr>
          <w:trHeight w:val="229"/>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(38,063)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(37,943)</w:t>
            </w:r>
          </w:p>
        </w:tc>
      </w:tr>
      <w:tr>
        <w:trPr>
          <w:trHeight w:val="21"/>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2"/>
                <w:szCs w:val="12"/>
                <w:color w:val="auto"/>
              </w:rPr>
            </w:pPr>
          </w:p>
        </w:tc>
        <w:tc>
          <w:tcPr>
            <w:tcW w:w="13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13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9,754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595,287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603,314</w:t>
            </w:r>
          </w:p>
        </w:tc>
        <w:tc>
          <w:tcPr>
            <w:tcW w:w="0" w:type="dxa"/>
            <w:vAlign w:val="bottom"/>
          </w:tcPr>
          <w:p>
            <w:pPr>
              <w:spacing w:after="0"/>
              <w:rPr>
                <w:sz w:val="1"/>
                <w:szCs w:val="1"/>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(486)</w:t>
            </w:r>
          </w:p>
        </w:tc>
        <w:tc>
          <w:tcPr>
            <w:tcW w:w="200" w:type="dxa"/>
            <w:vAlign w:val="bottom"/>
          </w:tcPr>
          <w:p>
            <w:pPr>
              <w:spacing w:after="0"/>
              <w:rPr>
                <w:sz w:val="19"/>
                <w:szCs w:val="19"/>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323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(1,194)</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154</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(1,040)</w:t>
            </w:r>
          </w:p>
        </w:tc>
        <w:tc>
          <w:tcPr>
            <w:tcW w:w="0" w:type="dxa"/>
            <w:vAlign w:val="bottom"/>
          </w:tcPr>
          <w:p>
            <w:pPr>
              <w:spacing w:after="0"/>
              <w:rPr>
                <w:sz w:val="1"/>
                <w:szCs w:val="1"/>
                <w:color w:val="auto"/>
              </w:rPr>
            </w:pPr>
          </w:p>
        </w:tc>
      </w:tr>
      <w:tr>
        <w:trPr>
          <w:trHeight w:val="223"/>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net of tax</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(486)</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(1,194)</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477</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(1,203)</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9,268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594,093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602,111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type w:val="continuous"/>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4"/>
                <w:szCs w:val="14"/>
                <w:b w:val="1"/>
                <w:bCs w:val="1"/>
                <w:color w:val="auto"/>
              </w:rPr>
              <w:t>Affected Line Item in the Condensed Consolidated</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2020</w:t>
            </w:r>
          </w:p>
        </w:tc>
        <w:tc>
          <w:tcPr>
            <w:tcW w:w="36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14"/>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792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671</w:t>
            </w:r>
          </w:p>
        </w:tc>
        <w:tc>
          <w:tcPr>
            <w:tcW w:w="364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552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(2,429)</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364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(1,637)</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891</w:t>
            </w:r>
          </w:p>
        </w:tc>
        <w:tc>
          <w:tcPr>
            <w:tcW w:w="364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5"/>
        </w:trPr>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443</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3640" w:type="dxa"/>
            <w:vAlign w:val="bottom"/>
          </w:tcPr>
          <w:p>
            <w:pPr>
              <w:ind w:left="120"/>
              <w:spacing w:after="0"/>
              <w:rPr>
                <w:sz w:val="20"/>
                <w:szCs w:val="20"/>
                <w:color w:val="auto"/>
              </w:rPr>
            </w:pPr>
            <w:r>
              <w:rPr>
                <w:rFonts w:ascii="Arial" w:cs="Arial" w:eastAsia="Arial" w:hAnsi="Arial"/>
                <w:sz w:val="14"/>
                <w:szCs w:val="14"/>
                <w:color w:val="auto"/>
              </w:rPr>
              <w:t>Provision for (Benefit from) Income Taxes</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(1,194)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36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00" w:type="dxa"/>
            <w:vAlign w:val="bottom"/>
          </w:tcPr>
          <w:p>
            <w:pPr>
              <w:spacing w:after="0"/>
              <w:rPr>
                <w:sz w:val="18"/>
                <w:szCs w:val="18"/>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154</w:t>
            </w:r>
          </w:p>
        </w:tc>
        <w:tc>
          <w:tcPr>
            <w:tcW w:w="3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3640" w:type="dxa"/>
            <w:vAlign w:val="bottom"/>
            <w:vMerge w:val="restart"/>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3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640" w:type="dxa"/>
            <w:vAlign w:val="bottom"/>
          </w:tcPr>
          <w:p>
            <w:pPr>
              <w:ind w:left="120"/>
              <w:spacing w:after="0"/>
              <w:rPr>
                <w:sz w:val="20"/>
                <w:szCs w:val="20"/>
                <w:color w:val="auto"/>
              </w:rPr>
            </w:pPr>
            <w:r>
              <w:rPr>
                <w:rFonts w:ascii="Arial" w:cs="Arial" w:eastAsia="Arial" w:hAnsi="Arial"/>
                <w:sz w:val="14"/>
                <w:szCs w:val="14"/>
                <w:color w:val="auto"/>
              </w:rPr>
              <w:t>Provision for (Benefit from) Income Taxes</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6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(1,040)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36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5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20" w:right="120" w:hanging="412"/>
        <w:spacing w:after="0" w:line="239" w:lineRule="auto"/>
        <w:tabs>
          <w:tab w:leader="none" w:pos="34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12) and are included in non-operating pension and postretirement benefit income in the Company’s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Company has six reportable segments: Kaplan International, Kaplan Higher Education, Kaplan Supplemental Education, Television Broadcasting, Manufacturing and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8"/>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329,317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356,378</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113,625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115,448</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115,960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113,458</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50,043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45,994</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104,039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101,282</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712,455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732,257</w:t>
            </w:r>
          </w:p>
        </w:tc>
        <w:tc>
          <w:tcPr>
            <w:tcW w:w="0" w:type="dxa"/>
            <w:vAlign w:val="bottom"/>
          </w:tcPr>
          <w:p>
            <w:pPr>
              <w:spacing w:after="0"/>
              <w:rPr>
                <w:sz w:val="1"/>
                <w:szCs w:val="1"/>
                <w:color w:val="auto"/>
              </w:rPr>
            </w:pPr>
          </w:p>
        </w:tc>
      </w:tr>
      <w:tr>
        <w:trPr>
          <w:trHeight w:val="157"/>
        </w:trPr>
        <w:tc>
          <w:tcPr>
            <w:tcW w:w="85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 Goodwill and</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560" w:type="dxa"/>
            <w:vAlign w:val="bottom"/>
          </w:tcPr>
          <w:p>
            <w:pPr>
              <w:ind w:left="180"/>
              <w:spacing w:after="0"/>
              <w:rPr>
                <w:sz w:val="20"/>
                <w:szCs w:val="20"/>
                <w:color w:val="auto"/>
              </w:rPr>
            </w:pPr>
            <w:r>
              <w:rPr>
                <w:rFonts w:ascii="Arial" w:cs="Arial" w:eastAsia="Arial" w:hAnsi="Arial"/>
                <w:sz w:val="16"/>
                <w:szCs w:val="16"/>
                <w:b w:val="1"/>
                <w:bCs w:val="1"/>
                <w:color w:val="auto"/>
              </w:rPr>
              <w:t>Other Long-Lived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24,148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8,893</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34,337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37,136</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15,894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13,638</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7,921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4,479</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(18,692)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(16,923)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(14,780)</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(8,572)</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48,828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38,651</w:t>
            </w:r>
          </w:p>
        </w:tc>
        <w:tc>
          <w:tcPr>
            <w:tcW w:w="0" w:type="dxa"/>
            <w:vAlign w:val="bottom"/>
          </w:tcPr>
          <w:p>
            <w:pPr>
              <w:spacing w:after="0"/>
              <w:rPr>
                <w:sz w:val="1"/>
                <w:szCs w:val="1"/>
                <w:color w:val="auto"/>
              </w:rPr>
            </w:pPr>
          </w:p>
        </w:tc>
      </w:tr>
      <w:tr>
        <w:trPr>
          <w:trHeight w:val="19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5,212</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4,201</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1,359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6,987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7,137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781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645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16,558</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14,984</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30,566</w:t>
            </w:r>
          </w:p>
        </w:tc>
        <w:tc>
          <w:tcPr>
            <w:tcW w:w="0" w:type="dxa"/>
            <w:vAlign w:val="bottom"/>
          </w:tcPr>
          <w:p>
            <w:pPr>
              <w:spacing w:after="0"/>
              <w:rPr>
                <w:sz w:val="1"/>
                <w:szCs w:val="1"/>
                <w:color w:val="auto"/>
              </w:rPr>
            </w:pPr>
          </w:p>
        </w:tc>
      </w:tr>
      <w:tr>
        <w:trPr>
          <w:trHeight w:val="19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18,936</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4,692</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32,978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35,776</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8,907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6,501</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7,140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(19,337)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(33,481)</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(14,780)</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(8,572)</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33,844</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8,085</w:t>
            </w:r>
          </w:p>
        </w:tc>
        <w:tc>
          <w:tcPr>
            <w:tcW w:w="0" w:type="dxa"/>
            <w:vAlign w:val="bottom"/>
          </w:tcPr>
          <w:p>
            <w:pPr>
              <w:spacing w:after="0"/>
              <w:rPr>
                <w:sz w:val="1"/>
                <w:szCs w:val="1"/>
                <w:color w:val="auto"/>
              </w:rPr>
            </w:pPr>
          </w:p>
        </w:tc>
      </w:tr>
      <w:tr>
        <w:trPr>
          <w:trHeight w:val="215"/>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(Losses) of Affiliates, Net</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13,428</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(7,558)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(6,527)</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28,787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18,403</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79,214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(100,393)</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6,320</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154,035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(79,291)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560" w:type="dxa"/>
            <w:vAlign w:val="bottom"/>
            <w:vMerge w:val="continue"/>
          </w:tcPr>
          <w:p>
            <w:pPr>
              <w:spacing w:after="0"/>
              <w:rPr>
                <w:sz w:val="15"/>
                <w:szCs w:val="15"/>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7,780</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7,329</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3,473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2,517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317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2,290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2,790</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168</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16,545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16,704</w:t>
            </w:r>
          </w:p>
        </w:tc>
        <w:tc>
          <w:tcPr>
            <w:tcW w:w="0" w:type="dxa"/>
            <w:vAlign w:val="bottom"/>
          </w:tcPr>
          <w:p>
            <w:pPr>
              <w:spacing w:after="0"/>
              <w:rPr>
                <w:sz w:val="1"/>
                <w:szCs w:val="1"/>
                <w:color w:val="auto"/>
              </w:rPr>
            </w:pPr>
          </w:p>
        </w:tc>
      </w:tr>
      <w:tr>
        <w:trPr>
          <w:trHeight w:val="21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2,283</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835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395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172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369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1,548</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5,602</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59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59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7"/>
                <w:szCs w:val="17"/>
                <w:color w:val="auto"/>
              </w:rPr>
            </w:pPr>
          </w:p>
        </w:tc>
      </w:tr>
      <w:tr>
        <w:trPr>
          <w:trHeight w:val="19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March 31, 2021</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2020</w:t>
            </w:r>
          </w:p>
        </w:tc>
      </w:tr>
      <w:tr>
        <w:trPr>
          <w:trHeight w:val="214"/>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84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1,901,257</w:t>
            </w:r>
          </w:p>
        </w:tc>
        <w:tc>
          <w:tcPr>
            <w:tcW w:w="4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1,975,104</w:t>
            </w: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450,403</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453,988</w:t>
            </w: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557,631</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551,611</w:t>
            </w:r>
          </w:p>
        </w:tc>
      </w:tr>
      <w:tr>
        <w:trPr>
          <w:trHeight w:val="230"/>
        </w:trPr>
        <w:tc>
          <w:tcPr>
            <w:tcW w:w="84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160,033</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160,654</w:t>
            </w: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506,936</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517,533</w:t>
            </w:r>
          </w:p>
        </w:tc>
      </w:tr>
      <w:tr>
        <w:trPr>
          <w:trHeight w:val="243"/>
        </w:trPr>
        <w:tc>
          <w:tcPr>
            <w:tcW w:w="84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341,980</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348,045</w:t>
            </w:r>
          </w:p>
        </w:tc>
      </w:tr>
      <w:tr>
        <w:trPr>
          <w:trHeight w:val="223"/>
        </w:trPr>
        <w:tc>
          <w:tcPr>
            <w:tcW w:w="8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3,918,240</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4,006,935</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700,352</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573,102</w:t>
            </w:r>
          </w:p>
        </w:tc>
      </w:tr>
      <w:tr>
        <w:trPr>
          <w:trHeight w:val="225"/>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169,203</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155,777</w:t>
            </w:r>
          </w:p>
        </w:tc>
      </w:tr>
      <w:tr>
        <w:trPr>
          <w:trHeight w:val="24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1,730,625</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1,708,305</w:t>
            </w:r>
          </w:p>
        </w:tc>
      </w:tr>
      <w:tr>
        <w:trPr>
          <w:trHeight w:val="22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6,518,420</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r>
      <w:tr>
        <w:trPr>
          <w:trHeight w:val="27"/>
        </w:trPr>
        <w:tc>
          <w:tcPr>
            <w:tcW w:w="8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8"/>
        </w:trPr>
        <w:tc>
          <w:tcPr>
            <w:tcW w:w="8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171,895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199,615</w:t>
            </w: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75,686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73,537</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79,655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81,288</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3,363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3,205</w:t>
            </w:r>
          </w:p>
        </w:tc>
        <w:tc>
          <w:tcPr>
            <w:tcW w:w="0" w:type="dxa"/>
            <w:vAlign w:val="bottom"/>
          </w:tcPr>
          <w:p>
            <w:pPr>
              <w:spacing w:after="0"/>
              <w:rPr>
                <w:sz w:val="1"/>
                <w:szCs w:val="1"/>
                <w:color w:val="auto"/>
              </w:rPr>
            </w:pPr>
          </w:p>
        </w:tc>
      </w:tr>
      <w:tr>
        <w:trPr>
          <w:trHeight w:val="243"/>
        </w:trPr>
        <w:tc>
          <w:tcPr>
            <w:tcW w:w="85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19"/>
                <w:szCs w:val="19"/>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329,317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356,378</w:t>
            </w:r>
          </w:p>
        </w:tc>
        <w:tc>
          <w:tcPr>
            <w:tcW w:w="0" w:type="dxa"/>
            <w:vAlign w:val="bottom"/>
          </w:tcPr>
          <w:p>
            <w:pPr>
              <w:spacing w:after="0"/>
              <w:rPr>
                <w:sz w:val="1"/>
                <w:szCs w:val="1"/>
                <w:color w:val="auto"/>
              </w:rPr>
            </w:pPr>
          </w:p>
        </w:tc>
      </w:tr>
      <w:tr>
        <w:trPr>
          <w:trHeight w:val="157"/>
        </w:trPr>
        <w:tc>
          <w:tcPr>
            <w:tcW w:w="85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 Long-Lived</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520" w:type="dxa"/>
            <w:vAlign w:val="bottom"/>
          </w:tcPr>
          <w:p>
            <w:pPr>
              <w:ind w:left="18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10,207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18,980</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6,253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12,497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(4,907)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43"/>
        </w:trPr>
        <w:tc>
          <w:tcPr>
            <w:tcW w:w="85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19"/>
                <w:szCs w:val="19"/>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24,148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8,893</w:t>
            </w:r>
          </w:p>
        </w:tc>
        <w:tc>
          <w:tcPr>
            <w:tcW w:w="0" w:type="dxa"/>
            <w:vAlign w:val="bottom"/>
          </w:tcPr>
          <w:p>
            <w:pPr>
              <w:spacing w:after="0"/>
              <w:rPr>
                <w:sz w:val="1"/>
                <w:szCs w:val="1"/>
                <w:color w:val="auto"/>
              </w:rPr>
            </w:pPr>
          </w:p>
        </w:tc>
      </w:tr>
      <w:tr>
        <w:trPr>
          <w:trHeight w:val="215"/>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4,165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4,201</w:t>
            </w: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1,047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10,207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18,980</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6,253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12,497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(10,119)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(5,723)</w:t>
            </w:r>
          </w:p>
        </w:tc>
        <w:tc>
          <w:tcPr>
            <w:tcW w:w="0" w:type="dxa"/>
            <w:vAlign w:val="bottom"/>
          </w:tcPr>
          <w:p>
            <w:pPr>
              <w:spacing w:after="0"/>
              <w:rPr>
                <w:sz w:val="1"/>
                <w:szCs w:val="1"/>
                <w:color w:val="auto"/>
              </w:rPr>
            </w:pPr>
          </w:p>
        </w:tc>
      </w:tr>
      <w:tr>
        <w:trPr>
          <w:trHeight w:val="243"/>
        </w:trPr>
        <w:tc>
          <w:tcPr>
            <w:tcW w:w="85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19"/>
                <w:szCs w:val="19"/>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18,936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4,692</w:t>
            </w:r>
          </w:p>
        </w:tc>
        <w:tc>
          <w:tcPr>
            <w:tcW w:w="0" w:type="dxa"/>
            <w:vAlign w:val="bottom"/>
          </w:tcPr>
          <w:p>
            <w:pPr>
              <w:spacing w:after="0"/>
              <w:rPr>
                <w:sz w:val="1"/>
                <w:szCs w:val="1"/>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5,252</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4,578</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852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1,576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43"/>
        </w:trPr>
        <w:tc>
          <w:tcPr>
            <w:tcW w:w="85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19"/>
                <w:szCs w:val="19"/>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7,780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w:t>
            </w:r>
          </w:p>
        </w:tc>
        <w:tc>
          <w:tcPr>
            <w:tcW w:w="0" w:type="dxa"/>
            <w:vAlign w:val="bottom"/>
          </w:tcPr>
          <w:p>
            <w:pPr>
              <w:spacing w:after="0"/>
              <w:rPr>
                <w:sz w:val="1"/>
                <w:szCs w:val="1"/>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3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71</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1,083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931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43"/>
        </w:trPr>
        <w:tc>
          <w:tcPr>
            <w:tcW w:w="85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198</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19"/>
                <w:szCs w:val="19"/>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2,283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9" w:right="339" w:bottom="7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711"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7"/>
              </w:rPr>
              <w:t>As of</w:t>
            </w:r>
          </w:p>
        </w:tc>
        <w:tc>
          <w:tcPr>
            <w:tcW w:w="1040" w:type="dxa"/>
            <w:vAlign w:val="bottom"/>
            <w:tcBorders>
              <w:bottom w:val="single" w:sz="8" w:color="auto"/>
            </w:tcBorders>
          </w:tcPr>
          <w:p>
            <w:pPr>
              <w:spacing w:after="0"/>
              <w:rPr>
                <w:sz w:val="17"/>
                <w:szCs w:val="17"/>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March 31, 2021</w:t>
            </w:r>
          </w:p>
        </w:tc>
        <w:tc>
          <w:tcPr>
            <w:tcW w:w="16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December 31, 2020</w:t>
            </w:r>
          </w:p>
        </w:tc>
      </w:tr>
      <w:tr>
        <w:trPr>
          <w:trHeight w:val="214"/>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82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1,387,772</w:t>
            </w:r>
          </w:p>
        </w:tc>
        <w:tc>
          <w:tcPr>
            <w:tcW w:w="60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1,455,722</w:t>
            </w:r>
          </w:p>
        </w:tc>
      </w:tr>
      <w:tr>
        <w:trPr>
          <w:trHeight w:val="230"/>
        </w:trPr>
        <w:tc>
          <w:tcPr>
            <w:tcW w:w="82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188,602</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187,123</w:t>
            </w:r>
          </w:p>
        </w:tc>
      </w:tr>
      <w:tr>
        <w:trPr>
          <w:trHeight w:val="229"/>
        </w:trPr>
        <w:tc>
          <w:tcPr>
            <w:tcW w:w="82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265,408</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274,687</w:t>
            </w:r>
          </w:p>
        </w:tc>
      </w:tr>
      <w:tr>
        <w:trPr>
          <w:trHeight w:val="243"/>
        </w:trPr>
        <w:tc>
          <w:tcPr>
            <w:tcW w:w="82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59,475</w:t>
            </w: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57,572</w:t>
            </w: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1,901,257</w:t>
            </w:r>
          </w:p>
        </w:tc>
        <w:tc>
          <w:tcPr>
            <w:tcW w:w="60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1,975,104</w:t>
            </w:r>
          </w:p>
        </w:tc>
      </w:tr>
      <w:tr>
        <w:trPr>
          <w:trHeight w:val="27"/>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reported net income attributable to common shares of $112.5 million ($22.44 per share) for the first quarter of 2021, compared to a loss of $33.2 million ($6.32 per share) for the first quarter of 2020.</w:t>
      </w:r>
    </w:p>
    <w:p>
      <w:pPr>
        <w:spacing w:after="0" w:line="121"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significantly impacted the Company’s results for 2020 and the first three months of 2021, largely from reduced demand for the Company’s products and services. This significant adverse impact is expected to continue for several of the Company’s businesses for the remainder of 2021. The Company’s management has taken a variety of measures to reduce costs and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first quarter of 2021:</w:t>
      </w:r>
    </w:p>
    <w:p>
      <w:pPr>
        <w:spacing w:after="0" w:line="144" w:lineRule="exact"/>
        <w:rPr>
          <w:sz w:val="20"/>
          <w:szCs w:val="20"/>
          <w:color w:val="auto"/>
        </w:rPr>
      </w:pPr>
    </w:p>
    <w:p>
      <w:pPr>
        <w:ind w:left="180" w:right="660" w:hanging="172"/>
        <w:spacing w:after="0" w:line="235" w:lineRule="auto"/>
        <w:tabs>
          <w:tab w:leader="none" w:pos="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$0.6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$79.2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$10.3 million in net earnings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non-operating gain of $2.7 million from the write-up of a cost method investment;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 million in interest expense to adjust the fair value of the mandatorily redeemable noncontrolling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before income taxes for the first quarter of 2020:</w:t>
      </w:r>
    </w:p>
    <w:p>
      <w:pPr>
        <w:spacing w:after="0" w:line="144"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$16.4 million in goodwill and intangible asset impairment charges;</w:t>
      </w:r>
    </w:p>
    <w:p>
      <w:pPr>
        <w:spacing w:after="0" w:line="144" w:lineRule="exact"/>
        <w:rPr>
          <w:rFonts w:ascii="Arial" w:cs="Arial" w:eastAsia="Arial" w:hAnsi="Arial"/>
          <w:sz w:val="18"/>
          <w:szCs w:val="18"/>
          <w:color w:val="auto"/>
        </w:rPr>
      </w:pPr>
    </w:p>
    <w:p>
      <w:pPr>
        <w:ind w:left="180" w:right="660" w:hanging="172"/>
        <w:spacing w:after="0" w:line="235"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$0.3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$100.4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$0.6 million in net losses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non-operating losses of $6.1 million from impairments of cost method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$4.3 million in non-operating foreign currency gains.</w:t>
      </w:r>
    </w:p>
    <w:p>
      <w:pPr>
        <w:spacing w:after="0" w:line="144"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Revenue for the first quarter of 2021 was $712.5 million, down 3% from $732.3 million in the first quarter of 2020. Revenues declined at education and television broadcasting, partially offset by increases at manufacturing, healthcare and other businesses. The Company reported operating income of $33.8 million for the first quarter of 2021, compared to $8.1 million for the first quarter of 2020. The operating income increase is driven by improved results in education, manufacturing, healthcare and other businesses, partially offset by declines in television broadcasting.</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On April 5, 2021, the Company announced it had entered into an agreement to acquire all outstanding shares of common stock of Leaf Group Ltd. (NYSE:LEAF) at $8.50 per share in an all cash transaction valued at approximately $323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 The transaction is expected to close in June or July of 2021 and is subject to approval of the Leaf Group shareholders, regulatory approval and the satisfaction of other closing conditions.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jc w:val="both"/>
        <w:ind w:right="440"/>
        <w:spacing w:after="0" w:line="229" w:lineRule="auto"/>
        <w:rPr>
          <w:sz w:val="20"/>
          <w:szCs w:val="20"/>
          <w:color w:val="auto"/>
        </w:rPr>
      </w:pPr>
      <w:r>
        <w:rPr>
          <w:rFonts w:ascii="Arial" w:cs="Arial" w:eastAsia="Arial" w:hAnsi="Arial"/>
          <w:sz w:val="18"/>
          <w:szCs w:val="18"/>
          <w:color w:val="auto"/>
        </w:rPr>
        <w:t>Education division revenue totaled $329.3 million for the first quarter of 2021, down 8% from $356.4 million for the same period of 2020. Kaplan reported operating income of $18.9 million for the first quarter of 2021, compared to operating income of $4.7 million for the first quarter of 2020.</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COVID-19 pandemic adversely impacted Kaplan’s operating results beginning in February 2020 and continuing through the first quarter of 2021.</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this is expected to continue to adversely impact Kaplan's revenues and operating results for the remainder of 2021, particularly at Kaplan International Languages.</w:t>
      </w:r>
    </w:p>
    <w:p>
      <w:pPr>
        <w:spacing w:after="0" w:line="139"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To help mitigate the adverse impact of COVID-19, Kaplan implemented a number of significant cost reduction and restructuring activities across its businesses in 2020. Related to these restructuring activities, Kaplan recorded $1.0 million in lease impairment charges in the first quarter of 2021 and $2.1 million in lease restructuring costs in the first quarter of 2020. Kaplan management is continuing to monitor the ongoing COVID-19 disruptions and changes in its operating environment and may develop and implement further restructuring activities in 2021.</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2020, 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is designed to enhance Kaplan’s competitiveness by better leveraging its diversified academic and professional portfolio, as well as its relationship with students, universities and businesses. For financial reporting purposes, KNA is reported in two segments: Higher Education and Supplemental Education (combining Kaplan Test Prep and Kaplan Professional (U.S.) into one reporting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4"/>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171,895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199,615</w:t>
            </w: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75,686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73,537</w:t>
            </w: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79,655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81,288</w:t>
            </w: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3,363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3,205</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3"/>
        </w:trPr>
        <w:tc>
          <w:tcPr>
            <w:tcW w:w="75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(1,282)</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329,317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356,378</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7540" w:type="dxa"/>
            <w:vAlign w:val="bottom"/>
            <w:vMerge w:val="continue"/>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10,207</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18,980</w:t>
            </w: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6,253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(2,020)</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12,497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(6,550)</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(4,907)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(1,522)</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(4,165)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(4,201)</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(1,047)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98</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18,936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4,692</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decreased 14% for the first quarter of 2021 (20% on a constant currency basis) due largely to COVID-19 disruptions at Languages. Kaplan International reported operating income of $10.2 million in the first quarter of 2021, compared to $19.0 million in the first quarter of 2020. The decline in operating results in the first three months of 2021 is due primarily to $13 million in losses incurred at</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5" w:name="page26"/>
    <w:bookmarkEnd w:id="25"/>
    <w:p>
      <w:pPr>
        <w:ind w:right="380"/>
        <w:spacing w:after="0" w:line="235" w:lineRule="auto"/>
        <w:rPr>
          <w:sz w:val="20"/>
          <w:szCs w:val="20"/>
          <w:color w:val="auto"/>
        </w:rPr>
      </w:pPr>
      <w:r>
        <w:rPr>
          <w:rFonts w:ascii="Arial" w:cs="Arial" w:eastAsia="Arial" w:hAnsi="Arial"/>
          <w:sz w:val="18"/>
          <w:szCs w:val="18"/>
          <w:color w:val="auto"/>
        </w:rPr>
        <w:t>Languages from significant COVID-19 disruptions. Due to the continuation of travel restrictions imposed as a result of COVID-19, Kaplan expects the disruption of its Languages business operating environment to continue in 2021.</w:t>
      </w:r>
    </w:p>
    <w:p>
      <w:pPr>
        <w:spacing w:after="0" w:line="135"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In the first quarter of 2021, Higher Education revenue grew 3%, due to an increase in the Purdue Global fee recorded and revenue from new university agreements. For the first quarter of 2021, Kaplan recorded a portion of the fee with Purdue Global based on an assessment of its collectability under the TOSA; no fee with Purdue Global was recorded in the first quarter of 2020. Purdue Global experienced increased enrollment for the first three months of 2021, which resulted in improved Higher Education results. The Company will continue to assess the collectability of the fee with Purdue Global on a quarterly basis to make a determination as to whether to record all or part of the fee in the future and whether to make adjustments to fee amounts recognized in earlier periods. The first quarter 2020 operating loss at Higher Education includes $2.0 million in lease restructuring costs.</w:t>
      </w:r>
    </w:p>
    <w:p>
      <w:pPr>
        <w:spacing w:after="0" w:line="135"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As of March 31, 2021, Kaplan had a total outstanding accounts receivable balance of $88.6 million from Purdue Global related to amounts due for reimbursements for services, fees earned and a deferred fee. Included in this total, Kaplan has a $ 19.0 million long-term receivable balance due from Purdue Global at March 31, 2021, related to the advance of $20 million during the initial KU Transaction.</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2% for the first quarter of 2021, due to a decline in retail comprehensive test preparation demand, offset in part by product-life extensions in the first quarter of 2020 related to the postponement of various standardized test and certification exam dates due to COVID-19, as well as growth in real estate and insurance programs. Operating results improved in 2021 due to savings from restructuring activities implemented in 2020 and the adverse revenue impact from product-life extensions in the first quarter of 2020.</w:t>
      </w:r>
    </w:p>
    <w:p>
      <w:pPr>
        <w:spacing w:after="0" w:line="137"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the first three months of 2021 due to higher incentive compensation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6"/>
                <w:szCs w:val="16"/>
                <w:color w:val="auto"/>
              </w:rPr>
            </w:pPr>
          </w:p>
        </w:tc>
      </w:tr>
      <w:tr>
        <w:trPr>
          <w:trHeight w:val="209"/>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113,625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115,448</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5"/>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32,978</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35,776</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16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Revenue at the television broadcasting division decreased 2% to $113.6 million in the first quarter of 2021, from $115.4 million in the same period of 2020. The revenue decrease is due to a $ 10.3 million decline in political advertising revenue, partially offset by a $4.1 million increase in retransmission revenues and increased local and national advertising revenues, which were adversely impacted in 2020 by reduced demand related to the COVID-19 pandemic. In the first quarter of 2021 and 2020, the television broadcasting division recorded $0.6 million and $0.3 million, respectively, in reductions to operating expenses related to property, plant and equipment gains due to new equipment received at no cost in connection with the spectrum repacking mandate of the FCC. Operating income for the first quarter of 2021 decreased 8% to $33.0 million, from $35.8 million in the same period of 2020, due to reduced revenues and higher network fees.</w:t>
      </w:r>
    </w:p>
    <w:p>
      <w:pPr>
        <w:spacing w:after="0" w:line="139"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In March 2021, the Company’s television stations located in Orlando, FL and Jacksonville, FL received approval of their FCC license renewals through February 1, 2029.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20" w:type="dxa"/>
            <w:vAlign w:val="bottom"/>
            <w:gridSpan w:val="3"/>
          </w:tcPr>
          <w:p>
            <w:pPr>
              <w:jc w:val="center"/>
              <w:ind w:right="322"/>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30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4500" w:type="dxa"/>
            <w:vAlign w:val="bottom"/>
          </w:tcPr>
          <w:p>
            <w:pPr>
              <w:ind w:left="20"/>
              <w:spacing w:after="0"/>
              <w:rPr>
                <w:sz w:val="20"/>
                <w:szCs w:val="20"/>
                <w:color w:val="auto"/>
              </w:rPr>
            </w:pPr>
            <w:r>
              <w:rPr>
                <w:rFonts w:ascii="Arial" w:cs="Arial" w:eastAsia="Arial" w:hAnsi="Arial"/>
                <w:sz w:val="16"/>
                <w:szCs w:val="16"/>
                <w:color w:val="auto"/>
              </w:rPr>
              <w:t>Revenue</w:t>
            </w:r>
          </w:p>
        </w:tc>
        <w:tc>
          <w:tcPr>
            <w:tcW w:w="34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115,960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113,458</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w:t>
            </w:r>
          </w:p>
        </w:tc>
      </w:tr>
      <w:tr>
        <w:trPr>
          <w:trHeight w:val="225"/>
        </w:trPr>
        <w:tc>
          <w:tcPr>
            <w:tcW w:w="4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8,907</w:t>
            </w:r>
          </w:p>
        </w:tc>
        <w:tc>
          <w:tcPr>
            <w:tcW w:w="420" w:type="dxa"/>
            <w:vAlign w:val="bottom"/>
          </w:tcPr>
          <w:p>
            <w:pPr>
              <w:spacing w:after="0"/>
              <w:rPr>
                <w:sz w:val="19"/>
                <w:szCs w:val="19"/>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6,501</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37</w:t>
            </w:r>
          </w:p>
        </w:tc>
      </w:tr>
    </w:tbl>
    <w:p>
      <w:pPr>
        <w:spacing w:after="0" w:line="16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Manufacturing revenues increased 2% in the first quarter of 2021. The revenue growth is due primarily to increased revenues at Hoover from significantly higher wood prices but lower product demand, partially offset by lower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p>
      <w:pPr>
        <w:ind w:right="20"/>
        <w:spacing w:after="0" w:line="225" w:lineRule="auto"/>
        <w:rPr>
          <w:sz w:val="20"/>
          <w:szCs w:val="20"/>
          <w:color w:val="auto"/>
        </w:rPr>
      </w:pPr>
      <w:r>
        <w:rPr>
          <w:rFonts w:ascii="Arial" w:cs="Arial" w:eastAsia="Arial" w:hAnsi="Arial"/>
          <w:sz w:val="18"/>
          <w:szCs w:val="18"/>
          <w:color w:val="auto"/>
        </w:rPr>
        <w:t>revenues at Dekko due to a significant reduction in product demand, particularly in the commercial office electrical products, hospitality, transportation and industrial sectors. Manufacturing operating results improved in the first quarter of 2021 due to significantly higher results at Hoover from substantial gains on inventory sales, partially offset by a significant decline in Dekko results from lower revenues. Since the onset of the COVID-19 pandemic in the second half of March 2020, lower product demand at Dekko has adversely impacted manufacturing revenues and operating income and this is expected to continue throughout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6"/>
                <w:szCs w:val="16"/>
                <w:color w:val="auto"/>
              </w:rPr>
            </w:pPr>
          </w:p>
        </w:tc>
      </w:tr>
      <w:tr>
        <w:trPr>
          <w:trHeight w:val="208"/>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50,043</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45,994</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9</w:t>
            </w:r>
          </w:p>
        </w:tc>
      </w:tr>
      <w:tr>
        <w:trPr>
          <w:trHeight w:val="225"/>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7,140</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3,169</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Graham Healthcare Group (GHG) provides home health and hospice services in three states. GHG provides other healthcare services, including nursing care and prescription services for patients receiving in-home infusion treatments through its 75% interest in CSI Pharmacy Holdings Company, LLC (CSI). Healthcare revenues increased 9% for the first quarter of 2021, due to growth at CSI and home health services. The increase in GHG operating results in the first quarter of 2021 is due to improved results from home health services and CSI. In the second half of March 2020, GHG home health patient volumes declined, due primarily to the curtailment of elective procedures by health systems due to the COVID-19 pandemic.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6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Automotive includes three automotive dealerships in the Washington, D.C. metropolitan area: Lexus of Rockville, Honda of Tysons Corner, and Ourisman Jeep of Bethesda. Revenues for the first quarter of 2021 increased due to sales growth at each of the three dealerships, due partly to significantly reduced demand for sales and service in the first quarter of 2020 at the onset of the COVID-19 pandemic in March 2020. As a result of the pandemic and the related recessionary conditions, the Company’s automotive dealerships recorded a $6.7 million intangible asset impairment charge in the first quarter of 2020. Operating earnings for the first quarter of 2021 improved from a loss in the prior year due to increased sales, in addition to the impairment charge recorded in the first quarter of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 (CRG)</w:t>
      </w:r>
    </w:p>
    <w:p>
      <w:pPr>
        <w:spacing w:after="0" w:line="16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all of its restaurants and venues in the second half of March 2020 through mid-June 2020, pursuant to government orders, maintaining limited operations for outdoor dining, delivery and pickup. CRG recorded a $9.7 million goodwill and intangible assets impairment charge in the first quarter of 2020. In December 2020, CRG temporarily closed its restaurant dining rooms in Maryland and the District of Columbia for the second time, reopening again for limited indoor dining service in mid-February 2021.</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Overall, CRG incurred significant operating losses in each of the first quarters of 2021 and 2020 due to limited revenues and costs incurred to maintain its facilities and support its employees, and CRG is uncertain as to the timing and other details regarding a full reopening. While CRG revenues have been adversely impacted as a result of the pandemic, such revenues improved steadily in each of the first three months of 2021. CRG continues to develop and implement initiatives to increase sales and reduce costs to mitigate the impact of COVID-19. The pandemic is expected to continue to adversely impact CRG revenues and operating results in the second quarter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At the end of the first quarter of 2021, Framebridge had six retail locations in the Washington, DC, Brooklyn, NY and Atlanta, GA areas and two manufacturing facilities in Kentucky. Framebridge revenues in the first quarter of 2021 were up substantially from the prior year. As an investment stage business, Framebridge reported operating losses in the first quarter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6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Code3 revenue declined in the first quarter of 2021, due to continued sluggish marketing spending by some advertising clients as a result of the recessionary environment from</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7" w:name="page28"/>
    <w:bookmarkEnd w:id="27"/>
    <w:p>
      <w:pPr>
        <w:ind w:right="100"/>
        <w:spacing w:after="0" w:line="235" w:lineRule="auto"/>
        <w:rPr>
          <w:sz w:val="20"/>
          <w:szCs w:val="20"/>
          <w:color w:val="auto"/>
        </w:rPr>
      </w:pPr>
      <w:r>
        <w:rPr>
          <w:rFonts w:ascii="Arial" w:cs="Arial" w:eastAsia="Arial" w:hAnsi="Arial"/>
          <w:sz w:val="18"/>
          <w:szCs w:val="18"/>
          <w:color w:val="auto"/>
        </w:rPr>
        <w:t>the COVID-19 pandemic, offset by increased commerce and creative revenues. Code3 reported operating losses in the first quarter of 2021 and the first quarter of 2020. Code3 implemented a restructuring plan in 2020 that included initiatives to reduce Code3’s cost 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Megaphone was sold by the Company to Spotify in December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2"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three investment stage businesses, Cybervista, Decile and Pinna. All of these businesses reported revenue increases in the first three months of 2021. Losses from each of these five businesses in the first three months of 2021 adversely affected operating results.</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Overall, for the first quarter of 2021, operating revenues for other businesses increased due largely to increases at the automotive dealerships and from the Framebridge acquisition, partially offset by declines at CRG and Code3, and due to the sale of Megaphone in December 2020. Operating results improved in the first quarter of 2021 primarily due to the goodwill and other long-lived asset impairment charges recorded in the first quarter of 2020 at the automotive dealerships and CRG.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increased in the first three months of 2021 due primarily to higher compensation 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At March 31, 2021, the Company held an approximate 12% interest in Intersection Holdings, LLC, a company that provides digital marketing and advertising services and products for cities, transit systems, airports, and other public and private spaces. The Company also holds interests in several other affiliates, including a number of home health and hospice joint ventures managed by GHG and two joint ventures managed by Kaplan. Overall, the Company recorded equity in earnings of affiliates of $13.4 million for the first quarter of 2021, compared to losses of $1.5 million for the first quarter of 2020. These amounts include $10.3 million in net earnings for the first quarter of 2021 and $ 0.6 million in net losses for the first quarter of 2020 from affiliates whose operations are not managed by the Company; this includes losses from the Company’s investment in Intersection in the first quarter of 2021. The Company recorded $3.6 million in write-downs in equity in earnings of affiliates related to two of its investments in the first quarter of 2020.</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recessionary environment resulting from the COVID-19 pandemic adversely impacted the underlying businesses of Intersection Holdings, LLC due to lower marketing spending by advertising clients. The decline in revenues adversely impacted the operating results and liquidity of the business since the onset of the COVID-19 pandemic. The Company concluded that these events are not indicative of an other than temporary decline in the value of its investment to an amount less than its carrying value. Given the uncertain economic impact of the COVID-19 pandemic, it is possible that an other than temporary impairment charge could occur in the future should Intersection Holdings, LLC fail to execute on its operating and financing strategy to address the decline in revenues and operating results. Further, the Company recorded a $5.4 million loss in equity earnings related to Intersection in the first quarter of 2021 and expects to record additional losses for the remainder of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The Company incurred net interest expense of $7.6 million for the first quarter of 2021, compared to $6.5 million for the first quarter of 2020. The Company recorded interest expense of $1.1 million to adjust the fair value of the mandatorily redeemable noncontrolling interest at GHG in the first quarter of 2021.</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At March 31, 2021, the Company had $ 510.3 million in borrowings outstanding at an average interest rate of 5.1% and cash, marketable equity securities and other investments of $1,088.2 million. At March 31, 2021, the Company had £55 million ($75.6 million) outstanding on its $300 million revolving credit facility. In management’s opinion, the Company will have sufficient financial resources to meet its business requirements in the next twelve months, including working capital requirements, capital expenditures, interest payments and dividends.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$28.8 million for the first quarter of 2021, compared to $18.4 million for the first quarter of 2020, respectively.</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Overall, the Company recognized $79.2 million in net gains on marketable equity securities in the first quarter of 2021, compared to $100.4 million in net losses on marketable equity securities in the first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$6.3 million for the first quarter of 2021, compared to $2.7 million for the first quarter of 2020. The 2021 amounts included a $2.7 million fair value increase on a cost method investment and other items. The 2020 amounts included $4.3 million in foreign currency gains and other items; partially offset by $2.6 million in impairments on cost method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(Benefit from)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three months of 2021 was 26.9%.</w:t>
      </w:r>
    </w:p>
    <w:p>
      <w:pPr>
        <w:spacing w:after="0" w:line="144"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Company’s effective tax rate for the first three months of 2020 was 57.3%, which was generally based on the Company’s estimated effective tax rate for fiscal year 2020. The Company’s estimated tax rate for 2020 included the adverse impacts of the COVID-19 pandemic and losses on marketable equity securities on the Company’s estimated pre-tax income for 2020, resulting in a significantly higher overall estimated tax rate, as permanent differences and increased valuation allowances have a larger impact on the overall estimated effective tax rate.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(Losses) Per Share</w:t>
      </w:r>
    </w:p>
    <w:p>
      <w:pPr>
        <w:spacing w:after="0" w:line="16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calculation of diluted earnings per share for the first quarter of 2021 was based on 4,977,340 weighted average shares outstanding, compared to 5,273,651 for the first quarter of 2020. At March 31, 2021, there were 5,001,649 shares outstanding. On September 10, 2020, the Board of Directors authorized the Company to acquire up to 500,000 shares of its Class B common stock; the Company has remaining authorization for 364,151 shares as of March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197"/>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March 31, 2021</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350,135</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413,991</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22,484</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9,063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715,580</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587,582</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510,329</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512,555</w:t>
            </w:r>
          </w:p>
        </w:tc>
      </w:tr>
    </w:tbl>
    <w:p>
      <w:pPr>
        <w:spacing w:after="0" w:line="16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revolving credit facility, amounting to $224.4 million at March 31, 2021.</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March 2020, the U.S. government enacted legislation, including the Coronavirus Aid, Relief, and Economic Security Act (CARES Act) to provide stimulus in the form of financial aid to businesses affected by the COVID-19 pandemic. Under the CARES Act, employers may defer the payment of the employer share of FICA taxes due for the period beginning on March 27, 2020, and ending December 31, 2020. As of March 31, 2021, the Company has deferred $ 21.4 million of FICA payments under this program, of which 50% is due by December 31, 2021 and the remaining balance due by December 31, 2022.</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April 2020, GHG applied for and received $31.5 million under the expanded Medicare Accelerated and Advanced Payment Program, modified by the CARES Act. The Department of Health and Human Services will recoup this advance beginning 365 days after the payment was issued, and the advance will be reduced by a portion of the amount of revenue recognized for claims submitted for services provided after the recoupment period begins.</w:t>
      </w:r>
    </w:p>
    <w:p>
      <w:pPr>
        <w:spacing w:after="0" w:line="137" w:lineRule="exact"/>
        <w:rPr>
          <w:sz w:val="20"/>
          <w:szCs w:val="20"/>
          <w:color w:val="auto"/>
        </w:rPr>
      </w:pPr>
    </w:p>
    <w:p>
      <w:pPr>
        <w:jc w:val="both"/>
        <w:ind w:right="200"/>
        <w:spacing w:after="0" w:line="227" w:lineRule="auto"/>
        <w:rPr>
          <w:sz w:val="20"/>
          <w:szCs w:val="20"/>
          <w:color w:val="auto"/>
        </w:rPr>
      </w:pPr>
      <w:r>
        <w:rPr>
          <w:rFonts w:ascii="Arial" w:cs="Arial" w:eastAsia="Arial" w:hAnsi="Arial"/>
          <w:sz w:val="18"/>
          <w:szCs w:val="18"/>
          <w:color w:val="auto"/>
        </w:rPr>
        <w:t>Governments in other jurisdictions where the Company operates also provided relief to businesses affected by the COVID-19 pandemic in the form of job retention schemes, payroll assistance, deferral of income and other tax payments, and loans. As of March 31, 2021, Kaplan has recorded benefits totaling $1.6 million related to job retention and payroll schemes, mostly at Kaplan International. Additionally, Kaplan deferred VAT and other tax payments in Ireland amounting to $2.2 million as of March 31, 2021.</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9" w:name="page30"/>
    <w:bookmarkEnd w:id="29"/>
    <w:p>
      <w:pPr>
        <w:ind w:right="160"/>
        <w:spacing w:after="0" w:line="227" w:lineRule="auto"/>
        <w:rPr>
          <w:sz w:val="20"/>
          <w:szCs w:val="20"/>
          <w:color w:val="auto"/>
        </w:rPr>
      </w:pPr>
      <w:r>
        <w:rPr>
          <w:rFonts w:ascii="Arial" w:cs="Arial" w:eastAsia="Arial" w:hAnsi="Arial"/>
          <w:sz w:val="18"/>
          <w:szCs w:val="18"/>
          <w:color w:val="auto"/>
        </w:rPr>
        <w:t>During the first three months of 2021, the Company’s cash and cash equivalents decreased by $63.9 million, due to the purchase of marketable equity securities, capital expenditures and payments of dividends, partially offset by cash generated from operations. In the first three months of 2021, the Company’s borrowings decreased by $2.2 million, due to repayments, which were partially offset by foreign currency translation adjustments.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As of March 31, 2021 and December 31, 2020, the Company had money market investments of $175.2 million and $268.8 million, respectively, that are included in cash and cash equivalents. At March 31, 2021, the Company held approximately $68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At March 31, 2021, the fair value of the Company’s investments in marketable equity securities was $700.4 million, which includes investments in the common stock of seven publicly traded companies. The Company purchased $48.0 million of marketable equity securities during the first three months of 2021. There were no sales of marketable equity securities during the first three months of 2021. At March 31, 2021, the unrealized gain related to the Company’s investments totaled $419.5 million.</w:t>
      </w:r>
    </w:p>
    <w:p>
      <w:pPr>
        <w:spacing w:after="0" w:line="135" w:lineRule="exact"/>
        <w:rPr>
          <w:sz w:val="20"/>
          <w:szCs w:val="20"/>
          <w:color w:val="auto"/>
        </w:rPr>
      </w:pPr>
    </w:p>
    <w:p>
      <w:pPr>
        <w:jc w:val="both"/>
        <w:ind w:right="640"/>
        <w:spacing w:after="0" w:line="229" w:lineRule="auto"/>
        <w:rPr>
          <w:sz w:val="20"/>
          <w:szCs w:val="20"/>
          <w:color w:val="auto"/>
        </w:rPr>
      </w:pPr>
      <w:r>
        <w:rPr>
          <w:rFonts w:ascii="Arial" w:cs="Arial" w:eastAsia="Arial" w:hAnsi="Arial"/>
          <w:sz w:val="18"/>
          <w:szCs w:val="18"/>
          <w:color w:val="auto"/>
        </w:rPr>
        <w:t>The Company had working capital of $909.7 million and $ 824.5 million at March 31, 2021 and December 31, 2020,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At March 31, 2021 and December 31, 2020, the Company had borrowings outstanding of $510.3 million and $512.6 million, respectively. The Company’s borrowings at March 31, 2021 were mostly from $ 400.0 million of 5.75% unsecured notes due June 1, 2026, £55 million in outstanding borrowings under the Company’s revolving credit facility and a commercial note of $24.5 million at the Automotive subsidiary. The Company’s borrowings at December 31, 2020 were mostly from $400.0 million of 5.75% unsecured notes due June 1, 2026, £55 million in outstanding borrowings under the Kaplan Credit Agreement and a commercial note of $25.3 million at the Automotive subsidiary. The interest on $400.0 million of 5.75% unsecured notes is payable semiannually on June 1 and December 1.</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During the three months ended March 31, 2021 and 2020, the Company had average borrowings outstanding of approximately $512.1 million and $511.4 million, respectively, at average annual interest rates of approximately 5.0% and 5.1%, respectively. During the three months ended March 31, 2021 and 2020, the Company incurred net interest expense of $7.6 million and $6.5 million, respectively. Included in the interest expense for the three months ended March 31, 2021 is an amount of $1.1 million to adjust the fair value of the mandatorily redeemable noncontrolling interest (See Note 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On April 27, 2021, Standard &amp; Poor’s affirmed the Company’s credit rating and revised the outlook from Negative to Stable.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30"/>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Negative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16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As of March 31, 2021, the Company had $75.6 million outstanding under the $300 million revolving credit facility, which borrowing was used to repay the £60 million Kaplan U.K. credit facility that matured at the end of June 2020.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18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23,999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12,403</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(63,290)</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9,561</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(10,129)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(26,685)</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(1,015)</w:t>
            </w: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(50,435)</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(12,405)</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112,635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200"/>
              <w:spacing w:after="0"/>
              <w:rPr>
                <w:sz w:val="20"/>
                <w:szCs w:val="20"/>
                <w:color w:val="auto"/>
              </w:rPr>
            </w:pPr>
            <w:r>
              <w:rPr>
                <w:rFonts w:ascii="Arial" w:cs="Arial" w:eastAsia="Arial" w:hAnsi="Arial"/>
                <w:sz w:val="16"/>
                <w:szCs w:val="16"/>
                <w:color w:val="auto"/>
              </w:rPr>
              <w:t>(33,891)</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31,529</w:t>
            </w:r>
          </w:p>
        </w:tc>
        <w:tc>
          <w:tcPr>
            <w:tcW w:w="460" w:type="dxa"/>
            <w:vAlign w:val="bottom"/>
          </w:tcPr>
          <w:p>
            <w:pPr>
              <w:spacing w:after="0"/>
              <w:rPr>
                <w:sz w:val="19"/>
                <w:szCs w:val="19"/>
                <w:color w:val="auto"/>
              </w:rPr>
            </w:pP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47,270</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18,594</w:t>
            </w:r>
          </w:p>
        </w:tc>
        <w:tc>
          <w:tcPr>
            <w:tcW w:w="460" w:type="dxa"/>
            <w:vAlign w:val="bottom"/>
          </w:tcPr>
          <w:p>
            <w:pPr>
              <w:spacing w:after="0"/>
              <w:rPr>
                <w:sz w:val="19"/>
                <w:szCs w:val="19"/>
                <w:color w:val="auto"/>
              </w:rPr>
            </w:pP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23,749</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(24,501)</w:t>
            </w:r>
          </w:p>
        </w:tc>
        <w:tc>
          <w:tcPr>
            <w:tcW w:w="460" w:type="dxa"/>
            <w:vAlign w:val="bottom"/>
          </w:tcPr>
          <w:p>
            <w:pPr>
              <w:spacing w:after="0"/>
              <w:rPr>
                <w:sz w:val="19"/>
                <w:szCs w:val="19"/>
                <w:color w:val="auto"/>
              </w:rPr>
            </w:pPr>
          </w:p>
        </w:tc>
        <w:tc>
          <w:tcPr>
            <w:tcW w:w="940" w:type="dxa"/>
            <w:vAlign w:val="bottom"/>
          </w:tcPr>
          <w:p>
            <w:pPr>
              <w:jc w:val="center"/>
              <w:ind w:left="200"/>
              <w:spacing w:after="0"/>
              <w:rPr>
                <w:sz w:val="20"/>
                <w:szCs w:val="20"/>
                <w:color w:val="auto"/>
              </w:rPr>
            </w:pPr>
            <w:r>
              <w:rPr>
                <w:rFonts w:ascii="Arial" w:cs="Arial" w:eastAsia="Arial" w:hAnsi="Arial"/>
                <w:sz w:val="16"/>
                <w:szCs w:val="16"/>
                <w:color w:val="auto"/>
              </w:rPr>
              <w:t>(13,784)</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(60,201)</w:t>
            </w:r>
          </w:p>
        </w:tc>
        <w:tc>
          <w:tcPr>
            <w:tcW w:w="460" w:type="dxa"/>
            <w:vAlign w:val="bottom"/>
          </w:tcPr>
          <w:p>
            <w:pPr>
              <w:spacing w:after="0"/>
              <w:rPr>
                <w:sz w:val="19"/>
                <w:szCs w:val="19"/>
                <w:color w:val="auto"/>
              </w:rPr>
            </w:pP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82,362</w:t>
            </w:r>
          </w:p>
        </w:tc>
      </w:tr>
      <w:tr>
        <w:trPr>
          <w:trHeight w:val="242"/>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(54,057)</w:t>
            </w: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rPr>
              <w:t>(93,303)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23,999</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8"/>
              </w:rPr>
              <w:t>12,403</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4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For the first three months of 2021 compared to the first three months of 2020, the increase in net cash provided by operating activities is primarily due to changes in operating assets and liabilities. Changes in operating assets and liabilities were driven by accounts payable and accrued liabilities and income tax receivables, partially offset by accounts receivable.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provided by investing activities were as follows:</w:t>
      </w:r>
    </w:p>
    <w:p>
      <w:pPr>
        <w:spacing w:after="0" w:line="20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Net (purchases of) proceeds from sales of marketable equity securities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(48,036)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48,016</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(13,113)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(25,235)</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(2,415)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(7,427)</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certain businesses, net of cash acquired</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(6,011)</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274</w:t>
            </w: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(63,290)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9,561</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i w:val="1"/>
          <w:iCs w:val="1"/>
          <w:color w:val="auto"/>
        </w:rPr>
        <w:t xml:space="preserve">Net (purchases of) proceeds from sale of investments. </w:t>
      </w:r>
      <w:r>
        <w:rPr>
          <w:rFonts w:ascii="Arial" w:cs="Arial" w:eastAsia="Arial" w:hAnsi="Arial"/>
          <w:sz w:val="18"/>
          <w:szCs w:val="18"/>
          <w:color w:val="auto"/>
        </w:rPr>
        <w:t>The Company purchased $48.0 million of marketable equity securities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of 2021. During the first three months of 2020, the Company sold marketable equity securities that generated proceeds of $48.0 million.</w:t>
      </w:r>
    </w:p>
    <w:p>
      <w:pPr>
        <w:spacing w:after="0" w:line="118"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for the first three months of 2021 were lower than the first three months of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postponement of noncritical capital expenditures to preserve cash resources in response to the COVID-19 pandemic. In addition, 2020 includes capital expenditures in connection with spectrum repacking at the Company’s television stations in Detroit, MI, Jacksonville, FL, and Roanoke, VA, as mandated by the FCC; these expenditures are expected to be largely reimbursed to the Company by the FCC. The amounts reflected in the Company’s Condensed Consolidated Statements of Cash Flows are based on cash payments made during the relevant periods, whereas the Company’s capital expenditures for the first three months of 2021 of $13.1 million include assets acquired during the quarter. The Company estimates that its capital expenditures will be in the range of $55 million to $65 million in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three months of 2020, the Company acquired two small businesses in its education division.</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5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(7,553)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(7,703)</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2,462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2,478</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under revolving credit facility</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(2,223)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(1,034)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(33,610)</w:t>
            </w:r>
          </w:p>
        </w:tc>
      </w:tr>
      <w:tr>
        <w:trPr>
          <w:trHeight w:val="242"/>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(1,781)</w:t>
            </w: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11,974</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(10,129)</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$1.51 and $1.45 for the first three months of 2021 and 2020, respectively.</w:t>
      </w:r>
    </w:p>
    <w:p>
      <w:pPr>
        <w:spacing w:after="0" w:line="144"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i w:val="1"/>
          <w:iCs w:val="1"/>
          <w:color w:val="auto"/>
        </w:rPr>
        <w:t xml:space="preserve">Vehicle Floor Plan Payable and Borrowings. </w:t>
      </w:r>
      <w:r>
        <w:rPr>
          <w:rFonts w:ascii="Arial" w:cs="Arial" w:eastAsia="Arial" w:hAnsi="Arial"/>
          <w:sz w:val="18"/>
          <w:szCs w:val="18"/>
          <w:color w:val="auto"/>
        </w:rPr>
        <w:t>In the first three months of 2021 and 2020, the Company used floor vehicle plan financing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the purchase of new and used vehicles at its Automotive subsidiary.</w:t>
      </w:r>
    </w:p>
    <w:p>
      <w:pPr>
        <w:spacing w:after="0" w:line="53"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three months of 2020, the Company purchased a total of 83,919 shares of its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cost of approximately $33.6 million. On September 10, 2020, the Board of Directors authorized the Company to acquire up to 500,000 shares of its Class B common stock. The Company did not announce a ceiling price or time limit for the purchases. At March 31, 2021, the Company had remaining authorization from the Board of Directors to purchase up to 364,151 shares of Class B common stock.</w:t>
      </w:r>
    </w:p>
    <w:p>
      <w:pPr>
        <w:spacing w:after="0" w:line="118"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March 2021, the Hoover’s minority shareholders put the remaining outstanding shares to the Company, which had a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$3.5 million. During the first three months of 2021, the Company increased the borrowings under its cash overdraft facilities by $3.2 million. During the first three months of 2020, the Company increased the borrowings under its cash overdraft by $9.1 million and received $5.3 million in proceeds from the exercise of stock options.</w:t>
      </w:r>
    </w:p>
    <w:p>
      <w:pPr>
        <w:spacing w:after="0" w:line="13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report, in the Company’s Annual Report on Form 10-K and in the Company’s 2020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2020 Annual Report filed on Form 10-K have not otherwise changed significantly.</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80"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March 31, 2021.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80"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March 31, 2021</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10100" w:type="dxa"/>
            <w:vAlign w:val="bottom"/>
            <w:gridSpan w:val="13"/>
          </w:tcPr>
          <w:p>
            <w:pPr>
              <w:ind w:left="320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351"/>
        </w:trPr>
        <w:tc>
          <w:tcPr>
            <w:tcW w:w="11200" w:type="dxa"/>
            <w:vAlign w:val="bottom"/>
            <w:gridSpan w:val="14"/>
          </w:tcPr>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24"/>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24"/>
                <w:szCs w:val="24"/>
                <w:color w:val="auto"/>
              </w:rPr>
            </w:pPr>
          </w:p>
        </w:tc>
        <w:tc>
          <w:tcPr>
            <w:tcW w:w="6080" w:type="dxa"/>
            <w:vAlign w:val="bottom"/>
            <w:gridSpan w:val="12"/>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6"/>
                <w:szCs w:val="16"/>
                <w:color w:val="auto"/>
              </w:rPr>
            </w:pPr>
          </w:p>
        </w:tc>
        <w:tc>
          <w:tcPr>
            <w:tcW w:w="608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0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13"/>
          </w:tcPr>
          <w:p>
            <w:pPr>
              <w:spacing w:after="0"/>
              <w:rPr>
                <w:rFonts w:ascii="Arial" w:cs="Arial" w:eastAsia="Arial" w:hAnsi="Arial"/>
                <w:sz w:val="16"/>
                <w:szCs w:val="16"/>
                <w:color w:val="0000FF"/>
              </w:rPr>
            </w:pPr>
            <w:hyperlink r:id="rId67">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2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Annual Report on Form 10-K for the fiscal year ended December 28, 2003).</w:t>
              </w:r>
            </w:hyperlink>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9520" w:type="dxa"/>
            <w:vAlign w:val="bottom"/>
            <w:tcBorders>
              <w:bottom w:val="single" w:sz="8" w:color="0000FF"/>
            </w:tcBorders>
            <w:gridSpan w:val="8"/>
          </w:tcPr>
          <w:p>
            <w:pPr>
              <w:spacing w:after="0"/>
              <w:rPr>
                <w:rFonts w:ascii="Arial" w:cs="Arial" w:eastAsia="Arial" w:hAnsi="Arial"/>
                <w:sz w:val="16"/>
                <w:szCs w:val="16"/>
                <w:color w:val="0000FF"/>
              </w:rPr>
            </w:pPr>
            <w:hyperlink r:id="rId68">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8">
              <w:r>
                <w:rPr>
                  <w:rFonts w:ascii="Arial" w:cs="Arial" w:eastAsia="Arial" w:hAnsi="Arial"/>
                  <w:sz w:val="16"/>
                  <w:szCs w:val="16"/>
                  <w:color w:val="0000FF"/>
                </w:rPr>
                <w:t>reference to Exhibit 3.1 to the Company’s current Report on Form 8-K dated November 29, 2013).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9980" w:type="dxa"/>
            <w:vAlign w:val="bottom"/>
            <w:tcBorders>
              <w:bottom w:val="single" w:sz="8" w:color="0000FF"/>
            </w:tcBorders>
            <w:gridSpan w:val="11"/>
          </w:tcPr>
          <w:p>
            <w:pPr>
              <w:spacing w:after="0"/>
              <w:rPr>
                <w:rFonts w:ascii="Arial" w:cs="Arial" w:eastAsia="Arial" w:hAnsi="Arial"/>
                <w:sz w:val="16"/>
                <w:szCs w:val="16"/>
                <w:color w:val="0000FF"/>
              </w:rPr>
            </w:pPr>
            <w:hyperlink r:id="rId69">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9">
              <w:r>
                <w:rPr>
                  <w:rFonts w:ascii="Arial" w:cs="Arial" w:eastAsia="Arial" w:hAnsi="Arial"/>
                  <w:sz w:val="16"/>
                  <w:szCs w:val="16"/>
                  <w:color w:val="0000FF"/>
                </w:rPr>
                <w:t>Current Report on Form 8-K dated November 29, 2013).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9540" w:type="dxa"/>
            <w:vAlign w:val="bottom"/>
            <w:tcBorders>
              <w:bottom w:val="single" w:sz="8" w:color="0000FF"/>
            </w:tcBorders>
            <w:gridSpan w:val="9"/>
          </w:tcPr>
          <w:p>
            <w:pPr>
              <w:spacing w:after="0"/>
              <w:rPr>
                <w:rFonts w:ascii="Arial" w:cs="Arial" w:eastAsia="Arial" w:hAnsi="Arial"/>
                <w:sz w:val="16"/>
                <w:szCs w:val="16"/>
                <w:color w:val="0000FF"/>
              </w:rPr>
            </w:pPr>
            <w:hyperlink r:id="rId70">
              <w:r>
                <w:rPr>
                  <w:rFonts w:ascii="Arial" w:cs="Arial" w:eastAsia="Arial" w:hAnsi="Arial"/>
                  <w:sz w:val="16"/>
                  <w:szCs w:val="16"/>
                  <w:color w:val="0000FF"/>
                </w:rPr>
                <w:t>Senior Notes Indenture dated as of May 30, 2018, between the Company and The Bank of New York Mellon Trust Company, N.A., as</w:t>
              </w:r>
            </w:hyperlink>
          </w:p>
        </w:tc>
        <w:tc>
          <w:tcPr>
            <w:tcW w:w="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70">
              <w:r>
                <w:rPr>
                  <w:rFonts w:ascii="Arial" w:cs="Arial" w:eastAsia="Arial" w:hAnsi="Arial"/>
                  <w:sz w:val="16"/>
                  <w:szCs w:val="16"/>
                  <w:color w:val="0000FF"/>
                </w:rPr>
                <w:t>Trustee (incorporated by reference to Exhibit 4.1 to the Company’s Current Report on Form 8-K dated May 30, 2018).</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13"/>
          </w:tcPr>
          <w:p>
            <w:pPr>
              <w:spacing w:after="0"/>
              <w:rPr>
                <w:rFonts w:ascii="Arial" w:cs="Arial" w:eastAsia="Arial" w:hAnsi="Arial"/>
                <w:sz w:val="16"/>
                <w:szCs w:val="16"/>
                <w:color w:val="0000FF"/>
              </w:rPr>
            </w:pPr>
            <w:hyperlink r:id="rId71">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71">
              <w:r>
                <w:rPr>
                  <w:rFonts w:ascii="Arial" w:cs="Arial" w:eastAsia="Arial" w:hAnsi="Arial"/>
                  <w:sz w:val="16"/>
                  <w:szCs w:val="16"/>
                  <w:color w:val="0000FF"/>
                </w:rPr>
                <w:t>the Company, and The Bank of New York Mellon Trust Company, N.A., as trustee (incorporated by reference to Exhibit 4.2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rPr>
            </w:pPr>
            <w:hyperlink r:id="rId71">
              <w:r>
                <w:rPr>
                  <w:rFonts w:ascii="Arial" w:cs="Arial" w:eastAsia="Arial" w:hAnsi="Arial"/>
                  <w:sz w:val="16"/>
                  <w:szCs w:val="16"/>
                  <w:color w:val="0000FF"/>
                </w:rPr>
                <w:t>Quarterly Report on Form 10-Q for the quarter ended March 31, 2020).</w:t>
              </w:r>
            </w:hyperlink>
          </w:p>
        </w:tc>
        <w:tc>
          <w:tcPr>
            <w:tcW w:w="496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8"/>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Rule 13a-14(a)/15d-14(a) Certification of the Chief Executive Officer.</w:t>
              </w:r>
            </w:hyperlink>
          </w:p>
        </w:tc>
        <w:tc>
          <w:tcPr>
            <w:tcW w:w="52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13"/>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hanging="953"/>
        <w:spacing w:after="0"/>
        <w:tabs>
          <w:tab w:leader="none" w:pos="1100" w:val="left"/>
        </w:tabs>
        <w:numPr>
          <w:ilvl w:val="0"/>
          <w:numId w:val="18"/>
        </w:numPr>
        <w:rPr>
          <w:rFonts w:ascii="Arial" w:cs="Arial" w:eastAsia="Arial" w:hAnsi="Arial"/>
          <w:sz w:val="16"/>
          <w:szCs w:val="16"/>
          <w:color w:val="0000FF"/>
        </w:rPr>
      </w:pPr>
      <w:hyperlink w:anchor="page38">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200" w:lineRule="exact"/>
        <w:rPr>
          <w:sz w:val="20"/>
          <w:szCs w:val="20"/>
          <w:color w:val="auto"/>
        </w:rPr>
      </w:pP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195"/>
        </w:trPr>
        <w:tc>
          <w:tcPr>
            <w:tcW w:w="800" w:type="dxa"/>
            <w:vAlign w:val="bottom"/>
          </w:tcPr>
          <w:p>
            <w:pPr>
              <w:spacing w:after="0"/>
              <w:rPr>
                <w:sz w:val="16"/>
                <w:szCs w:val="16"/>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607"/>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0" w:lineRule="exact"/>
        <w:rPr>
          <w:sz w:val="20"/>
          <w:szCs w:val="20"/>
          <w:color w:val="auto"/>
        </w:rPr>
      </w:pPr>
    </w:p>
    <w:p>
      <w:pPr>
        <w:spacing w:after="0" w:line="213" w:lineRule="exact"/>
        <w:rPr>
          <w:sz w:val="20"/>
          <w:szCs w:val="20"/>
          <w:color w:val="auto"/>
        </w:rPr>
      </w:pPr>
    </w:p>
    <w:p>
      <w:pPr>
        <w:ind w:left="1100" w:hanging="953"/>
        <w:spacing w:after="0"/>
        <w:tabs>
          <w:tab w:leader="none" w:pos="11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ectPr>
          <w:pgSz w:w="11900" w:h="16838" w:orient="portrait"/>
          <w:cols w:equalWidth="0" w:num="1">
            <w:col w:w="11200"/>
          </w:cols>
          <w:pgMar w:left="320" w:top="1035" w:right="37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5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43"/>
        </w:trPr>
        <w:tc>
          <w:tcPr>
            <w:tcW w:w="34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33"/>
        </w:trPr>
        <w:tc>
          <w:tcPr>
            <w:tcW w:w="3480" w:type="dxa"/>
            <w:vAlign w:val="bottom"/>
          </w:tcPr>
          <w:p>
            <w:pPr>
              <w:spacing w:after="0"/>
              <w:rPr>
                <w:sz w:val="20"/>
                <w:szCs w:val="20"/>
                <w:color w:val="auto"/>
              </w:rPr>
            </w:pPr>
            <w:r>
              <w:rPr>
                <w:rFonts w:ascii="Arial" w:cs="Arial" w:eastAsia="Arial" w:hAnsi="Arial"/>
                <w:sz w:val="18"/>
                <w:szCs w:val="18"/>
                <w:color w:val="auto"/>
              </w:rPr>
              <w:t>Date: May 5, 2021</w:t>
            </w:r>
          </w:p>
        </w:tc>
        <w:tc>
          <w:tcPr>
            <w:tcW w:w="368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48"/>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Timothy J. O’Shaughnessy,</w:t>
            </w:r>
          </w:p>
        </w:tc>
      </w:tr>
      <w:tr>
        <w:trPr>
          <w:trHeight w:val="135"/>
        </w:trPr>
        <w:tc>
          <w:tcPr>
            <w:tcW w:w="34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05"/>
        </w:trPr>
        <w:tc>
          <w:tcPr>
            <w:tcW w:w="3480" w:type="dxa"/>
            <w:vAlign w:val="bottom"/>
          </w:tcPr>
          <w:p>
            <w:pPr>
              <w:spacing w:after="0"/>
              <w:rPr>
                <w:sz w:val="20"/>
                <w:szCs w:val="20"/>
                <w:color w:val="auto"/>
              </w:rPr>
            </w:pPr>
            <w:r>
              <w:rPr>
                <w:rFonts w:ascii="Arial" w:cs="Arial" w:eastAsia="Arial" w:hAnsi="Arial"/>
                <w:sz w:val="18"/>
                <w:szCs w:val="18"/>
                <w:color w:val="auto"/>
              </w:rPr>
              <w:t>Date: May 5, 2021</w:t>
            </w:r>
          </w:p>
        </w:tc>
        <w:tc>
          <w:tcPr>
            <w:tcW w:w="368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49"/>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Wallace R. Cooney,</w:t>
            </w:r>
          </w:p>
        </w:tc>
      </w:tr>
      <w:tr>
        <w:trPr>
          <w:trHeight w:val="148"/>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90"/>
        </w:trPr>
        <w:tc>
          <w:tcPr>
            <w:tcW w:w="3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33"/>
        </w:trPr>
        <w:tc>
          <w:tcPr>
            <w:tcW w:w="3480" w:type="dxa"/>
            <w:vAlign w:val="bottom"/>
          </w:tcPr>
          <w:p>
            <w:pPr>
              <w:spacing w:after="0"/>
              <w:rPr>
                <w:sz w:val="24"/>
                <w:szCs w:val="24"/>
                <w:color w:val="auto"/>
              </w:rPr>
            </w:pPr>
          </w:p>
        </w:tc>
        <w:tc>
          <w:tcPr>
            <w:tcW w:w="3680" w:type="dxa"/>
            <w:vAlign w:val="bottom"/>
          </w:tcPr>
          <w:p>
            <w:pPr>
              <w:jc w:val="right"/>
              <w:ind w:right="1390"/>
              <w:spacing w:after="0"/>
              <w:rPr>
                <w:sz w:val="20"/>
                <w:szCs w:val="20"/>
                <w:color w:val="auto"/>
              </w:rPr>
            </w:pPr>
            <w:r>
              <w:rPr>
                <w:rFonts w:ascii="Arial" w:cs="Arial" w:eastAsia="Arial" w:hAnsi="Arial"/>
                <w:sz w:val="18"/>
                <w:szCs w:val="18"/>
                <w:color w:val="auto"/>
              </w:rPr>
              <w:t>33</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39"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44"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340" w:right="100" w:hanging="8"/>
        <w:spacing w:after="0" w:line="291"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40" w:right="80" w:hanging="8"/>
        <w:spacing w:after="0" w:line="265"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1300" w:right="20" w:hanging="320"/>
        <w:spacing w:after="0" w:line="256"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jc w:val="both"/>
        <w:ind w:left="340" w:right="280" w:hanging="8"/>
        <w:spacing w:after="0" w:line="256"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ectPr>
          <w:pgSz w:w="11900" w:h="16838" w:orient="portrait"/>
          <w:cols w:equalWidth="0" w:num="1">
            <w:col w:w="11240"/>
          </w:cols>
          <w:pgMar w:left="320" w:top="116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340" w:right="100" w:hanging="8"/>
        <w:spacing w:after="0" w:line="291"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40" w:right="80" w:hanging="8"/>
        <w:spacing w:after="0" w:line="265"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1300" w:right="20" w:hanging="320"/>
        <w:spacing w:after="0" w:line="256"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jc w:val="both"/>
        <w:ind w:left="340" w:right="280" w:hanging="8"/>
        <w:spacing w:after="0" w:line="256"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ectPr>
          <w:pgSz w:w="11900" w:h="16838" w:orient="portrait"/>
          <w:cols w:equalWidth="0" w:num="1">
            <w:col w:w="11240"/>
          </w:cols>
          <w:pgMar w:left="320" w:top="116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2021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5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sectPr>
      <w:pgSz w:w="11900" w:h="16838" w:orient="portrait"/>
      <w:cols w:equalWidth="0" w:num="1">
        <w:col w:w="11240"/>
      </w:cols>
      <w:pgMar w:left="320" w:top="1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736"/>
    </w:lvl>
  </w:abstractNum>
  <w:abstractNum w:abstractNumId="8">
    <w:nsid w:val="41A7C4C9"/>
    <w:multiLevelType w:val="hybridMultilevel"/>
    <w:lvl w:ilvl="0">
      <w:lvlJc w:val="left"/>
      <w:lvlText w:val="%1"/>
      <w:numFmt w:val="decimal"/>
      <w:start w:val="83"/>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802"/>
    </w:lvl>
  </w:abstractNum>
  <w:abstractNum w:abstractNumId="11">
    <w:nsid w:val="25E45D32"/>
    <w:multiLevelType w:val="hybridMultilevel"/>
    <w:lvl w:ilvl="0">
      <w:lvlJc w:val="left"/>
      <w:lvlText w:val="%1"/>
      <w:numFmt w:val="decimal"/>
      <w:start w:val="94"/>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emdash "/>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
      <w:numFmt w:val="bullet"/>
      <w:start w:val="1"/>
    </w:lvl>
    <w:lvl w:ilvl="1">
      <w:lvlJc w:val="left"/>
      <w:lvlText w:val="%2"/>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67" Type="http://schemas.openxmlformats.org/officeDocument/2006/relationships/hyperlink" Target="http://www.sec.gov/Archives/edgar/data/104889/000095013304000785/w94191exv3w1.htm" TargetMode="External"/><Relationship Id="rId68" Type="http://schemas.openxmlformats.org/officeDocument/2006/relationships/hyperlink" Target="http://www.sec.gov/Archives/edgar/data/104889/000095015713000428/ex3-1.htm" TargetMode="External"/><Relationship Id="rId69" Type="http://schemas.openxmlformats.org/officeDocument/2006/relationships/hyperlink" Target="http://www.sec.gov/Archives/edgar/data/104889/000095015713000428/ex3-2.htm" TargetMode="External"/><Relationship Id="rId70" Type="http://schemas.openxmlformats.org/officeDocument/2006/relationships/hyperlink" Target="http://www.sec.gov/Archives/edgar/data/104889/000095015718000572/ex4-1.htm" TargetMode="External"/><Relationship Id="rId71" Type="http://schemas.openxmlformats.org/officeDocument/2006/relationships/hyperlink" Target="http://www.sec.gov/Archives/edgar/data/104889/0000104889200000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2021-05-05T07:43:10Z</dcterms:created>
  <dcterms:modified xsi:type="dcterms:W3CDTF">2021-05-05T07:43:10Z</dcterms:modified>
</cp:coreProperties>
</file>