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271780</wp:posOffset>
            </wp:positionV>
            <wp:extent cx="4869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337820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7, 2020</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60" w:type="dxa"/>
        <w:tblCellMar>
          <w:top w:w="0" w:type="dxa"/>
          <w:left w:w="0" w:type="dxa"/>
          <w:bottom w:w="0" w:type="dxa"/>
          <w:right w:w="0" w:type="dxa"/>
        </w:tblCellMar>
      </w:tblPr>
      <w:tr>
        <w:trPr>
          <w:trHeight w:val="239"/>
        </w:trPr>
        <w:tc>
          <w:tcPr>
            <w:tcW w:w="2540" w:type="dxa"/>
            <w:vAlign w:val="bottom"/>
          </w:tcPr>
          <w:p>
            <w:pPr>
              <w:jc w:val="center"/>
              <w:ind w:left="1561"/>
              <w:spacing w:after="0"/>
              <w:rPr>
                <w:sz w:val="20"/>
                <w:szCs w:val="20"/>
                <w:color w:val="auto"/>
              </w:rPr>
            </w:pPr>
            <w:r>
              <w:rPr>
                <w:rFonts w:ascii="Arial" w:cs="Arial" w:eastAsia="Arial" w:hAnsi="Arial"/>
                <w:sz w:val="18"/>
                <w:szCs w:val="18"/>
                <w:b w:val="1"/>
                <w:bCs w:val="1"/>
                <w:color w:val="auto"/>
                <w:w w:val="98"/>
              </w:rPr>
              <w:t>Delaware</w:t>
            </w:r>
          </w:p>
        </w:tc>
        <w:tc>
          <w:tcPr>
            <w:tcW w:w="1160" w:type="dxa"/>
            <w:vAlign w:val="bottom"/>
          </w:tcPr>
          <w:p>
            <w:pPr>
              <w:spacing w:after="0"/>
              <w:rPr>
                <w:sz w:val="20"/>
                <w:szCs w:val="20"/>
                <w:color w:val="auto"/>
              </w:rPr>
            </w:pPr>
          </w:p>
        </w:tc>
        <w:tc>
          <w:tcPr>
            <w:tcW w:w="3240" w:type="dxa"/>
            <w:vAlign w:val="bottom"/>
          </w:tcPr>
          <w:p>
            <w:pPr>
              <w:jc w:val="center"/>
              <w:ind w:left="339"/>
              <w:spacing w:after="0"/>
              <w:rPr>
                <w:sz w:val="20"/>
                <w:szCs w:val="20"/>
                <w:color w:val="auto"/>
              </w:rPr>
            </w:pPr>
            <w:r>
              <w:rPr>
                <w:rFonts w:ascii="Arial" w:cs="Arial" w:eastAsia="Arial" w:hAnsi="Arial"/>
                <w:sz w:val="18"/>
                <w:szCs w:val="18"/>
                <w:b w:val="1"/>
                <w:bCs w:val="1"/>
                <w:color w:val="auto"/>
                <w:w w:val="99"/>
              </w:rPr>
              <w:t>001-06714</w:t>
            </w:r>
          </w:p>
        </w:tc>
        <w:tc>
          <w:tcPr>
            <w:tcW w:w="216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(State or other jurisdiction of</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(Commission</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incorporation)</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File Number)</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66"/>
        </w:trPr>
        <w:tc>
          <w:tcPr>
            <w:tcW w:w="2540" w:type="dxa"/>
            <w:vAlign w:val="bottom"/>
          </w:tcPr>
          <w:p>
            <w:pPr>
              <w:spacing w:after="0"/>
              <w:rPr>
                <w:sz w:val="20"/>
                <w:szCs w:val="20"/>
                <w:color w:val="auto"/>
              </w:rPr>
            </w:pPr>
            <w:r>
              <w:rPr>
                <w:rFonts w:ascii="Arial" w:cs="Arial" w:eastAsia="Arial" w:hAnsi="Arial"/>
                <w:sz w:val="18"/>
                <w:szCs w:val="18"/>
                <w:b w:val="1"/>
                <w:bCs w:val="1"/>
                <w:color w:val="auto"/>
              </w:rPr>
              <w:t xml:space="preserve">1300 North 17th Street </w:t>
            </w:r>
            <w:r>
              <w:rPr>
                <w:rFonts w:ascii="Arial" w:cs="Arial" w:eastAsia="Arial" w:hAnsi="Arial"/>
                <w:sz w:val="18"/>
                <w:szCs w:val="18"/>
                <w:color w:val="auto"/>
              </w:rPr>
              <w:t>,</w:t>
            </w: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Arlington ,</w:t>
            </w:r>
          </w:p>
        </w:tc>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Virginia</w:t>
            </w:r>
          </w:p>
        </w:tc>
        <w:tc>
          <w:tcPr>
            <w:tcW w:w="216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17"/>
        </w:trPr>
        <w:tc>
          <w:tcPr>
            <w:tcW w:w="370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rPr>
              <w:t>(Address of principal executive offices)</w:t>
            </w:r>
          </w:p>
        </w:tc>
        <w:tc>
          <w:tcPr>
            <w:tcW w:w="3240" w:type="dxa"/>
            <w:vAlign w:val="bottom"/>
          </w:tcPr>
          <w:p>
            <w:pPr>
              <w:spacing w:after="0"/>
              <w:rPr>
                <w:sz w:val="18"/>
                <w:szCs w:val="18"/>
                <w:color w:val="auto"/>
              </w:rPr>
            </w:pPr>
          </w:p>
        </w:tc>
        <w:tc>
          <w:tcPr>
            <w:tcW w:w="2160" w:type="dxa"/>
            <w:vAlign w:val="bottom"/>
            <w:vMerge w:val="restart"/>
          </w:tcPr>
          <w:p>
            <w:pPr>
              <w:jc w:val="center"/>
              <w:ind w:left="8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103505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03"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364"/>
        </w:trPr>
        <w:tc>
          <w:tcPr>
            <w:tcW w:w="49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920" w:type="dxa"/>
            <w:vAlign w:val="bottom"/>
          </w:tcPr>
          <w:p>
            <w:pPr>
              <w:jc w:val="center"/>
              <w:ind w:left="19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28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332" w:lineRule="exact"/>
        <w:rPr>
          <w:sz w:val="24"/>
          <w:szCs w:val="24"/>
          <w:color w:val="auto"/>
        </w:rPr>
      </w:pPr>
    </w:p>
    <w:p>
      <w:pPr>
        <w:ind w:right="60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14" w:lineRule="exact"/>
        <w:rPr>
          <w:sz w:val="24"/>
          <w:szCs w:val="24"/>
          <w:color w:val="auto"/>
        </w:rPr>
      </w:pPr>
    </w:p>
    <w:p>
      <w:pPr>
        <w:ind w:left="4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1" w:lineRule="exact"/>
        <w:rPr>
          <w:sz w:val="24"/>
          <w:szCs w:val="24"/>
          <w:color w:val="auto"/>
        </w:rPr>
      </w:pPr>
    </w:p>
    <w:p>
      <w:pPr>
        <w:ind w:right="1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751" w:right="339" w:bottom="859"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255"/>
                    </a:xfrm>
                    <a:prstGeom prst="rect">
                      <a:avLst/>
                    </a:prstGeom>
                    <a:noFill/>
                  </pic:spPr>
                </pic:pic>
              </a:graphicData>
            </a:graphic>
          </wp:anchor>
        </w:drawing>
        <w:t>Item 5.07 Submission of Matters to a Vote of Security Holders</w:t>
      </w:r>
    </w:p>
    <w:p>
      <w:pPr>
        <w:spacing w:after="0" w:line="200" w:lineRule="exact"/>
        <w:rPr>
          <w:sz w:val="20"/>
          <w:szCs w:val="20"/>
          <w:color w:val="auto"/>
        </w:rPr>
      </w:pPr>
    </w:p>
    <w:p>
      <w:pPr>
        <w:spacing w:after="0" w:line="317"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On May 7, 2020,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ten persons nominated as Directors of the Company as set forth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1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540"/>
        </w:trPr>
        <w:tc>
          <w:tcPr>
            <w:tcW w:w="3280" w:type="dxa"/>
            <w:vAlign w:val="bottom"/>
          </w:tcPr>
          <w:p>
            <w:pPr>
              <w:spacing w:after="0"/>
              <w:rPr>
                <w:sz w:val="24"/>
                <w:szCs w:val="24"/>
                <w:color w:val="auto"/>
              </w:rPr>
            </w:pPr>
          </w:p>
        </w:tc>
        <w:tc>
          <w:tcPr>
            <w:tcW w:w="1940" w:type="dxa"/>
            <w:vAlign w:val="bottom"/>
          </w:tcPr>
          <w:p>
            <w:pPr>
              <w:ind w:left="760"/>
              <w:spacing w:after="0"/>
              <w:rPr>
                <w:sz w:val="20"/>
                <w:szCs w:val="20"/>
                <w:color w:val="auto"/>
              </w:rPr>
            </w:pPr>
            <w:r>
              <w:rPr>
                <w:rFonts w:ascii="Arial" w:cs="Arial" w:eastAsia="Arial" w:hAnsi="Arial"/>
                <w:sz w:val="18"/>
                <w:szCs w:val="18"/>
                <w:color w:val="auto"/>
              </w:rPr>
              <w:t>For</w:t>
            </w:r>
          </w:p>
        </w:tc>
        <w:tc>
          <w:tcPr>
            <w:tcW w:w="2000" w:type="dxa"/>
            <w:vAlign w:val="bottom"/>
          </w:tcPr>
          <w:p>
            <w:pPr>
              <w:ind w:left="620"/>
              <w:spacing w:after="0"/>
              <w:rPr>
                <w:sz w:val="20"/>
                <w:szCs w:val="20"/>
                <w:color w:val="auto"/>
              </w:rPr>
            </w:pPr>
            <w:r>
              <w:rPr>
                <w:rFonts w:ascii="Arial" w:cs="Arial" w:eastAsia="Arial" w:hAnsi="Arial"/>
                <w:sz w:val="18"/>
                <w:szCs w:val="18"/>
                <w:color w:val="auto"/>
              </w:rPr>
              <w:t>Withheld</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Lee C. Bollinger</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Thomas S. Gayner</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Donald E. Graham</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6"/>
        </w:trPr>
        <w:tc>
          <w:tcPr>
            <w:tcW w:w="3280" w:type="dxa"/>
            <w:vAlign w:val="bottom"/>
          </w:tcPr>
          <w:p>
            <w:pPr>
              <w:ind w:left="40"/>
              <w:spacing w:after="0"/>
              <w:rPr>
                <w:sz w:val="20"/>
                <w:szCs w:val="20"/>
                <w:color w:val="auto"/>
              </w:rPr>
            </w:pPr>
            <w:r>
              <w:rPr>
                <w:rFonts w:ascii="Arial" w:cs="Arial" w:eastAsia="Arial" w:hAnsi="Arial"/>
                <w:sz w:val="18"/>
                <w:szCs w:val="18"/>
                <w:color w:val="auto"/>
              </w:rPr>
              <w:t>Jack A. Markell</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Timothy J. O'Shaughnessy</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G. Richard Wagoner, Jr.</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Katharine Weymouth</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8"/>
              </w:rPr>
              <w:t>964,001</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729"/>
        </w:trPr>
        <w:tc>
          <w:tcPr>
            <w:tcW w:w="328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40"/>
        </w:trPr>
        <w:tc>
          <w:tcPr>
            <w:tcW w:w="3280" w:type="dxa"/>
            <w:vAlign w:val="bottom"/>
          </w:tcPr>
          <w:p>
            <w:pPr>
              <w:spacing w:after="0"/>
              <w:rPr>
                <w:sz w:val="24"/>
                <w:szCs w:val="24"/>
                <w:color w:val="auto"/>
              </w:rPr>
            </w:pPr>
          </w:p>
        </w:tc>
        <w:tc>
          <w:tcPr>
            <w:tcW w:w="1940" w:type="dxa"/>
            <w:vAlign w:val="bottom"/>
          </w:tcPr>
          <w:p>
            <w:pPr>
              <w:ind w:left="760"/>
              <w:spacing w:after="0"/>
              <w:rPr>
                <w:sz w:val="20"/>
                <w:szCs w:val="20"/>
                <w:color w:val="auto"/>
              </w:rPr>
            </w:pPr>
            <w:r>
              <w:rPr>
                <w:rFonts w:ascii="Arial" w:cs="Arial" w:eastAsia="Arial" w:hAnsi="Arial"/>
                <w:sz w:val="18"/>
                <w:szCs w:val="18"/>
                <w:color w:val="auto"/>
              </w:rPr>
              <w:t>For</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56"/>
        </w:trPr>
        <w:tc>
          <w:tcPr>
            <w:tcW w:w="328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9"/>
              </w:rPr>
              <w:t>3,146,265</w:t>
            </w:r>
          </w:p>
        </w:tc>
        <w:tc>
          <w:tcPr>
            <w:tcW w:w="2000" w:type="dxa"/>
            <w:vAlign w:val="bottom"/>
          </w:tcPr>
          <w:p>
            <w:pPr>
              <w:jc w:val="center"/>
              <w:spacing w:after="0"/>
              <w:rPr>
                <w:sz w:val="20"/>
                <w:szCs w:val="20"/>
                <w:color w:val="auto"/>
              </w:rPr>
            </w:pPr>
            <w:r>
              <w:rPr>
                <w:rFonts w:ascii="Arial" w:cs="Arial" w:eastAsia="Arial" w:hAnsi="Arial"/>
                <w:sz w:val="18"/>
                <w:szCs w:val="18"/>
                <w:color w:val="auto"/>
              </w:rPr>
              <w:t>300,918</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9"/>
              </w:rPr>
              <w:t>3,194,389</w:t>
            </w:r>
          </w:p>
        </w:tc>
        <w:tc>
          <w:tcPr>
            <w:tcW w:w="2000" w:type="dxa"/>
            <w:vAlign w:val="bottom"/>
          </w:tcPr>
          <w:p>
            <w:pPr>
              <w:jc w:val="center"/>
              <w:spacing w:after="0"/>
              <w:rPr>
                <w:sz w:val="20"/>
                <w:szCs w:val="20"/>
                <w:color w:val="auto"/>
              </w:rPr>
            </w:pPr>
            <w:r>
              <w:rPr>
                <w:rFonts w:ascii="Arial" w:cs="Arial" w:eastAsia="Arial" w:hAnsi="Arial"/>
                <w:sz w:val="18"/>
                <w:szCs w:val="18"/>
                <w:color w:val="auto"/>
              </w:rPr>
              <w:t>252,842</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280" w:type="dxa"/>
            <w:vAlign w:val="bottom"/>
          </w:tcPr>
          <w:p>
            <w:pPr>
              <w:ind w:left="60"/>
              <w:spacing w:after="0"/>
              <w:rPr>
                <w:sz w:val="20"/>
                <w:szCs w:val="20"/>
                <w:color w:val="auto"/>
              </w:rPr>
            </w:pPr>
            <w:r>
              <w:rPr>
                <w:rFonts w:ascii="Arial" w:cs="Arial" w:eastAsia="Arial" w:hAnsi="Arial"/>
                <w:sz w:val="18"/>
                <w:szCs w:val="18"/>
                <w:color w:val="auto"/>
              </w:rPr>
              <w:t>Larry D. Thompson</w:t>
            </w:r>
          </w:p>
        </w:tc>
        <w:tc>
          <w:tcPr>
            <w:tcW w:w="1940" w:type="dxa"/>
            <w:vAlign w:val="bottom"/>
          </w:tcPr>
          <w:p>
            <w:pPr>
              <w:jc w:val="center"/>
              <w:ind w:right="50"/>
              <w:spacing w:after="0"/>
              <w:rPr>
                <w:sz w:val="20"/>
                <w:szCs w:val="20"/>
                <w:color w:val="auto"/>
              </w:rPr>
            </w:pPr>
            <w:r>
              <w:rPr>
                <w:rFonts w:ascii="Arial" w:cs="Arial" w:eastAsia="Arial" w:hAnsi="Arial"/>
                <w:sz w:val="18"/>
                <w:szCs w:val="18"/>
                <w:color w:val="auto"/>
                <w:w w:val="99"/>
              </w:rPr>
              <w:t>3,252,556</w:t>
            </w:r>
          </w:p>
        </w:tc>
        <w:tc>
          <w:tcPr>
            <w:tcW w:w="2000" w:type="dxa"/>
            <w:vAlign w:val="bottom"/>
          </w:tcPr>
          <w:p>
            <w:pPr>
              <w:jc w:val="center"/>
              <w:spacing w:after="0"/>
              <w:rPr>
                <w:sz w:val="20"/>
                <w:szCs w:val="20"/>
                <w:color w:val="auto"/>
              </w:rPr>
            </w:pPr>
            <w:r>
              <w:rPr>
                <w:rFonts w:ascii="Arial" w:cs="Arial" w:eastAsia="Arial" w:hAnsi="Arial"/>
                <w:sz w:val="18"/>
                <w:szCs w:val="18"/>
                <w:color w:val="auto"/>
              </w:rPr>
              <w:t>194,675</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to Approve 2019 Compensation Awarded to Named Executive Officers</w:t>
      </w:r>
    </w:p>
    <w:p>
      <w:pPr>
        <w:spacing w:after="0" w:line="200" w:lineRule="exact"/>
        <w:rPr>
          <w:sz w:val="20"/>
          <w:szCs w:val="20"/>
          <w:color w:val="auto"/>
        </w:rPr>
      </w:pPr>
    </w:p>
    <w:p>
      <w:pPr>
        <w:spacing w:after="0" w:line="2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2019, as set forth below:</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180"/>
          </w:cols>
          <w:pgMar w:left="320" w:top="954" w:right="399" w:bottom="1440" w:gutter="0" w:footer="0" w:header="0"/>
        </w:sectPr>
      </w:pPr>
    </w:p>
    <w:p>
      <w:pPr>
        <w:spacing w:after="0" w:line="32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Against</w:t>
      </w:r>
    </w:p>
    <w:p>
      <w:pPr>
        <w:spacing w:after="0" w:line="6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Abstain</w:t>
      </w:r>
    </w:p>
    <w:p>
      <w:pPr>
        <w:spacing w:after="0" w:line="6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683260</wp:posOffset>
            </wp:positionV>
            <wp:extent cx="7098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3420"/>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jc w:val="center"/>
        <w:ind w:right="34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ectPr>
          <w:pgSz w:w="11900" w:h="16838" w:orient="portrait"/>
          <w:cols w:equalWidth="0" w:num="4">
            <w:col w:w="2000" w:space="720"/>
            <w:col w:w="1300" w:space="720"/>
            <w:col w:w="880" w:space="720"/>
            <w:col w:w="4840"/>
          </w:cols>
          <w:pgMar w:left="320" w:top="95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80"/>
          </w:cols>
          <w:pgMar w:left="320" w:top="954" w:right="3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443230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96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9"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(Signature)</w:t>
      </w:r>
    </w:p>
    <w:p>
      <w:pPr>
        <w:jc w:val="center"/>
        <w:ind w:left="7160"/>
        <w:spacing w:after="0" w:line="234" w:lineRule="auto"/>
        <w:rPr>
          <w:sz w:val="20"/>
          <w:szCs w:val="20"/>
          <w:color w:val="auto"/>
        </w:rPr>
      </w:pPr>
      <w:r>
        <w:rPr>
          <w:rFonts w:ascii="Arial" w:cs="Arial" w:eastAsia="Arial" w:hAnsi="Arial"/>
          <w:sz w:val="18"/>
          <w:szCs w:val="18"/>
          <w:color w:val="auto"/>
        </w:rPr>
        <w:t>Nicole Maddrey</w:t>
      </w:r>
    </w:p>
    <w:p>
      <w:pPr>
        <w:jc w:val="center"/>
        <w:ind w:left="7160"/>
        <w:spacing w:after="0" w:line="235" w:lineRule="auto"/>
        <w:rPr>
          <w:sz w:val="20"/>
          <w:szCs w:val="20"/>
          <w:color w:val="auto"/>
        </w:rPr>
      </w:pPr>
      <w:r>
        <w:rPr>
          <w:rFonts w:ascii="Arial" w:cs="Arial" w:eastAsia="Arial" w:hAnsi="Arial"/>
          <w:sz w:val="18"/>
          <w:szCs w:val="18"/>
          <w:color w:val="auto"/>
        </w:rPr>
        <w:t>Senior Vice President, Secretary</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1137920</wp:posOffset>
            </wp:positionV>
            <wp:extent cx="7098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96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2020-05-08T11:11:41Z</dcterms:created>
  <dcterms:modified xsi:type="dcterms:W3CDTF">2020-05-08T11:11:41Z</dcterms:modified>
</cp:coreProperties>
</file>