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
        <w:spacing w:after="0"/>
        <w:rPr>
          <w:sz w:val="20"/>
          <w:szCs w:val="20"/>
          <w:color w:val="auto"/>
        </w:rPr>
      </w:pPr>
      <w:r>
        <w:rPr>
          <w:rFonts w:ascii="Courier New" w:cs="Courier New" w:eastAsia="Courier New" w:hAnsi="Courier New"/>
          <w:sz w:val="15"/>
          <w:szCs w:val="15"/>
          <w:color w:val="auto"/>
        </w:rPr>
        <w:t>1</w:t>
      </w:r>
    </w:p>
    <w:p>
      <w:pPr>
        <w:spacing w:after="0" w:line="6" w:lineRule="exact"/>
        <w:rPr>
          <w:sz w:val="24"/>
          <w:szCs w:val="24"/>
          <w:color w:val="auto"/>
        </w:rPr>
      </w:pPr>
    </w:p>
    <w:p>
      <w:pPr>
        <w:jc w:val="center"/>
        <w:ind w:right="2793"/>
        <w:spacing w:after="0"/>
        <w:rPr>
          <w:sz w:val="20"/>
          <w:szCs w:val="20"/>
          <w:color w:val="auto"/>
        </w:rPr>
      </w:pPr>
      <w:r>
        <w:rPr>
          <w:rFonts w:ascii="Courier New" w:cs="Courier New" w:eastAsia="Courier New" w:hAnsi="Courier New"/>
          <w:sz w:val="15"/>
          <w:szCs w:val="15"/>
          <w:color w:val="auto"/>
        </w:rPr>
        <w:t>FORM 10-Q</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WASHINGTON, DC 20549</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Quarterly Report Pursuant to Section 13 or 15(d)</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200" w:lineRule="exact"/>
        <w:rPr>
          <w:sz w:val="24"/>
          <w:szCs w:val="24"/>
          <w:color w:val="auto"/>
        </w:rPr>
      </w:pPr>
    </w:p>
    <w:p>
      <w:pPr>
        <w:spacing w:after="0" w:line="335"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For the Quarterly</w:t>
      </w:r>
    </w:p>
    <w:p>
      <w:pPr>
        <w:sectPr>
          <w:pgSz w:w="11900" w:h="16838" w:orient="portrait"/>
          <w:cols w:equalWidth="0" w:num="1">
            <w:col w:w="10225"/>
          </w:cols>
          <w:pgMar w:left="234" w:top="235" w:right="1440" w:bottom="1440" w:gutter="0" w:footer="0" w:header="0"/>
        </w:sectPr>
      </w:pP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Period Ended</w:t>
      </w:r>
    </w:p>
    <w:p>
      <w:pPr>
        <w:spacing w:after="0" w:line="20" w:lineRule="exact"/>
        <w:rPr>
          <w:sz w:val="24"/>
          <w:szCs w:val="24"/>
          <w:color w:val="auto"/>
        </w:rPr>
      </w:pPr>
      <w:r>
        <w:rPr>
          <w:sz w:val="24"/>
          <w:szCs w:val="24"/>
          <w:color w:val="auto"/>
        </w:rPr>
        <w:br w:type="column"/>
      </w:r>
    </w:p>
    <w:p>
      <w:pPr>
        <w:ind w:left="640"/>
        <w:spacing w:after="0"/>
        <w:tabs>
          <w:tab w:leader="none" w:pos="2080" w:val="left"/>
        </w:tabs>
        <w:rPr>
          <w:sz w:val="20"/>
          <w:szCs w:val="20"/>
          <w:color w:val="auto"/>
        </w:rPr>
      </w:pPr>
      <w:r>
        <w:rPr>
          <w:rFonts w:ascii="Courier New" w:cs="Courier New" w:eastAsia="Courier New" w:hAnsi="Courier New"/>
          <w:sz w:val="15"/>
          <w:szCs w:val="15"/>
          <w:color w:val="auto"/>
        </w:rPr>
        <w:t>June 28, 1998</w:t>
      </w:r>
      <w:r>
        <w:rPr>
          <w:sz w:val="20"/>
          <w:szCs w:val="20"/>
          <w:color w:val="auto"/>
        </w:rPr>
        <w:tab/>
      </w:r>
      <w:r>
        <w:rPr>
          <w:rFonts w:ascii="Courier New" w:cs="Courier New" w:eastAsia="Courier New" w:hAnsi="Courier New"/>
          <w:sz w:val="15"/>
          <w:szCs w:val="15"/>
          <w:color w:val="auto"/>
        </w:rPr>
        <w:t>Commission File Number 1-6714</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sectPr>
          <w:pgSz w:w="11900" w:h="16838" w:orient="portrait"/>
          <w:cols w:equalWidth="0" w:num="2">
            <w:col w:w="1106" w:space="0"/>
            <w:col w:w="9119"/>
          </w:cols>
          <w:pgMar w:left="234" w:top="235" w:right="1440" w:bottom="1440" w:gutter="0" w:footer="0" w:header="0"/>
          <w:type w:val="continuous"/>
        </w:sectPr>
      </w:pPr>
    </w:p>
    <w:p>
      <w:pPr>
        <w:ind w:left="2466"/>
        <w:spacing w:after="0"/>
        <w:rPr>
          <w:sz w:val="20"/>
          <w:szCs w:val="20"/>
          <w:color w:val="auto"/>
        </w:rPr>
      </w:pPr>
      <w:r>
        <w:rPr>
          <w:rFonts w:ascii="Courier New" w:cs="Courier New" w:eastAsia="Courier New" w:hAnsi="Courier New"/>
          <w:sz w:val="15"/>
          <w:szCs w:val="15"/>
          <w:color w:val="auto"/>
        </w:rPr>
        <w:t>THE WASHINGTON POST COMPANY</w:t>
      </w:r>
    </w:p>
    <w:p>
      <w:pPr>
        <w:spacing w:after="0" w:line="6" w:lineRule="exact"/>
        <w:rPr>
          <w:sz w:val="24"/>
          <w:szCs w:val="24"/>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1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35" w:lineRule="exact"/>
        <w:rPr>
          <w:sz w:val="24"/>
          <w:szCs w:val="24"/>
          <w:color w:val="auto"/>
        </w:rPr>
      </w:pPr>
    </w:p>
    <w:p>
      <w:pPr>
        <w:ind w:left="1646"/>
        <w:spacing w:after="0"/>
        <w:tabs>
          <w:tab w:leader="none" w:pos="4746" w:val="left"/>
        </w:tabs>
        <w:rPr>
          <w:sz w:val="20"/>
          <w:szCs w:val="20"/>
          <w:color w:val="auto"/>
        </w:rPr>
      </w:pPr>
      <w:r>
        <w:rPr>
          <w:rFonts w:ascii="Courier New" w:cs="Courier New" w:eastAsia="Courier New" w:hAnsi="Courier New"/>
          <w:sz w:val="15"/>
          <w:szCs w:val="15"/>
          <w:color w:val="auto"/>
        </w:rPr>
        <w:t>Delaware</w:t>
      </w:r>
      <w:r>
        <w:rPr>
          <w:sz w:val="20"/>
          <w:szCs w:val="20"/>
          <w:color w:val="auto"/>
        </w:rPr>
        <w:tab/>
      </w:r>
      <w:r>
        <w:rPr>
          <w:rFonts w:ascii="Courier New" w:cs="Courier New" w:eastAsia="Courier New" w:hAnsi="Courier New"/>
          <w:sz w:val="15"/>
          <w:szCs w:val="15"/>
          <w:color w:val="auto"/>
        </w:rPr>
        <w:t>53-0182885</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4"/>
          <w:szCs w:val="24"/>
          <w:color w:val="auto"/>
        </w:rPr>
      </w:pPr>
    </w:p>
    <w:p>
      <w:pPr>
        <w:ind w:left="546"/>
        <w:spacing w:after="0"/>
        <w:tabs>
          <w:tab w:leader="none" w:pos="4466"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5"/>
          <w:szCs w:val="15"/>
          <w:color w:val="auto"/>
        </w:rPr>
        <w:t>(I.R.S. Employer</w:t>
      </w:r>
    </w:p>
    <w:p>
      <w:pPr>
        <w:spacing w:after="0" w:line="6" w:lineRule="exact"/>
        <w:rPr>
          <w:sz w:val="24"/>
          <w:szCs w:val="24"/>
          <w:color w:val="auto"/>
        </w:rPr>
      </w:pPr>
    </w:p>
    <w:p>
      <w:pPr>
        <w:ind w:left="546"/>
        <w:spacing w:after="0"/>
        <w:tabs>
          <w:tab w:leader="none" w:pos="4386" w:val="left"/>
        </w:tabs>
        <w:rPr>
          <w:sz w:val="20"/>
          <w:szCs w:val="20"/>
          <w:color w:val="auto"/>
        </w:rPr>
      </w:pPr>
      <w:r>
        <w:rPr>
          <w:rFonts w:ascii="Courier New" w:cs="Courier New" w:eastAsia="Courier New" w:hAnsi="Courier New"/>
          <w:sz w:val="15"/>
          <w:szCs w:val="15"/>
          <w:color w:val="auto"/>
        </w:rPr>
        <w:t>incorporation or organization)</w:t>
      </w:r>
      <w:r>
        <w:rPr>
          <w:sz w:val="20"/>
          <w:szCs w:val="20"/>
          <w:color w:val="auto"/>
        </w:rPr>
        <w:tab/>
      </w:r>
      <w:r>
        <w:rPr>
          <w:rFonts w:ascii="Courier New" w:cs="Courier New" w:eastAsia="Courier New" w:hAnsi="Courier New"/>
          <w:sz w:val="15"/>
          <w:szCs w:val="15"/>
          <w:color w:val="auto"/>
        </w:rPr>
        <w:t>Identification No.)</w:t>
      </w:r>
    </w:p>
    <w:p>
      <w:pPr>
        <w:spacing w:after="0" w:line="359" w:lineRule="exact"/>
        <w:rPr>
          <w:sz w:val="24"/>
          <w:szCs w:val="24"/>
          <w:color w:val="auto"/>
        </w:rPr>
      </w:pPr>
    </w:p>
    <w:p>
      <w:pPr>
        <w:ind w:left="266"/>
        <w:spacing w:after="0"/>
        <w:tabs>
          <w:tab w:leader="none" w:pos="3006" w:val="left"/>
          <w:tab w:leader="none" w:pos="5486" w:val="left"/>
        </w:tabs>
        <w:rPr>
          <w:sz w:val="20"/>
          <w:szCs w:val="20"/>
          <w:color w:val="auto"/>
        </w:rPr>
      </w:pPr>
      <w:r>
        <w:rPr>
          <w:rFonts w:ascii="Courier New" w:cs="Courier New" w:eastAsia="Courier New" w:hAnsi="Courier New"/>
          <w:sz w:val="15"/>
          <w:szCs w:val="15"/>
          <w:color w:val="auto"/>
        </w:rPr>
        <w:t>1150 15th Street, N.W.</w:t>
      </w:r>
      <w:r>
        <w:rPr>
          <w:sz w:val="20"/>
          <w:szCs w:val="20"/>
          <w:color w:val="auto"/>
        </w:rPr>
        <w:tab/>
      </w: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20071</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4"/>
          <w:szCs w:val="24"/>
          <w:color w:val="auto"/>
        </w:rPr>
      </w:pPr>
    </w:p>
    <w:p>
      <w:pPr>
        <w:ind w:left="546"/>
        <w:spacing w:after="0"/>
        <w:tabs>
          <w:tab w:leader="none" w:pos="4926"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pacing w:after="0" w:line="359" w:lineRule="exact"/>
        <w:rPr>
          <w:sz w:val="24"/>
          <w:szCs w:val="24"/>
          <w:color w:val="auto"/>
        </w:rPr>
      </w:pPr>
    </w:p>
    <w:p>
      <w:pPr>
        <w:ind w:left="3566" w:hanging="543"/>
        <w:spacing w:after="0"/>
        <w:tabs>
          <w:tab w:leader="none" w:pos="3566"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334-6000</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2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(Registrant's telephone number, including area code)</w:t>
      </w:r>
    </w:p>
    <w:p>
      <w:pPr>
        <w:spacing w:after="0" w:line="200" w:lineRule="exact"/>
        <w:rPr>
          <w:sz w:val="24"/>
          <w:szCs w:val="24"/>
          <w:color w:val="auto"/>
        </w:rPr>
      </w:pPr>
    </w:p>
    <w:p>
      <w:pPr>
        <w:spacing w:after="0" w:line="335" w:lineRule="exact"/>
        <w:rPr>
          <w:sz w:val="24"/>
          <w:szCs w:val="24"/>
          <w:color w:val="auto"/>
        </w:rPr>
      </w:pPr>
    </w:p>
    <w:p>
      <w:pPr>
        <w:ind w:left="546"/>
        <w:spacing w:after="0"/>
        <w:rPr>
          <w:sz w:val="20"/>
          <w:szCs w:val="20"/>
          <w:color w:val="auto"/>
        </w:rPr>
      </w:pPr>
      <w:r>
        <w:rPr>
          <w:rFonts w:ascii="Courier New" w:cs="Courier New" w:eastAsia="Courier New" w:hAnsi="Courier New"/>
          <w:sz w:val="15"/>
          <w:szCs w:val="15"/>
          <w:color w:val="auto"/>
        </w:rPr>
        <w:t>Indicate by check mark whether the registrant (1) has filed all reports</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required to be filed by Section 13 or 15(d) of the Securities Exchange Act of</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1934 during the preceding 12 months (or for such shorter period that the</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registrant was required to file such reports), and (2) has been subject to such</w:t>
      </w:r>
    </w:p>
    <w:p>
      <w:pPr>
        <w:spacing w:after="0" w:line="6" w:lineRule="exact"/>
        <w:rPr>
          <w:sz w:val="24"/>
          <w:szCs w:val="24"/>
          <w:color w:val="auto"/>
        </w:rPr>
      </w:pPr>
    </w:p>
    <w:p>
      <w:pPr>
        <w:ind w:left="6"/>
        <w:spacing w:after="0"/>
        <w:tabs>
          <w:tab w:leader="none" w:pos="3926" w:val="left"/>
          <w:tab w:leader="none" w:pos="4466" w:val="left"/>
          <w:tab w:leader="none" w:pos="4926" w:val="left"/>
          <w:tab w:leader="none" w:pos="5286" w:val="left"/>
          <w:tab w:leader="none" w:pos="6126" w:val="left"/>
        </w:tabs>
        <w:rPr>
          <w:sz w:val="20"/>
          <w:szCs w:val="20"/>
          <w:color w:val="auto"/>
        </w:rPr>
      </w:pPr>
      <w:r>
        <w:rPr>
          <w:rFonts w:ascii="Courier New" w:cs="Courier New" w:eastAsia="Courier New" w:hAnsi="Courier New"/>
          <w:sz w:val="15"/>
          <w:szCs w:val="15"/>
          <w:color w:val="auto"/>
        </w:rPr>
        <w:t>filing requirements for the past 90 days.</w:t>
        <w:tab/>
        <w:t>Yes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w:t>
        <w:tab/>
        <w:t>No</w:t>
      </w:r>
      <w:r>
        <w:rPr>
          <w:sz w:val="20"/>
          <w:szCs w:val="20"/>
          <w:color w:val="auto"/>
        </w:rPr>
        <w:tab/>
      </w:r>
      <w:r>
        <w:rPr>
          <w:rFonts w:ascii="Courier New" w:cs="Courier New" w:eastAsia="Courier New" w:hAnsi="Courier New"/>
          <w:sz w:val="13"/>
          <w:szCs w:val="13"/>
          <w:color w:val="auto"/>
        </w:rPr>
        <w:t>.</w:t>
      </w:r>
    </w:p>
    <w:p>
      <w:pPr>
        <w:spacing w:after="0" w:line="6" w:lineRule="exact"/>
        <w:rPr>
          <w:sz w:val="24"/>
          <w:szCs w:val="24"/>
          <w:color w:val="auto"/>
        </w:rPr>
      </w:pPr>
    </w:p>
    <w:p>
      <w:pPr>
        <w:ind w:left="4206"/>
        <w:spacing w:after="0"/>
        <w:tabs>
          <w:tab w:leader="none" w:pos="54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59" w:lineRule="exact"/>
        <w:rPr>
          <w:sz w:val="24"/>
          <w:szCs w:val="24"/>
          <w:color w:val="auto"/>
        </w:rPr>
      </w:pPr>
    </w:p>
    <w:p>
      <w:pPr>
        <w:ind w:left="546"/>
        <w:spacing w:after="0"/>
        <w:rPr>
          <w:sz w:val="20"/>
          <w:szCs w:val="20"/>
          <w:color w:val="auto"/>
        </w:rPr>
      </w:pPr>
      <w:r>
        <w:rPr>
          <w:rFonts w:ascii="Courier New" w:cs="Courier New" w:eastAsia="Courier New" w:hAnsi="Courier New"/>
          <w:sz w:val="15"/>
          <w:szCs w:val="15"/>
          <w:color w:val="auto"/>
        </w:rPr>
        <w:t>Shares outstanding at August 3, 1998:</w:t>
      </w:r>
    </w:p>
    <w:p>
      <w:pPr>
        <w:sectPr>
          <w:pgSz w:w="11900" w:h="16838" w:orient="portrait"/>
          <w:cols w:equalWidth="0" w:num="1">
            <w:col w:w="10225"/>
          </w:cols>
          <w:pgMar w:left="234" w:top="235" w:right="1440" w:bottom="1440" w:gutter="0" w:footer="0" w:header="0"/>
          <w:type w:val="continuous"/>
        </w:sectPr>
      </w:pPr>
    </w:p>
    <w:p>
      <w:pPr>
        <w:spacing w:after="0" w:line="182" w:lineRule="exact"/>
        <w:rPr>
          <w:sz w:val="24"/>
          <w:szCs w:val="24"/>
          <w:color w:val="auto"/>
        </w:rPr>
      </w:pPr>
    </w:p>
    <w:p>
      <w:pPr>
        <w:ind w:left="1106"/>
        <w:spacing w:after="0"/>
        <w:rPr>
          <w:sz w:val="20"/>
          <w:szCs w:val="20"/>
          <w:color w:val="auto"/>
        </w:rPr>
      </w:pPr>
      <w:r>
        <w:rPr>
          <w:rFonts w:ascii="Courier New" w:cs="Courier New" w:eastAsia="Courier New" w:hAnsi="Courier New"/>
          <w:sz w:val="15"/>
          <w:szCs w:val="15"/>
          <w:color w:val="auto"/>
        </w:rPr>
        <w:t>Class A Common Stock</w:t>
      </w:r>
    </w:p>
    <w:p>
      <w:pPr>
        <w:spacing w:after="0" w:line="182" w:lineRule="exact"/>
        <w:rPr>
          <w:sz w:val="24"/>
          <w:szCs w:val="24"/>
          <w:color w:val="auto"/>
        </w:rPr>
      </w:pPr>
    </w:p>
    <w:p>
      <w:pPr>
        <w:ind w:left="1106"/>
        <w:spacing w:after="0"/>
        <w:rPr>
          <w:sz w:val="20"/>
          <w:szCs w:val="20"/>
          <w:color w:val="auto"/>
        </w:rPr>
      </w:pPr>
      <w:r>
        <w:rPr>
          <w:rFonts w:ascii="Courier New" w:cs="Courier New" w:eastAsia="Courier New" w:hAnsi="Courier New"/>
          <w:sz w:val="15"/>
          <w:szCs w:val="15"/>
          <w:color w:val="auto"/>
        </w:rPr>
        <w:t>Class B Common Stock</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1,739,250 Shares</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8,355,012 Shares</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3126" w:space="720"/>
            <w:col w:w="6379"/>
          </w:cols>
          <w:pgMar w:left="234" w:top="235"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54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88"/>
              </w:rPr>
              <w:t>2.</w:t>
            </w:r>
          </w:p>
        </w:tc>
      </w:tr>
      <w:tr>
        <w:trPr>
          <w:trHeight w:val="529"/>
        </w:trPr>
        <w:tc>
          <w:tcPr>
            <w:tcW w:w="1000" w:type="dxa"/>
            <w:vAlign w:val="bottom"/>
          </w:tcPr>
          <w:p>
            <w:pPr>
              <w:spacing w:after="0"/>
              <w:rPr>
                <w:sz w:val="24"/>
                <w:szCs w:val="24"/>
                <w:color w:val="auto"/>
              </w:rPr>
            </w:pPr>
          </w:p>
        </w:tc>
        <w:tc>
          <w:tcPr>
            <w:tcW w:w="6140" w:type="dxa"/>
            <w:vAlign w:val="bottom"/>
          </w:tcPr>
          <w:p>
            <w:pPr>
              <w:ind w:left="1460"/>
              <w:spacing w:after="0"/>
              <w:rPr>
                <w:sz w:val="20"/>
                <w:szCs w:val="20"/>
                <w:color w:val="auto"/>
              </w:rPr>
            </w:pPr>
            <w:r>
              <w:rPr>
                <w:rFonts w:ascii="Courier New" w:cs="Courier New" w:eastAsia="Courier New" w:hAnsi="Courier New"/>
                <w:sz w:val="15"/>
                <w:szCs w:val="15"/>
                <w:color w:val="auto"/>
              </w:rPr>
              <w:t>THE WASHINGTON POST COMPANY</w:t>
            </w:r>
          </w:p>
        </w:tc>
        <w:tc>
          <w:tcPr>
            <w:tcW w:w="540" w:type="dxa"/>
            <w:vAlign w:val="bottom"/>
          </w:tcPr>
          <w:p>
            <w:pPr>
              <w:spacing w:after="0"/>
              <w:rPr>
                <w:sz w:val="24"/>
                <w:szCs w:val="24"/>
                <w:color w:val="auto"/>
              </w:rPr>
            </w:pPr>
          </w:p>
        </w:tc>
      </w:tr>
      <w:tr>
        <w:trPr>
          <w:trHeight w:val="352"/>
        </w:trPr>
        <w:tc>
          <w:tcPr>
            <w:tcW w:w="1000" w:type="dxa"/>
            <w:vAlign w:val="bottom"/>
          </w:tcPr>
          <w:p>
            <w:pPr>
              <w:spacing w:after="0"/>
              <w:rPr>
                <w:sz w:val="24"/>
                <w:szCs w:val="24"/>
                <w:color w:val="auto"/>
              </w:rPr>
            </w:pPr>
          </w:p>
        </w:tc>
        <w:tc>
          <w:tcPr>
            <w:tcW w:w="6140" w:type="dxa"/>
            <w:vAlign w:val="bottom"/>
          </w:tcPr>
          <w:p>
            <w:pPr>
              <w:ind w:left="1840"/>
              <w:spacing w:after="0"/>
              <w:rPr>
                <w:sz w:val="20"/>
                <w:szCs w:val="20"/>
                <w:color w:val="auto"/>
              </w:rPr>
            </w:pPr>
            <w:r>
              <w:rPr>
                <w:rFonts w:ascii="Courier New" w:cs="Courier New" w:eastAsia="Courier New" w:hAnsi="Courier New"/>
                <w:sz w:val="15"/>
                <w:szCs w:val="15"/>
                <w:color w:val="auto"/>
              </w:rPr>
              <w:t>INDEX TO FORM 10-Q</w:t>
            </w:r>
          </w:p>
        </w:tc>
        <w:tc>
          <w:tcPr>
            <w:tcW w:w="540" w:type="dxa"/>
            <w:vAlign w:val="bottom"/>
          </w:tcPr>
          <w:p>
            <w:pPr>
              <w:spacing w:after="0"/>
              <w:rPr>
                <w:sz w:val="24"/>
                <w:szCs w:val="24"/>
                <w:color w:val="auto"/>
              </w:rPr>
            </w:pPr>
          </w:p>
        </w:tc>
      </w:tr>
      <w:tr>
        <w:trPr>
          <w:trHeight w:val="705"/>
        </w:trPr>
        <w:tc>
          <w:tcPr>
            <w:tcW w:w="10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52"/>
        </w:trPr>
        <w:tc>
          <w:tcPr>
            <w:tcW w:w="100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6140" w:type="dxa"/>
            <w:vAlign w:val="bottom"/>
          </w:tcPr>
          <w:p>
            <w:pPr>
              <w:ind w:left="100"/>
              <w:spacing w:after="0"/>
              <w:rPr>
                <w:sz w:val="20"/>
                <w:szCs w:val="20"/>
                <w:color w:val="auto"/>
              </w:rPr>
            </w:pPr>
            <w:r>
              <w:rPr>
                <w:rFonts w:ascii="Courier New" w:cs="Courier New" w:eastAsia="Courier New" w:hAnsi="Courier New"/>
                <w:sz w:val="15"/>
                <w:szCs w:val="15"/>
                <w:color w:val="auto"/>
              </w:rPr>
              <w:t>FINANCIAL INFORMATION</w:t>
            </w:r>
          </w:p>
        </w:tc>
        <w:tc>
          <w:tcPr>
            <w:tcW w:w="540" w:type="dxa"/>
            <w:vAlign w:val="bottom"/>
          </w:tcPr>
          <w:p>
            <w:pPr>
              <w:spacing w:after="0"/>
              <w:rPr>
                <w:sz w:val="24"/>
                <w:szCs w:val="24"/>
                <w:color w:val="auto"/>
              </w:rPr>
            </w:pPr>
          </w:p>
        </w:tc>
      </w:tr>
      <w:tr>
        <w:trPr>
          <w:trHeight w:val="352"/>
        </w:trPr>
        <w:tc>
          <w:tcPr>
            <w:tcW w:w="10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140" w:type="dxa"/>
            <w:vAlign w:val="bottom"/>
          </w:tcPr>
          <w:p>
            <w:pPr>
              <w:ind w:left="100"/>
              <w:spacing w:after="0"/>
              <w:rPr>
                <w:sz w:val="20"/>
                <w:szCs w:val="20"/>
                <w:color w:val="auto"/>
              </w:rPr>
            </w:pPr>
            <w:r>
              <w:rPr>
                <w:rFonts w:ascii="Courier New" w:cs="Courier New" w:eastAsia="Courier New" w:hAnsi="Courier New"/>
                <w:sz w:val="15"/>
                <w:szCs w:val="15"/>
                <w:color w:val="auto"/>
              </w:rPr>
              <w:t>Financial Statements</w:t>
            </w:r>
          </w:p>
        </w:tc>
        <w:tc>
          <w:tcPr>
            <w:tcW w:w="540" w:type="dxa"/>
            <w:vAlign w:val="bottom"/>
          </w:tcPr>
          <w:p>
            <w:pPr>
              <w:spacing w:after="0"/>
              <w:rPr>
                <w:sz w:val="24"/>
                <w:szCs w:val="24"/>
                <w:color w:val="auto"/>
              </w:rPr>
            </w:pPr>
          </w:p>
        </w:tc>
      </w:tr>
      <w:tr>
        <w:trPr>
          <w:trHeight w:val="352"/>
        </w:trPr>
        <w:tc>
          <w:tcPr>
            <w:tcW w:w="1000" w:type="dxa"/>
            <w:vAlign w:val="bottom"/>
          </w:tcPr>
          <w:p>
            <w:pPr>
              <w:spacing w:after="0"/>
              <w:rPr>
                <w:sz w:val="24"/>
                <w:szCs w:val="24"/>
                <w:color w:val="auto"/>
              </w:rPr>
            </w:pPr>
          </w:p>
        </w:tc>
        <w:tc>
          <w:tcPr>
            <w:tcW w:w="6140" w:type="dxa"/>
            <w:vAlign w:val="bottom"/>
          </w:tcPr>
          <w:p>
            <w:pPr>
              <w:ind w:left="100"/>
              <w:spacing w:after="0"/>
              <w:rPr>
                <w:sz w:val="20"/>
                <w:szCs w:val="20"/>
                <w:color w:val="auto"/>
              </w:rPr>
            </w:pPr>
            <w:r>
              <w:rPr>
                <w:rFonts w:ascii="Courier New" w:cs="Courier New" w:eastAsia="Courier New" w:hAnsi="Courier New"/>
                <w:sz w:val="15"/>
                <w:szCs w:val="15"/>
                <w:color w:val="auto"/>
              </w:rPr>
              <w:t>Condensed Consolidated Statements of Income</w:t>
            </w:r>
          </w:p>
        </w:tc>
        <w:tc>
          <w:tcPr>
            <w:tcW w:w="540" w:type="dxa"/>
            <w:vAlign w:val="bottom"/>
          </w:tcPr>
          <w:p>
            <w:pPr>
              <w:spacing w:after="0"/>
              <w:rPr>
                <w:sz w:val="24"/>
                <w:szCs w:val="24"/>
                <w:color w:val="auto"/>
              </w:rPr>
            </w:pPr>
          </w:p>
        </w:tc>
      </w:tr>
      <w:tr>
        <w:trPr>
          <w:trHeight w:val="176"/>
        </w:trPr>
        <w:tc>
          <w:tcPr>
            <w:tcW w:w="1000" w:type="dxa"/>
            <w:vAlign w:val="bottom"/>
          </w:tcPr>
          <w:p>
            <w:pPr>
              <w:spacing w:after="0"/>
              <w:rPr>
                <w:sz w:val="15"/>
                <w:szCs w:val="15"/>
                <w:color w:val="auto"/>
              </w:rPr>
            </w:pPr>
          </w:p>
        </w:tc>
        <w:tc>
          <w:tcPr>
            <w:tcW w:w="6140" w:type="dxa"/>
            <w:vAlign w:val="bottom"/>
          </w:tcPr>
          <w:p>
            <w:pPr>
              <w:ind w:left="640"/>
              <w:spacing w:after="0"/>
              <w:rPr>
                <w:sz w:val="20"/>
                <w:szCs w:val="20"/>
                <w:color w:val="auto"/>
              </w:rPr>
            </w:pPr>
            <w:r>
              <w:rPr>
                <w:rFonts w:ascii="Courier New" w:cs="Courier New" w:eastAsia="Courier New" w:hAnsi="Courier New"/>
                <w:sz w:val="15"/>
                <w:szCs w:val="15"/>
                <w:color w:val="auto"/>
              </w:rPr>
              <w:t>(Unaudited) for the Thirteen and Twenty-six</w:t>
            </w:r>
          </w:p>
        </w:tc>
        <w:tc>
          <w:tcPr>
            <w:tcW w:w="540" w:type="dxa"/>
            <w:vAlign w:val="bottom"/>
          </w:tcPr>
          <w:p>
            <w:pPr>
              <w:spacing w:after="0"/>
              <w:rPr>
                <w:sz w:val="15"/>
                <w:szCs w:val="15"/>
                <w:color w:val="auto"/>
              </w:rPr>
            </w:pPr>
          </w:p>
        </w:tc>
      </w:tr>
      <w:tr>
        <w:trPr>
          <w:trHeight w:val="176"/>
        </w:trPr>
        <w:tc>
          <w:tcPr>
            <w:tcW w:w="1000" w:type="dxa"/>
            <w:vAlign w:val="bottom"/>
          </w:tcPr>
          <w:p>
            <w:pPr>
              <w:spacing w:after="0"/>
              <w:rPr>
                <w:sz w:val="15"/>
                <w:szCs w:val="15"/>
                <w:color w:val="auto"/>
              </w:rPr>
            </w:pPr>
          </w:p>
        </w:tc>
        <w:tc>
          <w:tcPr>
            <w:tcW w:w="6140" w:type="dxa"/>
            <w:vAlign w:val="bottom"/>
          </w:tcPr>
          <w:p>
            <w:pPr>
              <w:ind w:left="640"/>
              <w:spacing w:after="0"/>
              <w:rPr>
                <w:sz w:val="20"/>
                <w:szCs w:val="20"/>
                <w:color w:val="auto"/>
              </w:rPr>
            </w:pPr>
            <w:r>
              <w:rPr>
                <w:rFonts w:ascii="Courier New" w:cs="Courier New" w:eastAsia="Courier New" w:hAnsi="Courier New"/>
                <w:sz w:val="15"/>
                <w:szCs w:val="15"/>
                <w:color w:val="auto"/>
              </w:rPr>
              <w:t>Weeks Ended June 28, 1998 and</w:t>
            </w:r>
          </w:p>
        </w:tc>
        <w:tc>
          <w:tcPr>
            <w:tcW w:w="540" w:type="dxa"/>
            <w:vAlign w:val="bottom"/>
          </w:tcPr>
          <w:p>
            <w:pPr>
              <w:spacing w:after="0"/>
              <w:rPr>
                <w:sz w:val="15"/>
                <w:szCs w:val="15"/>
                <w:color w:val="auto"/>
              </w:rPr>
            </w:pPr>
          </w:p>
        </w:tc>
      </w:tr>
      <w:tr>
        <w:trPr>
          <w:trHeight w:val="176"/>
        </w:trPr>
        <w:tc>
          <w:tcPr>
            <w:tcW w:w="1000" w:type="dxa"/>
            <w:vAlign w:val="bottom"/>
          </w:tcPr>
          <w:p>
            <w:pPr>
              <w:spacing w:after="0"/>
              <w:rPr>
                <w:sz w:val="15"/>
                <w:szCs w:val="15"/>
                <w:color w:val="auto"/>
              </w:rPr>
            </w:pPr>
          </w:p>
        </w:tc>
        <w:tc>
          <w:tcPr>
            <w:tcW w:w="6140" w:type="dxa"/>
            <w:vAlign w:val="bottom"/>
          </w:tcPr>
          <w:p>
            <w:pPr>
              <w:ind w:left="640"/>
              <w:spacing w:after="0"/>
              <w:rPr>
                <w:sz w:val="20"/>
                <w:szCs w:val="20"/>
                <w:color w:val="auto"/>
              </w:rPr>
            </w:pPr>
            <w:r>
              <w:rPr>
                <w:rFonts w:ascii="Courier New" w:cs="Courier New" w:eastAsia="Courier New" w:hAnsi="Courier New"/>
                <w:sz w:val="15"/>
                <w:szCs w:val="15"/>
                <w:color w:val="auto"/>
                <w:w w:val="93"/>
              </w:rPr>
              <w:t>June 29, 1997....................................................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52"/>
        </w:trPr>
        <w:tc>
          <w:tcPr>
            <w:tcW w:w="1000" w:type="dxa"/>
            <w:vAlign w:val="bottom"/>
          </w:tcPr>
          <w:p>
            <w:pPr>
              <w:spacing w:after="0"/>
              <w:rPr>
                <w:sz w:val="24"/>
                <w:szCs w:val="24"/>
                <w:color w:val="auto"/>
              </w:rPr>
            </w:pPr>
          </w:p>
        </w:tc>
        <w:tc>
          <w:tcPr>
            <w:tcW w:w="6140" w:type="dxa"/>
            <w:vAlign w:val="bottom"/>
          </w:tcPr>
          <w:p>
            <w:pPr>
              <w:ind w:left="100"/>
              <w:spacing w:after="0"/>
              <w:rPr>
                <w:sz w:val="20"/>
                <w:szCs w:val="20"/>
                <w:color w:val="auto"/>
              </w:rPr>
            </w:pPr>
            <w:r>
              <w:rPr>
                <w:rFonts w:ascii="Courier New" w:cs="Courier New" w:eastAsia="Courier New" w:hAnsi="Courier New"/>
                <w:sz w:val="15"/>
                <w:szCs w:val="15"/>
                <w:color w:val="auto"/>
              </w:rPr>
              <w:t>Condensed Consolidated Balance Sheets</w:t>
            </w:r>
          </w:p>
        </w:tc>
        <w:tc>
          <w:tcPr>
            <w:tcW w:w="540" w:type="dxa"/>
            <w:vAlign w:val="bottom"/>
          </w:tcPr>
          <w:p>
            <w:pPr>
              <w:spacing w:after="0"/>
              <w:rPr>
                <w:sz w:val="24"/>
                <w:szCs w:val="24"/>
                <w:color w:val="auto"/>
              </w:rPr>
            </w:pPr>
          </w:p>
        </w:tc>
      </w:tr>
      <w:tr>
        <w:trPr>
          <w:trHeight w:val="176"/>
        </w:trPr>
        <w:tc>
          <w:tcPr>
            <w:tcW w:w="1000" w:type="dxa"/>
            <w:vAlign w:val="bottom"/>
          </w:tcPr>
          <w:p>
            <w:pPr>
              <w:spacing w:after="0"/>
              <w:rPr>
                <w:sz w:val="15"/>
                <w:szCs w:val="15"/>
                <w:color w:val="auto"/>
              </w:rPr>
            </w:pPr>
          </w:p>
        </w:tc>
        <w:tc>
          <w:tcPr>
            <w:tcW w:w="6140" w:type="dxa"/>
            <w:vAlign w:val="bottom"/>
          </w:tcPr>
          <w:p>
            <w:pPr>
              <w:ind w:left="640"/>
              <w:spacing w:after="0"/>
              <w:rPr>
                <w:sz w:val="20"/>
                <w:szCs w:val="20"/>
                <w:color w:val="auto"/>
              </w:rPr>
            </w:pPr>
            <w:r>
              <w:rPr>
                <w:rFonts w:ascii="Courier New" w:cs="Courier New" w:eastAsia="Courier New" w:hAnsi="Courier New"/>
                <w:sz w:val="15"/>
                <w:szCs w:val="15"/>
                <w:color w:val="auto"/>
                <w:w w:val="93"/>
              </w:rPr>
              <w:t>at June 28, 1998 (Unaudited) and December 28, 1997...............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352"/>
        </w:trPr>
        <w:tc>
          <w:tcPr>
            <w:tcW w:w="1000" w:type="dxa"/>
            <w:vAlign w:val="bottom"/>
          </w:tcPr>
          <w:p>
            <w:pPr>
              <w:spacing w:after="0"/>
              <w:rPr>
                <w:sz w:val="24"/>
                <w:szCs w:val="24"/>
                <w:color w:val="auto"/>
              </w:rPr>
            </w:pPr>
          </w:p>
        </w:tc>
        <w:tc>
          <w:tcPr>
            <w:tcW w:w="6140" w:type="dxa"/>
            <w:vAlign w:val="bottom"/>
          </w:tcPr>
          <w:p>
            <w:pPr>
              <w:ind w:left="100"/>
              <w:spacing w:after="0"/>
              <w:rPr>
                <w:sz w:val="20"/>
                <w:szCs w:val="20"/>
                <w:color w:val="auto"/>
              </w:rPr>
            </w:pPr>
            <w:r>
              <w:rPr>
                <w:rFonts w:ascii="Courier New" w:cs="Courier New" w:eastAsia="Courier New" w:hAnsi="Courier New"/>
                <w:sz w:val="15"/>
                <w:szCs w:val="15"/>
                <w:color w:val="auto"/>
              </w:rPr>
              <w:t>Condensed Consolidated Statements of Cash Flows</w:t>
            </w:r>
          </w:p>
        </w:tc>
        <w:tc>
          <w:tcPr>
            <w:tcW w:w="540" w:type="dxa"/>
            <w:vAlign w:val="bottom"/>
          </w:tcPr>
          <w:p>
            <w:pPr>
              <w:spacing w:after="0"/>
              <w:rPr>
                <w:sz w:val="24"/>
                <w:szCs w:val="24"/>
                <w:color w:val="auto"/>
              </w:rPr>
            </w:pPr>
          </w:p>
        </w:tc>
      </w:tr>
      <w:tr>
        <w:trPr>
          <w:trHeight w:val="176"/>
        </w:trPr>
        <w:tc>
          <w:tcPr>
            <w:tcW w:w="1000" w:type="dxa"/>
            <w:vAlign w:val="bottom"/>
          </w:tcPr>
          <w:p>
            <w:pPr>
              <w:spacing w:after="0"/>
              <w:rPr>
                <w:sz w:val="15"/>
                <w:szCs w:val="15"/>
                <w:color w:val="auto"/>
              </w:rPr>
            </w:pPr>
          </w:p>
        </w:tc>
        <w:tc>
          <w:tcPr>
            <w:tcW w:w="6140" w:type="dxa"/>
            <w:vAlign w:val="bottom"/>
          </w:tcPr>
          <w:p>
            <w:pPr>
              <w:ind w:left="640"/>
              <w:spacing w:after="0"/>
              <w:rPr>
                <w:sz w:val="20"/>
                <w:szCs w:val="20"/>
                <w:color w:val="auto"/>
              </w:rPr>
            </w:pPr>
            <w:r>
              <w:rPr>
                <w:rFonts w:ascii="Courier New" w:cs="Courier New" w:eastAsia="Courier New" w:hAnsi="Courier New"/>
                <w:sz w:val="15"/>
                <w:szCs w:val="15"/>
                <w:color w:val="auto"/>
              </w:rPr>
              <w:t>(Unaudited) for the Twenty-six Weeks Ended</w:t>
            </w:r>
          </w:p>
        </w:tc>
        <w:tc>
          <w:tcPr>
            <w:tcW w:w="540" w:type="dxa"/>
            <w:vAlign w:val="bottom"/>
          </w:tcPr>
          <w:p>
            <w:pPr>
              <w:spacing w:after="0"/>
              <w:rPr>
                <w:sz w:val="15"/>
                <w:szCs w:val="15"/>
                <w:color w:val="auto"/>
              </w:rPr>
            </w:pPr>
          </w:p>
        </w:tc>
      </w:tr>
      <w:tr>
        <w:trPr>
          <w:trHeight w:val="176"/>
        </w:trPr>
        <w:tc>
          <w:tcPr>
            <w:tcW w:w="1000" w:type="dxa"/>
            <w:vAlign w:val="bottom"/>
          </w:tcPr>
          <w:p>
            <w:pPr>
              <w:spacing w:after="0"/>
              <w:rPr>
                <w:sz w:val="15"/>
                <w:szCs w:val="15"/>
                <w:color w:val="auto"/>
              </w:rPr>
            </w:pPr>
          </w:p>
        </w:tc>
        <w:tc>
          <w:tcPr>
            <w:tcW w:w="6140" w:type="dxa"/>
            <w:vAlign w:val="bottom"/>
          </w:tcPr>
          <w:p>
            <w:pPr>
              <w:ind w:left="640"/>
              <w:spacing w:after="0"/>
              <w:rPr>
                <w:sz w:val="20"/>
                <w:szCs w:val="20"/>
                <w:color w:val="auto"/>
              </w:rPr>
            </w:pPr>
            <w:r>
              <w:rPr>
                <w:rFonts w:ascii="Courier New" w:cs="Courier New" w:eastAsia="Courier New" w:hAnsi="Courier New"/>
                <w:sz w:val="15"/>
                <w:szCs w:val="15"/>
                <w:color w:val="auto"/>
                <w:w w:val="93"/>
              </w:rPr>
              <w:t>June 28, 1998 and June 29, 1997..................................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52"/>
        </w:trPr>
        <w:tc>
          <w:tcPr>
            <w:tcW w:w="1000" w:type="dxa"/>
            <w:vAlign w:val="bottom"/>
          </w:tcPr>
          <w:p>
            <w:pPr>
              <w:spacing w:after="0"/>
              <w:rPr>
                <w:sz w:val="24"/>
                <w:szCs w:val="24"/>
                <w:color w:val="auto"/>
              </w:rPr>
            </w:pPr>
          </w:p>
        </w:tc>
        <w:tc>
          <w:tcPr>
            <w:tcW w:w="6140" w:type="dxa"/>
            <w:vAlign w:val="bottom"/>
          </w:tcPr>
          <w:p>
            <w:pPr>
              <w:ind w:left="100"/>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540" w:type="dxa"/>
            <w:vAlign w:val="bottom"/>
          </w:tcPr>
          <w:p>
            <w:pPr>
              <w:spacing w:after="0"/>
              <w:rPr>
                <w:sz w:val="24"/>
                <w:szCs w:val="24"/>
                <w:color w:val="auto"/>
              </w:rPr>
            </w:pPr>
          </w:p>
        </w:tc>
      </w:tr>
      <w:tr>
        <w:trPr>
          <w:trHeight w:val="176"/>
        </w:trPr>
        <w:tc>
          <w:tcPr>
            <w:tcW w:w="1000" w:type="dxa"/>
            <w:vAlign w:val="bottom"/>
          </w:tcPr>
          <w:p>
            <w:pPr>
              <w:spacing w:after="0"/>
              <w:rPr>
                <w:sz w:val="15"/>
                <w:szCs w:val="15"/>
                <w:color w:val="auto"/>
              </w:rPr>
            </w:pPr>
          </w:p>
        </w:tc>
        <w:tc>
          <w:tcPr>
            <w:tcW w:w="6140" w:type="dxa"/>
            <w:vAlign w:val="bottom"/>
          </w:tcPr>
          <w:p>
            <w:pPr>
              <w:ind w:left="640"/>
              <w:spacing w:after="0"/>
              <w:rPr>
                <w:sz w:val="20"/>
                <w:szCs w:val="20"/>
                <w:color w:val="auto"/>
              </w:rPr>
            </w:pPr>
            <w:r>
              <w:rPr>
                <w:rFonts w:ascii="Courier New" w:cs="Courier New" w:eastAsia="Courier New" w:hAnsi="Courier New"/>
                <w:sz w:val="15"/>
                <w:szCs w:val="15"/>
                <w:color w:val="auto"/>
                <w:w w:val="93"/>
              </w:rPr>
              <w:t>(Unaudited)......................................................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52"/>
        </w:trPr>
        <w:tc>
          <w:tcPr>
            <w:tcW w:w="100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6140" w:type="dxa"/>
            <w:vAlign w:val="bottom"/>
          </w:tcPr>
          <w:p>
            <w:pPr>
              <w:ind w:left="100"/>
              <w:spacing w:after="0"/>
              <w:rPr>
                <w:sz w:val="20"/>
                <w:szCs w:val="20"/>
                <w:color w:val="auto"/>
              </w:rPr>
            </w:pPr>
            <w:r>
              <w:rPr>
                <w:rFonts w:ascii="Courier New" w:cs="Courier New" w:eastAsia="Courier New" w:hAnsi="Courier New"/>
                <w:sz w:val="15"/>
                <w:szCs w:val="15"/>
                <w:color w:val="auto"/>
              </w:rPr>
              <w:t>Management's Discussion and Analysis of Results of</w:t>
            </w:r>
          </w:p>
        </w:tc>
        <w:tc>
          <w:tcPr>
            <w:tcW w:w="540" w:type="dxa"/>
            <w:vAlign w:val="bottom"/>
          </w:tcPr>
          <w:p>
            <w:pPr>
              <w:spacing w:after="0"/>
              <w:rPr>
                <w:sz w:val="24"/>
                <w:szCs w:val="24"/>
                <w:color w:val="auto"/>
              </w:rPr>
            </w:pPr>
          </w:p>
        </w:tc>
      </w:tr>
      <w:tr>
        <w:trPr>
          <w:trHeight w:val="176"/>
        </w:trPr>
        <w:tc>
          <w:tcPr>
            <w:tcW w:w="1000" w:type="dxa"/>
            <w:vAlign w:val="bottom"/>
          </w:tcPr>
          <w:p>
            <w:pPr>
              <w:spacing w:after="0"/>
              <w:rPr>
                <w:sz w:val="15"/>
                <w:szCs w:val="15"/>
                <w:color w:val="auto"/>
              </w:rPr>
            </w:pPr>
          </w:p>
        </w:tc>
        <w:tc>
          <w:tcPr>
            <w:tcW w:w="6140" w:type="dxa"/>
            <w:vAlign w:val="bottom"/>
          </w:tcPr>
          <w:p>
            <w:pPr>
              <w:ind w:left="640"/>
              <w:spacing w:after="0"/>
              <w:rPr>
                <w:sz w:val="20"/>
                <w:szCs w:val="20"/>
                <w:color w:val="auto"/>
              </w:rPr>
            </w:pPr>
            <w:r>
              <w:rPr>
                <w:rFonts w:ascii="Courier New" w:cs="Courier New" w:eastAsia="Courier New" w:hAnsi="Courier New"/>
                <w:sz w:val="15"/>
                <w:szCs w:val="15"/>
                <w:color w:val="auto"/>
                <w:w w:val="93"/>
              </w:rPr>
              <w:t>Operations and Financial Condition...............................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352"/>
        </w:trPr>
        <w:tc>
          <w:tcPr>
            <w:tcW w:w="100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6140" w:type="dxa"/>
            <w:vAlign w:val="bottom"/>
          </w:tcPr>
          <w:p>
            <w:pPr>
              <w:ind w:left="100"/>
              <w:spacing w:after="0"/>
              <w:rPr>
                <w:sz w:val="20"/>
                <w:szCs w:val="20"/>
                <w:color w:val="auto"/>
              </w:rPr>
            </w:pPr>
            <w:r>
              <w:rPr>
                <w:rFonts w:ascii="Courier New" w:cs="Courier New" w:eastAsia="Courier New" w:hAnsi="Courier New"/>
                <w:sz w:val="15"/>
                <w:szCs w:val="15"/>
                <w:color w:val="auto"/>
              </w:rPr>
              <w:t>OTHER INFORMATION</w:t>
            </w:r>
          </w:p>
        </w:tc>
        <w:tc>
          <w:tcPr>
            <w:tcW w:w="540" w:type="dxa"/>
            <w:vAlign w:val="bottom"/>
          </w:tcPr>
          <w:p>
            <w:pPr>
              <w:spacing w:after="0"/>
              <w:rPr>
                <w:sz w:val="24"/>
                <w:szCs w:val="24"/>
                <w:color w:val="auto"/>
              </w:rPr>
            </w:pPr>
          </w:p>
        </w:tc>
      </w:tr>
      <w:tr>
        <w:trPr>
          <w:trHeight w:val="352"/>
        </w:trPr>
        <w:tc>
          <w:tcPr>
            <w:tcW w:w="100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6140" w:type="dxa"/>
            <w:vAlign w:val="bottom"/>
          </w:tcPr>
          <w:p>
            <w:pPr>
              <w:ind w:left="100"/>
              <w:spacing w:after="0"/>
              <w:rPr>
                <w:sz w:val="20"/>
                <w:szCs w:val="20"/>
                <w:color w:val="auto"/>
              </w:rPr>
            </w:pPr>
            <w:r>
              <w:rPr>
                <w:rFonts w:ascii="Courier New" w:cs="Courier New" w:eastAsia="Courier New" w:hAnsi="Courier New"/>
                <w:sz w:val="15"/>
                <w:szCs w:val="15"/>
                <w:color w:val="auto"/>
                <w:w w:val="95"/>
              </w:rPr>
              <w:t>Submission of Matters to a Vote of Security Holders...................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352"/>
        </w:trPr>
        <w:tc>
          <w:tcPr>
            <w:tcW w:w="10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6140" w:type="dxa"/>
            <w:vAlign w:val="bottom"/>
          </w:tcPr>
          <w:p>
            <w:pPr>
              <w:ind w:left="100"/>
              <w:spacing w:after="0"/>
              <w:rPr>
                <w:sz w:val="20"/>
                <w:szCs w:val="20"/>
                <w:color w:val="auto"/>
              </w:rPr>
            </w:pPr>
            <w:r>
              <w:rPr>
                <w:rFonts w:ascii="Courier New" w:cs="Courier New" w:eastAsia="Courier New" w:hAnsi="Courier New"/>
                <w:sz w:val="15"/>
                <w:szCs w:val="15"/>
                <w:color w:val="auto"/>
                <w:w w:val="95"/>
              </w:rPr>
              <w:t>Exhibits and Reports on Form 8-K......................................</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52"/>
        </w:trPr>
        <w:tc>
          <w:tcPr>
            <w:tcW w:w="1000" w:type="dxa"/>
            <w:vAlign w:val="bottom"/>
          </w:tcPr>
          <w:p>
            <w:pPr>
              <w:spacing w:after="0"/>
              <w:rPr>
                <w:sz w:val="20"/>
                <w:szCs w:val="20"/>
                <w:color w:val="auto"/>
              </w:rPr>
            </w:pPr>
            <w:r>
              <w:rPr>
                <w:rFonts w:ascii="Courier New" w:cs="Courier New" w:eastAsia="Courier New" w:hAnsi="Courier New"/>
                <w:sz w:val="15"/>
                <w:szCs w:val="15"/>
                <w:color w:val="auto"/>
              </w:rPr>
              <w:t>Signatures</w:t>
            </w:r>
          </w:p>
        </w:tc>
        <w:tc>
          <w:tcPr>
            <w:tcW w:w="6140" w:type="dxa"/>
            <w:vAlign w:val="bottom"/>
          </w:tcPr>
          <w:p>
            <w:pPr>
              <w:ind w:left="100"/>
              <w:spacing w:after="0"/>
              <w:rPr>
                <w:sz w:val="20"/>
                <w:szCs w:val="20"/>
                <w:color w:val="auto"/>
              </w:rPr>
            </w:pPr>
            <w:r>
              <w:rPr>
                <w:rFonts w:ascii="Courier New" w:cs="Courier New" w:eastAsia="Courier New" w:hAnsi="Courier New"/>
                <w:sz w:val="15"/>
                <w:szCs w:val="15"/>
                <w:color w:val="auto"/>
                <w:w w:val="95"/>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52"/>
        </w:trPr>
        <w:tc>
          <w:tcPr>
            <w:tcW w:w="1000" w:type="dxa"/>
            <w:vAlign w:val="bottom"/>
          </w:tcPr>
          <w:p>
            <w:pPr>
              <w:spacing w:after="0"/>
              <w:rPr>
                <w:sz w:val="20"/>
                <w:szCs w:val="20"/>
                <w:color w:val="auto"/>
              </w:rPr>
            </w:pPr>
            <w:r>
              <w:rPr>
                <w:rFonts w:ascii="Courier New" w:cs="Courier New" w:eastAsia="Courier New" w:hAnsi="Courier New"/>
                <w:sz w:val="15"/>
                <w:szCs w:val="15"/>
                <w:color w:val="auto"/>
              </w:rPr>
              <w:t>Exhibit 11</w:t>
            </w:r>
          </w:p>
        </w:tc>
        <w:tc>
          <w:tcPr>
            <w:tcW w:w="614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27 (Electronic Filing Only)</w:t>
      </w:r>
    </w:p>
    <w:p>
      <w:pPr>
        <w:sectPr>
          <w:pgSz w:w="11900" w:h="16838" w:orient="portrait"/>
          <w:cols w:equalWidth="0" w:num="1">
            <w:col w:w="10219"/>
          </w:cols>
          <w:pgMar w:left="240" w:top="294"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w:t>
            </w: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529"/>
        </w:trPr>
        <w:tc>
          <w:tcPr>
            <w:tcW w:w="82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4680" w:type="dxa"/>
            <w:vAlign w:val="bottom"/>
          </w:tcPr>
          <w:p>
            <w:pPr>
              <w:spacing w:after="0"/>
              <w:rPr>
                <w:sz w:val="20"/>
                <w:szCs w:val="20"/>
                <w:color w:val="auto"/>
              </w:rPr>
            </w:pPr>
            <w:r>
              <w:rPr>
                <w:rFonts w:ascii="Courier New" w:cs="Courier New" w:eastAsia="Courier New" w:hAnsi="Courier New"/>
                <w:sz w:val="15"/>
                <w:szCs w:val="15"/>
                <w:color w:val="auto"/>
              </w:rPr>
              <w:t>FINANCIAL INFORMATION</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468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5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The Washington Post Company</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Condensed Consolidated Statements of Income (Unaudited)</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705"/>
        </w:trPr>
        <w:tc>
          <w:tcPr>
            <w:tcW w:w="8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6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Thirteen Weeks Ended</w:t>
            </w:r>
          </w:p>
        </w:tc>
        <w:tc>
          <w:tcPr>
            <w:tcW w:w="360" w:type="dxa"/>
            <w:vAlign w:val="bottom"/>
          </w:tcPr>
          <w:p>
            <w:pPr>
              <w:spacing w:after="0"/>
              <w:rPr>
                <w:sz w:val="24"/>
                <w:szCs w:val="24"/>
                <w:color w:val="auto"/>
              </w:rPr>
            </w:pPr>
          </w:p>
        </w:tc>
        <w:tc>
          <w:tcPr>
            <w:tcW w:w="2460" w:type="dxa"/>
            <w:vAlign w:val="bottom"/>
            <w:gridSpan w:val="3"/>
          </w:tcPr>
          <w:p>
            <w:pPr>
              <w:jc w:val="right"/>
              <w:ind w:right="84"/>
              <w:spacing w:after="0"/>
              <w:rPr>
                <w:sz w:val="20"/>
                <w:szCs w:val="20"/>
                <w:color w:val="auto"/>
              </w:rPr>
            </w:pPr>
            <w:r>
              <w:rPr>
                <w:rFonts w:ascii="Courier New" w:cs="Courier New" w:eastAsia="Courier New" w:hAnsi="Courier New"/>
                <w:sz w:val="15"/>
                <w:szCs w:val="15"/>
                <w:color w:val="auto"/>
              </w:rPr>
              <w:t>Twenty-six Weeks Ended</w:t>
            </w:r>
          </w:p>
        </w:tc>
      </w:tr>
      <w:tr>
        <w:trPr>
          <w:trHeight w:val="176"/>
        </w:trPr>
        <w:tc>
          <w:tcPr>
            <w:tcW w:w="8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246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June 28,</w:t>
            </w:r>
          </w:p>
        </w:tc>
        <w:tc>
          <w:tcPr>
            <w:tcW w:w="6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June 29,</w:t>
            </w:r>
          </w:p>
        </w:tc>
        <w:tc>
          <w:tcPr>
            <w:tcW w:w="36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June 28,</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June 29,</w:t>
            </w:r>
          </w:p>
        </w:tc>
      </w:tr>
      <w:tr>
        <w:trPr>
          <w:trHeight w:val="176"/>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(In thousands, except per share amounts)</w:t>
            </w:r>
          </w:p>
        </w:tc>
        <w:tc>
          <w:tcPr>
            <w:tcW w:w="54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64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5"/>
                <w:szCs w:val="15"/>
                <w:color w:val="auto"/>
              </w:rPr>
            </w:pP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1998</w:t>
            </w:r>
          </w:p>
        </w:tc>
        <w:tc>
          <w:tcPr>
            <w:tcW w:w="460" w:type="dxa"/>
            <w:vAlign w:val="bottom"/>
          </w:tcPr>
          <w:p>
            <w:pPr>
              <w:spacing w:after="0"/>
              <w:rPr>
                <w:sz w:val="15"/>
                <w:szCs w:val="15"/>
                <w:color w:val="auto"/>
              </w:rPr>
            </w:pPr>
          </w:p>
        </w:tc>
        <w:tc>
          <w:tcPr>
            <w:tcW w:w="7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8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Operating revenues</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Advertising</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342,247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327,949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634,932</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606,477</w:t>
            </w:r>
          </w:p>
        </w:tc>
      </w:tr>
      <w:tr>
        <w:trPr>
          <w:trHeight w:val="176"/>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Circulation and subscriber</w:t>
            </w:r>
          </w:p>
        </w:tc>
        <w:tc>
          <w:tcPr>
            <w:tcW w:w="5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133,365</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128,901</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263,705</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252,575</w:t>
            </w:r>
          </w:p>
        </w:tc>
      </w:tr>
      <w:tr>
        <w:trPr>
          <w:trHeight w:val="176"/>
        </w:trPr>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4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50,145</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44,525</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111,075</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96,424</w:t>
            </w:r>
          </w:p>
        </w:tc>
      </w:tr>
      <w:tr>
        <w:trPr>
          <w:trHeight w:val="176"/>
        </w:trPr>
        <w:tc>
          <w:tcPr>
            <w:tcW w:w="8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8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525,757</w:t>
            </w:r>
          </w:p>
        </w:tc>
        <w:tc>
          <w:tcPr>
            <w:tcW w:w="640" w:type="dxa"/>
            <w:vAlign w:val="bottom"/>
          </w:tcPr>
          <w:p>
            <w:pPr>
              <w:spacing w:after="0"/>
              <w:rPr>
                <w:sz w:val="24"/>
                <w:szCs w:val="24"/>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501,375</w:t>
            </w:r>
          </w:p>
        </w:tc>
        <w:tc>
          <w:tcPr>
            <w:tcW w:w="360" w:type="dxa"/>
            <w:vAlign w:val="bottom"/>
          </w:tcPr>
          <w:p>
            <w:pPr>
              <w:spacing w:after="0"/>
              <w:rPr>
                <w:sz w:val="24"/>
                <w:szCs w:val="24"/>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1,009,712</w:t>
            </w:r>
          </w:p>
        </w:tc>
        <w:tc>
          <w:tcPr>
            <w:tcW w:w="460" w:type="dxa"/>
            <w:vAlign w:val="bottom"/>
          </w:tcPr>
          <w:p>
            <w:pPr>
              <w:spacing w:after="0"/>
              <w:rPr>
                <w:sz w:val="24"/>
                <w:szCs w:val="24"/>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955,476</w:t>
            </w:r>
          </w:p>
        </w:tc>
      </w:tr>
      <w:tr>
        <w:trPr>
          <w:trHeight w:val="176"/>
        </w:trPr>
        <w:tc>
          <w:tcPr>
            <w:tcW w:w="8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Operating</w:t>
            </w:r>
          </w:p>
        </w:tc>
        <w:tc>
          <w:tcPr>
            <w:tcW w:w="5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276,399</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246,478</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543,986</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489,982</w:t>
            </w:r>
          </w:p>
        </w:tc>
      </w:tr>
      <w:tr>
        <w:trPr>
          <w:trHeight w:val="176"/>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5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111,005</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118,875</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220,935</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225,761</w:t>
            </w:r>
          </w:p>
        </w:tc>
      </w:tr>
      <w:tr>
        <w:trPr>
          <w:trHeight w:val="176"/>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Depreciation and amortization of</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5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property, plant and equipment</w:t>
            </w:r>
          </w:p>
        </w:tc>
        <w:tc>
          <w:tcPr>
            <w:tcW w:w="5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20,733</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17,871</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41,111</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35,661</w:t>
            </w:r>
          </w:p>
        </w:tc>
      </w:tr>
      <w:tr>
        <w:trPr>
          <w:trHeight w:val="176"/>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Amortization of goodwill and other</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5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intangibles</w:t>
            </w:r>
          </w:p>
        </w:tc>
        <w:tc>
          <w:tcPr>
            <w:tcW w:w="5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11,127</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8,214</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21,870</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16,167</w:t>
            </w:r>
          </w:p>
        </w:tc>
      </w:tr>
      <w:tr>
        <w:trPr>
          <w:trHeight w:val="176"/>
        </w:trPr>
        <w:tc>
          <w:tcPr>
            <w:tcW w:w="8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8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419,264</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391,438</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827,902</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767,571</w:t>
            </w:r>
          </w:p>
        </w:tc>
      </w:tr>
      <w:tr>
        <w:trPr>
          <w:trHeight w:val="176"/>
        </w:trPr>
        <w:tc>
          <w:tcPr>
            <w:tcW w:w="8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Income from operations</w:t>
            </w:r>
          </w:p>
        </w:tc>
        <w:tc>
          <w:tcPr>
            <w:tcW w:w="540" w:type="dxa"/>
            <w:vAlign w:val="bottom"/>
          </w:tcPr>
          <w:p>
            <w:pPr>
              <w:spacing w:after="0"/>
              <w:rPr>
                <w:sz w:val="24"/>
                <w:szCs w:val="24"/>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106,493</w:t>
            </w:r>
          </w:p>
        </w:tc>
        <w:tc>
          <w:tcPr>
            <w:tcW w:w="640" w:type="dxa"/>
            <w:vAlign w:val="bottom"/>
          </w:tcPr>
          <w:p>
            <w:pPr>
              <w:spacing w:after="0"/>
              <w:rPr>
                <w:sz w:val="24"/>
                <w:szCs w:val="24"/>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109,937</w:t>
            </w:r>
          </w:p>
        </w:tc>
        <w:tc>
          <w:tcPr>
            <w:tcW w:w="360" w:type="dxa"/>
            <w:vAlign w:val="bottom"/>
          </w:tcPr>
          <w:p>
            <w:pPr>
              <w:spacing w:after="0"/>
              <w:rPr>
                <w:sz w:val="24"/>
                <w:szCs w:val="24"/>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181,810</w:t>
            </w:r>
          </w:p>
        </w:tc>
        <w:tc>
          <w:tcPr>
            <w:tcW w:w="460" w:type="dxa"/>
            <w:vAlign w:val="bottom"/>
          </w:tcPr>
          <w:p>
            <w:pPr>
              <w:spacing w:after="0"/>
              <w:rPr>
                <w:sz w:val="24"/>
                <w:szCs w:val="24"/>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187,905</w:t>
            </w:r>
          </w:p>
        </w:tc>
      </w:tr>
      <w:tr>
        <w:trPr>
          <w:trHeight w:val="35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Equity in earnings of affiliates</w:t>
            </w:r>
          </w:p>
        </w:tc>
        <w:tc>
          <w:tcPr>
            <w:tcW w:w="5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(71)</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3,331</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917</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3,456</w:t>
            </w:r>
          </w:p>
        </w:tc>
      </w:tr>
      <w:tr>
        <w:trPr>
          <w:trHeight w:val="176"/>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Interest income</w:t>
            </w:r>
          </w:p>
        </w:tc>
        <w:tc>
          <w:tcPr>
            <w:tcW w:w="5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384</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1,079</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592</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2,192</w:t>
            </w:r>
          </w:p>
        </w:tc>
      </w:tr>
      <w:tr>
        <w:trPr>
          <w:trHeight w:val="176"/>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5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(330)</w:t>
            </w:r>
          </w:p>
        </w:tc>
        <w:tc>
          <w:tcPr>
            <w:tcW w:w="64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(158)</w:t>
            </w:r>
          </w:p>
        </w:tc>
        <w:tc>
          <w:tcPr>
            <w:tcW w:w="36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(2,574)</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(323)</w:t>
            </w:r>
          </w:p>
        </w:tc>
      </w:tr>
      <w:tr>
        <w:trPr>
          <w:trHeight w:val="176"/>
        </w:trPr>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4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(1,594)</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1,668</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256,512</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821</w:t>
            </w:r>
          </w:p>
        </w:tc>
      </w:tr>
      <w:tr>
        <w:trPr>
          <w:trHeight w:val="176"/>
        </w:trPr>
        <w:tc>
          <w:tcPr>
            <w:tcW w:w="8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income taxes</w:t>
            </w:r>
          </w:p>
        </w:tc>
        <w:tc>
          <w:tcPr>
            <w:tcW w:w="540" w:type="dxa"/>
            <w:vAlign w:val="bottom"/>
          </w:tcPr>
          <w:p>
            <w:pPr>
              <w:spacing w:after="0"/>
              <w:rPr>
                <w:sz w:val="24"/>
                <w:szCs w:val="24"/>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104,882</w:t>
            </w:r>
          </w:p>
        </w:tc>
        <w:tc>
          <w:tcPr>
            <w:tcW w:w="640" w:type="dxa"/>
            <w:vAlign w:val="bottom"/>
          </w:tcPr>
          <w:p>
            <w:pPr>
              <w:spacing w:after="0"/>
              <w:rPr>
                <w:sz w:val="24"/>
                <w:szCs w:val="24"/>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115,857</w:t>
            </w:r>
          </w:p>
        </w:tc>
        <w:tc>
          <w:tcPr>
            <w:tcW w:w="360" w:type="dxa"/>
            <w:vAlign w:val="bottom"/>
          </w:tcPr>
          <w:p>
            <w:pPr>
              <w:spacing w:after="0"/>
              <w:rPr>
                <w:sz w:val="24"/>
                <w:szCs w:val="24"/>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437,257</w:t>
            </w:r>
          </w:p>
        </w:tc>
        <w:tc>
          <w:tcPr>
            <w:tcW w:w="460" w:type="dxa"/>
            <w:vAlign w:val="bottom"/>
          </w:tcPr>
          <w:p>
            <w:pPr>
              <w:spacing w:after="0"/>
              <w:rPr>
                <w:sz w:val="24"/>
                <w:szCs w:val="24"/>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194,051</w:t>
            </w:r>
          </w:p>
        </w:tc>
      </w:tr>
      <w:tr>
        <w:trPr>
          <w:trHeight w:val="176"/>
        </w:trPr>
        <w:tc>
          <w:tcPr>
            <w:tcW w:w="8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Provision for income taxes</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820" w:type="dxa"/>
            <w:vAlign w:val="bottom"/>
          </w:tcPr>
          <w:p>
            <w:pPr>
              <w:ind w:left="180"/>
              <w:spacing w:after="0"/>
              <w:rPr>
                <w:sz w:val="20"/>
                <w:szCs w:val="20"/>
                <w:color w:val="auto"/>
              </w:rPr>
            </w:pPr>
            <w:r>
              <w:rPr>
                <w:rFonts w:ascii="Courier New" w:cs="Courier New" w:eastAsia="Courier New" w:hAnsi="Courier New"/>
                <w:sz w:val="15"/>
                <w:szCs w:val="15"/>
                <w:color w:val="auto"/>
                <w:w w:val="98"/>
              </w:rPr>
              <w:t>Current</w:t>
            </w:r>
          </w:p>
        </w:tc>
        <w:tc>
          <w:tcPr>
            <w:tcW w:w="4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40,219</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41,990</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165,471</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72,243</w:t>
            </w:r>
          </w:p>
        </w:tc>
      </w:tr>
      <w:tr>
        <w:trPr>
          <w:trHeight w:val="176"/>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Deferred</w:t>
            </w:r>
          </w:p>
        </w:tc>
        <w:tc>
          <w:tcPr>
            <w:tcW w:w="5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881</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2,510</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129</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2,757</w:t>
            </w:r>
          </w:p>
        </w:tc>
      </w:tr>
      <w:tr>
        <w:trPr>
          <w:trHeight w:val="176"/>
        </w:trPr>
        <w:tc>
          <w:tcPr>
            <w:tcW w:w="8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8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41,100</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44,500</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165,600</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75,000</w:t>
            </w:r>
          </w:p>
        </w:tc>
      </w:tr>
      <w:tr>
        <w:trPr>
          <w:trHeight w:val="176"/>
        </w:trPr>
        <w:tc>
          <w:tcPr>
            <w:tcW w:w="8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540" w:type="dxa"/>
            <w:vAlign w:val="bottom"/>
          </w:tcPr>
          <w:p>
            <w:pPr>
              <w:spacing w:after="0"/>
              <w:rPr>
                <w:sz w:val="24"/>
                <w:szCs w:val="24"/>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63,782</w:t>
            </w:r>
          </w:p>
        </w:tc>
        <w:tc>
          <w:tcPr>
            <w:tcW w:w="640" w:type="dxa"/>
            <w:vAlign w:val="bottom"/>
          </w:tcPr>
          <w:p>
            <w:pPr>
              <w:spacing w:after="0"/>
              <w:rPr>
                <w:sz w:val="24"/>
                <w:szCs w:val="24"/>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71,357</w:t>
            </w:r>
          </w:p>
        </w:tc>
        <w:tc>
          <w:tcPr>
            <w:tcW w:w="360" w:type="dxa"/>
            <w:vAlign w:val="bottom"/>
          </w:tcPr>
          <w:p>
            <w:pPr>
              <w:spacing w:after="0"/>
              <w:rPr>
                <w:sz w:val="24"/>
                <w:szCs w:val="24"/>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271,657</w:t>
            </w:r>
          </w:p>
        </w:tc>
        <w:tc>
          <w:tcPr>
            <w:tcW w:w="460" w:type="dxa"/>
            <w:vAlign w:val="bottom"/>
          </w:tcPr>
          <w:p>
            <w:pPr>
              <w:spacing w:after="0"/>
              <w:rPr>
                <w:sz w:val="24"/>
                <w:szCs w:val="24"/>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119,051</w:t>
            </w:r>
          </w:p>
        </w:tc>
      </w:tr>
      <w:tr>
        <w:trPr>
          <w:trHeight w:val="35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Redeemable preferred stock dividends</w:t>
            </w:r>
          </w:p>
        </w:tc>
        <w:tc>
          <w:tcPr>
            <w:tcW w:w="540" w:type="dxa"/>
            <w:vAlign w:val="bottom"/>
          </w:tcPr>
          <w:p>
            <w:pPr>
              <w:spacing w:after="0"/>
              <w:rPr>
                <w:sz w:val="24"/>
                <w:szCs w:val="24"/>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(239)</w:t>
            </w:r>
          </w:p>
        </w:tc>
        <w:tc>
          <w:tcPr>
            <w:tcW w:w="640" w:type="dxa"/>
            <w:vAlign w:val="bottom"/>
          </w:tcPr>
          <w:p>
            <w:pPr>
              <w:spacing w:after="0"/>
              <w:rPr>
                <w:sz w:val="24"/>
                <w:szCs w:val="24"/>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(239)</w:t>
            </w:r>
          </w:p>
        </w:tc>
        <w:tc>
          <w:tcPr>
            <w:tcW w:w="360" w:type="dxa"/>
            <w:vAlign w:val="bottom"/>
          </w:tcPr>
          <w:p>
            <w:pPr>
              <w:spacing w:after="0"/>
              <w:rPr>
                <w:sz w:val="24"/>
                <w:szCs w:val="24"/>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(717)</w:t>
            </w:r>
          </w:p>
        </w:tc>
        <w:tc>
          <w:tcPr>
            <w:tcW w:w="4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(717)</w:t>
            </w:r>
          </w:p>
        </w:tc>
      </w:tr>
      <w:tr>
        <w:trPr>
          <w:trHeight w:val="176"/>
        </w:trPr>
        <w:tc>
          <w:tcPr>
            <w:tcW w:w="8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Net income available for common shares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63,543</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71,118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270,940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118,334</w:t>
            </w:r>
          </w:p>
        </w:tc>
      </w:tr>
      <w:tr>
        <w:trPr>
          <w:trHeight w:val="176"/>
        </w:trPr>
        <w:tc>
          <w:tcPr>
            <w:tcW w:w="8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6.62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26.86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10.96</w:t>
            </w:r>
          </w:p>
        </w:tc>
      </w:tr>
      <w:tr>
        <w:trPr>
          <w:trHeight w:val="176"/>
        </w:trPr>
        <w:tc>
          <w:tcPr>
            <w:tcW w:w="8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6.27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6.60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26.74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10.94</w:t>
            </w:r>
          </w:p>
        </w:tc>
      </w:tr>
      <w:tr>
        <w:trPr>
          <w:trHeight w:val="176"/>
        </w:trPr>
        <w:tc>
          <w:tcPr>
            <w:tcW w:w="8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Dividends declared per common share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3.75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3.60</w:t>
            </w:r>
          </w:p>
        </w:tc>
      </w:tr>
      <w:tr>
        <w:trPr>
          <w:trHeight w:val="176"/>
        </w:trPr>
        <w:tc>
          <w:tcPr>
            <w:tcW w:w="8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Basic average number of common shares</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55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outstanding</w:t>
            </w:r>
          </w:p>
        </w:tc>
        <w:tc>
          <w:tcPr>
            <w:tcW w:w="5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10,088</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10,743</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10,086</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10,797</w:t>
            </w:r>
          </w:p>
        </w:tc>
      </w:tr>
      <w:tr>
        <w:trPr>
          <w:trHeight w:val="35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Diluted average number of common shares</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5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outstanding</w:t>
            </w:r>
          </w:p>
        </w:tc>
        <w:tc>
          <w:tcPr>
            <w:tcW w:w="5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10,136</w:t>
            </w:r>
          </w:p>
        </w:tc>
        <w:tc>
          <w:tcPr>
            <w:tcW w:w="6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10,772</w:t>
            </w:r>
          </w:p>
        </w:tc>
        <w:tc>
          <w:tcPr>
            <w:tcW w:w="36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10,132</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10,819</w:t>
            </w:r>
          </w:p>
        </w:tc>
      </w:tr>
    </w:tbl>
    <w:p>
      <w:pPr>
        <w:sectPr>
          <w:pgSz w:w="11900" w:h="16838" w:orient="portrait"/>
          <w:cols w:equalWidth="0" w:num="1">
            <w:col w:w="11520"/>
          </w:cols>
          <w:pgMar w:left="240" w:top="294" w:right="139"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1020" w:type="dxa"/>
            <w:vAlign w:val="bottom"/>
          </w:tcPr>
          <w:p>
            <w:pPr>
              <w:spacing w:after="0"/>
              <w:rPr>
                <w:sz w:val="14"/>
                <w:szCs w:val="14"/>
                <w:color w:val="auto"/>
              </w:rPr>
            </w:pPr>
          </w:p>
        </w:tc>
      </w:tr>
      <w:tr>
        <w:trPr>
          <w:trHeight w:val="529"/>
        </w:trPr>
        <w:tc>
          <w:tcPr>
            <w:tcW w:w="5180" w:type="dxa"/>
            <w:vAlign w:val="bottom"/>
          </w:tcPr>
          <w:p>
            <w:pPr>
              <w:spacing w:after="0"/>
              <w:rPr>
                <w:sz w:val="20"/>
                <w:szCs w:val="20"/>
                <w:color w:val="auto"/>
              </w:rPr>
            </w:pPr>
            <w:r>
              <w:rPr>
                <w:rFonts w:ascii="Courier New" w:cs="Courier New" w:eastAsia="Courier New" w:hAnsi="Courier New"/>
                <w:sz w:val="15"/>
                <w:szCs w:val="15"/>
                <w:color w:val="auto"/>
              </w:rPr>
              <w:t>The Washington Post Company</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Condensed Consolidated Balance Sheets</w:t>
            </w: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705"/>
        </w:trPr>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June 28,</w:t>
            </w:r>
          </w:p>
        </w:tc>
        <w:tc>
          <w:tcPr>
            <w:tcW w:w="1740" w:type="dxa"/>
            <w:vAlign w:val="bottom"/>
            <w:gridSpan w:val="2"/>
          </w:tcPr>
          <w:p>
            <w:pPr>
              <w:ind w:left="640"/>
              <w:spacing w:after="0"/>
              <w:rPr>
                <w:sz w:val="20"/>
                <w:szCs w:val="20"/>
                <w:color w:val="auto"/>
              </w:rPr>
            </w:pPr>
            <w:r>
              <w:rPr>
                <w:rFonts w:ascii="Courier New" w:cs="Courier New" w:eastAsia="Courier New" w:hAnsi="Courier New"/>
                <w:sz w:val="15"/>
                <w:szCs w:val="15"/>
                <w:color w:val="auto"/>
                <w:w w:val="99"/>
              </w:rPr>
              <w:t>December 28,</w:t>
            </w:r>
          </w:p>
        </w:tc>
      </w:tr>
      <w:tr>
        <w:trPr>
          <w:trHeight w:val="176"/>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6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(Unaudited)</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2"/>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21,678</w:t>
            </w:r>
          </w:p>
        </w:tc>
        <w:tc>
          <w:tcPr>
            <w:tcW w:w="720" w:type="dxa"/>
            <w:vAlign w:val="bottom"/>
          </w:tcPr>
          <w:p>
            <w:pPr>
              <w:ind w:left="6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21,117</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less estimated returns,</w:t>
            </w: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5180" w:type="dxa"/>
            <w:vAlign w:val="bottom"/>
          </w:tcPr>
          <w:p>
            <w:pPr>
              <w:ind w:left="540"/>
              <w:spacing w:after="0"/>
              <w:rPr>
                <w:sz w:val="20"/>
                <w:szCs w:val="20"/>
                <w:color w:val="auto"/>
              </w:rPr>
            </w:pPr>
            <w:r>
              <w:rPr>
                <w:rFonts w:ascii="Courier New" w:cs="Courier New" w:eastAsia="Courier New" w:hAnsi="Courier New"/>
                <w:sz w:val="15"/>
                <w:szCs w:val="15"/>
                <w:color w:val="auto"/>
              </w:rPr>
              <w:t>doubtful accounts and allowances</w:t>
            </w: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267,343</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244,203</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31,298</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19,213</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Other current assets</w:t>
            </w: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34,078</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23,959</w:t>
            </w:r>
          </w:p>
        </w:tc>
      </w:tr>
      <w:tr>
        <w:trPr>
          <w:trHeight w:val="176"/>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354,397</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308,492</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Investments in affiliates</w:t>
            </w:r>
          </w:p>
        </w:tc>
        <w:tc>
          <w:tcPr>
            <w:tcW w:w="320" w:type="dxa"/>
            <w:vAlign w:val="bottom"/>
          </w:tcPr>
          <w:p>
            <w:pPr>
              <w:spacing w:after="0"/>
              <w:rPr>
                <w:sz w:val="24"/>
                <w:szCs w:val="24"/>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64,161</w:t>
            </w:r>
          </w:p>
        </w:tc>
        <w:tc>
          <w:tcPr>
            <w:tcW w:w="720" w:type="dxa"/>
            <w:vAlign w:val="bottom"/>
          </w:tcPr>
          <w:p>
            <w:pPr>
              <w:spacing w:after="0"/>
              <w:rPr>
                <w:sz w:val="24"/>
                <w:szCs w:val="24"/>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154,791</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Buildings</w:t>
            </w: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189,604</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188,836</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Machinery, equipment and fixtures</w:t>
            </w: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824,169</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800,435</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Leasehold improvements</w:t>
            </w: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41,411</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39,017</w:t>
            </w:r>
          </w:p>
        </w:tc>
      </w:tr>
      <w:tr>
        <w:trPr>
          <w:trHeight w:val="176"/>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1,055,184</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1,028,288</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320" w:type="dxa"/>
            <w:vAlign w:val="bottom"/>
          </w:tcPr>
          <w:p>
            <w:pPr>
              <w:spacing w:after="0"/>
              <w:rPr>
                <w:sz w:val="15"/>
                <w:szCs w:val="15"/>
                <w:color w:val="auto"/>
              </w:rPr>
            </w:pP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(607,073)</w:t>
            </w:r>
          </w:p>
        </w:tc>
        <w:tc>
          <w:tcPr>
            <w:tcW w:w="7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(577,445)</w:t>
            </w:r>
          </w:p>
        </w:tc>
      </w:tr>
      <w:tr>
        <w:trPr>
          <w:trHeight w:val="176"/>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448,111</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450,843</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Land</w:t>
            </w: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33,953</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33,953</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Construction in progress</w:t>
            </w: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232,068</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168,954</w:t>
            </w:r>
          </w:p>
        </w:tc>
      </w:tr>
      <w:tr>
        <w:trPr>
          <w:trHeight w:val="176"/>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714,132</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653,750</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intangibles,</w:t>
            </w: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less accumulated amortization</w:t>
            </w: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756,680</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679,714</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Deferred charges and other assets</w:t>
            </w:r>
          </w:p>
        </w:tc>
        <w:tc>
          <w:tcPr>
            <w:tcW w:w="320" w:type="dxa"/>
            <w:vAlign w:val="bottom"/>
          </w:tcPr>
          <w:p>
            <w:pPr>
              <w:spacing w:after="0"/>
              <w:rPr>
                <w:sz w:val="24"/>
                <w:szCs w:val="24"/>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327,064</w:t>
            </w:r>
          </w:p>
        </w:tc>
        <w:tc>
          <w:tcPr>
            <w:tcW w:w="720" w:type="dxa"/>
            <w:vAlign w:val="bottom"/>
          </w:tcPr>
          <w:p>
            <w:pPr>
              <w:spacing w:after="0"/>
              <w:rPr>
                <w:sz w:val="24"/>
                <w:szCs w:val="24"/>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280,570</w:t>
            </w:r>
          </w:p>
        </w:tc>
      </w:tr>
      <w:tr>
        <w:trPr>
          <w:trHeight w:val="176"/>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15"/>
                <w:szCs w:val="15"/>
                <w:color w:val="auto"/>
              </w:rPr>
            </w:pP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$2,216,434</w:t>
            </w:r>
          </w:p>
        </w:tc>
        <w:tc>
          <w:tcPr>
            <w:tcW w:w="17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$2,077,317</w:t>
            </w:r>
          </w:p>
        </w:tc>
      </w:tr>
      <w:tr>
        <w:trPr>
          <w:trHeight w:val="176"/>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liabilities</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221,906</w:t>
            </w:r>
          </w:p>
        </w:tc>
        <w:tc>
          <w:tcPr>
            <w:tcW w:w="720" w:type="dxa"/>
            <w:vAlign w:val="bottom"/>
          </w:tcPr>
          <w:p>
            <w:pPr>
              <w:ind w:left="6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213,824</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Federal and state income taxes</w:t>
            </w: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31,942</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18,352</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Deferred subscription revenue</w:t>
            </w: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83,456</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80,186</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Dividends declared</w:t>
            </w: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12,840</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Short-term borrowings</w:t>
            </w: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156,984</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296,394</w:t>
            </w:r>
          </w:p>
        </w:tc>
      </w:tr>
      <w:tr>
        <w:trPr>
          <w:trHeight w:val="176"/>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507,128</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608,756</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320" w:type="dxa"/>
            <w:vAlign w:val="bottom"/>
          </w:tcPr>
          <w:p>
            <w:pPr>
              <w:spacing w:after="0"/>
              <w:rPr>
                <w:sz w:val="24"/>
                <w:szCs w:val="24"/>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249,718</w:t>
            </w:r>
          </w:p>
        </w:tc>
        <w:tc>
          <w:tcPr>
            <w:tcW w:w="720" w:type="dxa"/>
            <w:vAlign w:val="bottom"/>
          </w:tcPr>
          <w:p>
            <w:pPr>
              <w:spacing w:after="0"/>
              <w:rPr>
                <w:sz w:val="24"/>
                <w:szCs w:val="24"/>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241,234</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320" w:type="dxa"/>
            <w:vAlign w:val="bottom"/>
          </w:tcPr>
          <w:p>
            <w:pPr>
              <w:spacing w:after="0"/>
              <w:rPr>
                <w:sz w:val="24"/>
                <w:szCs w:val="24"/>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32,719</w:t>
            </w:r>
          </w:p>
        </w:tc>
        <w:tc>
          <w:tcPr>
            <w:tcW w:w="720" w:type="dxa"/>
            <w:vAlign w:val="bottom"/>
          </w:tcPr>
          <w:p>
            <w:pPr>
              <w:spacing w:after="0"/>
              <w:rPr>
                <w:sz w:val="24"/>
                <w:szCs w:val="24"/>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31,306</w:t>
            </w:r>
          </w:p>
        </w:tc>
      </w:tr>
      <w:tr>
        <w:trPr>
          <w:trHeight w:val="176"/>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789,565</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881,296</w:t>
            </w:r>
          </w:p>
        </w:tc>
      </w:tr>
      <w:tr>
        <w:trPr>
          <w:trHeight w:val="176"/>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Redeemable preferred stock</w:t>
            </w:r>
          </w:p>
        </w:tc>
        <w:tc>
          <w:tcPr>
            <w:tcW w:w="320" w:type="dxa"/>
            <w:vAlign w:val="bottom"/>
          </w:tcPr>
          <w:p>
            <w:pPr>
              <w:spacing w:after="0"/>
              <w:rPr>
                <w:sz w:val="24"/>
                <w:szCs w:val="24"/>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11,873</w:t>
            </w:r>
          </w:p>
        </w:tc>
        <w:tc>
          <w:tcPr>
            <w:tcW w:w="720" w:type="dxa"/>
            <w:vAlign w:val="bottom"/>
          </w:tcPr>
          <w:p>
            <w:pPr>
              <w:spacing w:after="0"/>
              <w:rPr>
                <w:sz w:val="24"/>
                <w:szCs w:val="24"/>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11,947</w:t>
            </w:r>
          </w:p>
        </w:tc>
      </w:tr>
      <w:tr>
        <w:trPr>
          <w:trHeight w:val="176"/>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320" w:type="dxa"/>
            <w:vAlign w:val="bottom"/>
          </w:tcPr>
          <w:p>
            <w:pPr>
              <w:spacing w:after="0"/>
              <w:rPr>
                <w:sz w:val="24"/>
                <w:szCs w:val="24"/>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4"/>
                <w:szCs w:val="24"/>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Common shareholders' equity</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Common stock</w:t>
            </w: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20,000</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20,000</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Capital in excess of par value</w:t>
            </w: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36,431</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33,415</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2,464,462</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2,231,341</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Accumulated other comprehensive income (losses)</w:t>
            </w: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5180" w:type="dxa"/>
            <w:vAlign w:val="bottom"/>
          </w:tcPr>
          <w:p>
            <w:pPr>
              <w:ind w:left="360"/>
              <w:spacing w:after="0"/>
              <w:rPr>
                <w:sz w:val="20"/>
                <w:szCs w:val="20"/>
                <w:color w:val="auto"/>
              </w:rPr>
            </w:pPr>
            <w:r>
              <w:rPr>
                <w:rFonts w:ascii="Courier New" w:cs="Courier New" w:eastAsia="Courier New" w:hAnsi="Courier New"/>
                <w:sz w:val="15"/>
                <w:szCs w:val="15"/>
                <w:color w:val="auto"/>
              </w:rPr>
              <w:t>Cumulative foreign currency translation adjustment</w:t>
            </w:r>
          </w:p>
        </w:tc>
        <w:tc>
          <w:tcPr>
            <w:tcW w:w="320" w:type="dxa"/>
            <w:vAlign w:val="bottom"/>
          </w:tcPr>
          <w:p>
            <w:pPr>
              <w:spacing w:after="0"/>
              <w:rPr>
                <w:sz w:val="15"/>
                <w:szCs w:val="15"/>
                <w:color w:val="auto"/>
              </w:rPr>
            </w:pP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(1,949)</w:t>
            </w:r>
          </w:p>
        </w:tc>
        <w:tc>
          <w:tcPr>
            <w:tcW w:w="7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(464)</w:t>
            </w:r>
          </w:p>
        </w:tc>
      </w:tr>
      <w:tr>
        <w:trPr>
          <w:trHeight w:val="176"/>
        </w:trPr>
        <w:tc>
          <w:tcPr>
            <w:tcW w:w="5180" w:type="dxa"/>
            <w:vAlign w:val="bottom"/>
          </w:tcPr>
          <w:p>
            <w:pPr>
              <w:ind w:left="360"/>
              <w:spacing w:after="0"/>
              <w:rPr>
                <w:sz w:val="20"/>
                <w:szCs w:val="20"/>
                <w:color w:val="auto"/>
              </w:rPr>
            </w:pPr>
            <w:r>
              <w:rPr>
                <w:rFonts w:ascii="Courier New" w:cs="Courier New" w:eastAsia="Courier New" w:hAnsi="Courier New"/>
                <w:sz w:val="15"/>
                <w:szCs w:val="15"/>
                <w:color w:val="auto"/>
              </w:rPr>
              <w:t>Unrealized gain on available-for-sale securities</w:t>
            </w: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1,927</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Cost of Class B common stock held in treasury</w:t>
            </w:r>
          </w:p>
        </w:tc>
        <w:tc>
          <w:tcPr>
            <w:tcW w:w="16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(1,105,875)</w:t>
            </w:r>
          </w:p>
        </w:tc>
        <w:tc>
          <w:tcPr>
            <w:tcW w:w="1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(1,100,249)</w:t>
            </w:r>
          </w:p>
        </w:tc>
      </w:tr>
      <w:tr>
        <w:trPr>
          <w:trHeight w:val="176"/>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1,414,996</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1,184,074</w:t>
            </w:r>
          </w:p>
        </w:tc>
      </w:tr>
      <w:tr>
        <w:trPr>
          <w:trHeight w:val="176"/>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15"/>
                <w:szCs w:val="15"/>
                <w:color w:val="auto"/>
              </w:rPr>
            </w:pP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$2,216,434</w:t>
            </w:r>
          </w:p>
        </w:tc>
        <w:tc>
          <w:tcPr>
            <w:tcW w:w="17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$2,077,317</w:t>
            </w:r>
          </w:p>
        </w:tc>
      </w:tr>
      <w:tr>
        <w:trPr>
          <w:trHeight w:val="176"/>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7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294" w:right="1440" w:bottom="1009"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4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5.</w:t>
            </w:r>
          </w:p>
        </w:tc>
      </w:tr>
      <w:tr>
        <w:trPr>
          <w:trHeight w:val="529"/>
        </w:trPr>
        <w:tc>
          <w:tcPr>
            <w:tcW w:w="5620" w:type="dxa"/>
            <w:vAlign w:val="bottom"/>
          </w:tcPr>
          <w:p>
            <w:pPr>
              <w:spacing w:after="0"/>
              <w:rPr>
                <w:sz w:val="20"/>
                <w:szCs w:val="20"/>
                <w:color w:val="auto"/>
              </w:rPr>
            </w:pPr>
            <w:r>
              <w:rPr>
                <w:rFonts w:ascii="Courier New" w:cs="Courier New" w:eastAsia="Courier New" w:hAnsi="Courier New"/>
                <w:sz w:val="15"/>
                <w:szCs w:val="15"/>
                <w:color w:val="auto"/>
              </w:rPr>
              <w:t>The Washington Post Company</w:t>
            </w:r>
          </w:p>
        </w:tc>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Condensed Consolidated Statements of Cash Flows (Unaudited)</w:t>
            </w:r>
          </w:p>
        </w:tc>
        <w:tc>
          <w:tcPr>
            <w:tcW w:w="13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529"/>
        </w:trPr>
        <w:tc>
          <w:tcPr>
            <w:tcW w:w="5620" w:type="dxa"/>
            <w:vAlign w:val="bottom"/>
          </w:tcPr>
          <w:p>
            <w:pPr>
              <w:spacing w:after="0"/>
              <w:rPr>
                <w:sz w:val="24"/>
                <w:szCs w:val="24"/>
                <w:color w:val="auto"/>
              </w:rPr>
            </w:pPr>
          </w:p>
        </w:tc>
        <w:tc>
          <w:tcPr>
            <w:tcW w:w="29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Twenty-six Weeks Ended</w:t>
            </w:r>
          </w:p>
        </w:tc>
      </w:tr>
      <w:tr>
        <w:trPr>
          <w:trHeight w:val="176"/>
        </w:trPr>
        <w:tc>
          <w:tcPr>
            <w:tcW w:w="5620" w:type="dxa"/>
            <w:vAlign w:val="bottom"/>
          </w:tcPr>
          <w:p>
            <w:pPr>
              <w:spacing w:after="0"/>
              <w:rPr>
                <w:sz w:val="15"/>
                <w:szCs w:val="15"/>
                <w:color w:val="auto"/>
              </w:rPr>
            </w:pPr>
          </w:p>
        </w:tc>
        <w:tc>
          <w:tcPr>
            <w:tcW w:w="29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spacing w:after="0"/>
              <w:rPr>
                <w:sz w:val="15"/>
                <w:szCs w:val="15"/>
                <w:color w:val="auto"/>
              </w:rPr>
            </w:pPr>
          </w:p>
        </w:tc>
        <w:tc>
          <w:tcPr>
            <w:tcW w:w="13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June 28,</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June 29,</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3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1998</w:t>
            </w:r>
          </w:p>
        </w:tc>
        <w:tc>
          <w:tcPr>
            <w:tcW w:w="1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5620" w:type="dxa"/>
            <w:vAlign w:val="bottom"/>
          </w:tcPr>
          <w:p>
            <w:pPr>
              <w:spacing w:after="0"/>
              <w:rPr>
                <w:sz w:val="15"/>
                <w:szCs w:val="15"/>
                <w:color w:val="auto"/>
              </w:rPr>
            </w:pP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76"/>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$271,657</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$119,051</w:t>
            </w:r>
          </w:p>
        </w:tc>
      </w:tr>
      <w:tr>
        <w:trPr>
          <w:trHeight w:val="176"/>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13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6"/>
        </w:trPr>
        <w:tc>
          <w:tcPr>
            <w:tcW w:w="5620" w:type="dxa"/>
            <w:vAlign w:val="bottom"/>
          </w:tcPr>
          <w:p>
            <w:pPr>
              <w:ind w:left="540"/>
              <w:spacing w:after="0"/>
              <w:rPr>
                <w:sz w:val="20"/>
                <w:szCs w:val="20"/>
                <w:color w:val="auto"/>
              </w:rPr>
            </w:pPr>
            <w:r>
              <w:rPr>
                <w:rFonts w:ascii="Courier New" w:cs="Courier New" w:eastAsia="Courier New" w:hAnsi="Courier New"/>
                <w:sz w:val="15"/>
                <w:szCs w:val="15"/>
                <w:color w:val="auto"/>
              </w:rPr>
              <w:t>provided by operating activities:</w:t>
            </w:r>
          </w:p>
        </w:tc>
        <w:tc>
          <w:tcPr>
            <w:tcW w:w="13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6"/>
        </w:trPr>
        <w:tc>
          <w:tcPr>
            <w:tcW w:w="5620" w:type="dxa"/>
            <w:vAlign w:val="bottom"/>
          </w:tcPr>
          <w:p>
            <w:pPr>
              <w:ind w:left="920"/>
              <w:spacing w:after="0"/>
              <w:rPr>
                <w:sz w:val="20"/>
                <w:szCs w:val="20"/>
                <w:color w:val="auto"/>
              </w:rPr>
            </w:pPr>
            <w:r>
              <w:rPr>
                <w:rFonts w:ascii="Courier New" w:cs="Courier New" w:eastAsia="Courier New" w:hAnsi="Courier New"/>
                <w:sz w:val="15"/>
                <w:szCs w:val="15"/>
                <w:color w:val="auto"/>
              </w:rPr>
              <w:t>Depreciation and amortization of property, plant</w:t>
            </w:r>
          </w:p>
        </w:tc>
        <w:tc>
          <w:tcPr>
            <w:tcW w:w="13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6"/>
        </w:trPr>
        <w:tc>
          <w:tcPr>
            <w:tcW w:w="5620" w:type="dxa"/>
            <w:vAlign w:val="bottom"/>
          </w:tcPr>
          <w:p>
            <w:pPr>
              <w:ind w:left="1280"/>
              <w:spacing w:after="0"/>
              <w:rPr>
                <w:sz w:val="20"/>
                <w:szCs w:val="20"/>
                <w:color w:val="auto"/>
              </w:rPr>
            </w:pPr>
            <w:r>
              <w:rPr>
                <w:rFonts w:ascii="Courier New" w:cs="Courier New" w:eastAsia="Courier New" w:hAnsi="Courier New"/>
                <w:sz w:val="15"/>
                <w:szCs w:val="15"/>
                <w:color w:val="auto"/>
              </w:rPr>
              <w:t>and equipment</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41,111</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35,661</w:t>
            </w:r>
          </w:p>
        </w:tc>
      </w:tr>
      <w:tr>
        <w:trPr>
          <w:trHeight w:val="176"/>
        </w:trPr>
        <w:tc>
          <w:tcPr>
            <w:tcW w:w="5620" w:type="dxa"/>
            <w:vAlign w:val="bottom"/>
          </w:tcPr>
          <w:p>
            <w:pPr>
              <w:ind w:left="920"/>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21,870</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16,167</w:t>
            </w:r>
          </w:p>
        </w:tc>
      </w:tr>
      <w:tr>
        <w:trPr>
          <w:trHeight w:val="176"/>
        </w:trPr>
        <w:tc>
          <w:tcPr>
            <w:tcW w:w="5620" w:type="dxa"/>
            <w:vAlign w:val="bottom"/>
          </w:tcPr>
          <w:p>
            <w:pPr>
              <w:ind w:left="920"/>
              <w:spacing w:after="0"/>
              <w:rPr>
                <w:sz w:val="20"/>
                <w:szCs w:val="20"/>
                <w:color w:val="auto"/>
              </w:rPr>
            </w:pPr>
            <w:r>
              <w:rPr>
                <w:rFonts w:ascii="Courier New" w:cs="Courier New" w:eastAsia="Courier New" w:hAnsi="Courier New"/>
                <w:sz w:val="15"/>
                <w:szCs w:val="15"/>
                <w:color w:val="auto"/>
              </w:rPr>
              <w:t>Gain on disposition of business</w:t>
            </w:r>
          </w:p>
        </w:tc>
        <w:tc>
          <w:tcPr>
            <w:tcW w:w="13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(258,436)</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ind w:left="920"/>
              <w:spacing w:after="0"/>
              <w:rPr>
                <w:sz w:val="20"/>
                <w:szCs w:val="20"/>
                <w:color w:val="auto"/>
              </w:rPr>
            </w:pPr>
            <w:r>
              <w:rPr>
                <w:rFonts w:ascii="Courier New" w:cs="Courier New" w:eastAsia="Courier New" w:hAnsi="Courier New"/>
                <w:sz w:val="15"/>
                <w:szCs w:val="15"/>
                <w:color w:val="auto"/>
              </w:rPr>
              <w:t>Provision for deferred income taxes</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129</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2,757</w:t>
            </w:r>
          </w:p>
        </w:tc>
      </w:tr>
      <w:tr>
        <w:trPr>
          <w:trHeight w:val="176"/>
        </w:trPr>
        <w:tc>
          <w:tcPr>
            <w:tcW w:w="5620" w:type="dxa"/>
            <w:vAlign w:val="bottom"/>
          </w:tcPr>
          <w:p>
            <w:pPr>
              <w:ind w:left="920"/>
              <w:spacing w:after="0"/>
              <w:rPr>
                <w:sz w:val="20"/>
                <w:szCs w:val="20"/>
                <w:color w:val="auto"/>
              </w:rPr>
            </w:pPr>
            <w:r>
              <w:rPr>
                <w:rFonts w:ascii="Courier New" w:cs="Courier New" w:eastAsia="Courier New" w:hAnsi="Courier New"/>
                <w:sz w:val="15"/>
                <w:szCs w:val="15"/>
                <w:color w:val="auto"/>
              </w:rPr>
              <w:t>Equity in earnings of affiliates, net of</w:t>
            </w:r>
          </w:p>
        </w:tc>
        <w:tc>
          <w:tcPr>
            <w:tcW w:w="13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6"/>
        </w:trPr>
        <w:tc>
          <w:tcPr>
            <w:tcW w:w="5620" w:type="dxa"/>
            <w:vAlign w:val="bottom"/>
          </w:tcPr>
          <w:p>
            <w:pPr>
              <w:ind w:left="1280"/>
              <w:spacing w:after="0"/>
              <w:rPr>
                <w:sz w:val="20"/>
                <w:szCs w:val="20"/>
                <w:color w:val="auto"/>
              </w:rPr>
            </w:pPr>
            <w:r>
              <w:rPr>
                <w:rFonts w:ascii="Courier New" w:cs="Courier New" w:eastAsia="Courier New" w:hAnsi="Courier New"/>
                <w:sz w:val="15"/>
                <w:szCs w:val="15"/>
                <w:color w:val="auto"/>
              </w:rPr>
              <w:t>distributions</w:t>
            </w:r>
          </w:p>
        </w:tc>
        <w:tc>
          <w:tcPr>
            <w:tcW w:w="13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(255)</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(2,171)</w:t>
            </w:r>
          </w:p>
        </w:tc>
      </w:tr>
      <w:tr>
        <w:trPr>
          <w:trHeight w:val="176"/>
        </w:trPr>
        <w:tc>
          <w:tcPr>
            <w:tcW w:w="5620" w:type="dxa"/>
            <w:vAlign w:val="bottom"/>
          </w:tcPr>
          <w:p>
            <w:pPr>
              <w:ind w:left="920"/>
              <w:spacing w:after="0"/>
              <w:rPr>
                <w:sz w:val="20"/>
                <w:szCs w:val="20"/>
                <w:color w:val="auto"/>
              </w:rPr>
            </w:pPr>
            <w:r>
              <w:rPr>
                <w:rFonts w:ascii="Courier New" w:cs="Courier New" w:eastAsia="Courier New" w:hAnsi="Courier New"/>
                <w:sz w:val="15"/>
                <w:szCs w:val="15"/>
                <w:color w:val="auto"/>
              </w:rPr>
              <w:t>Change in assets and liabilities:</w:t>
            </w:r>
          </w:p>
        </w:tc>
        <w:tc>
          <w:tcPr>
            <w:tcW w:w="13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6"/>
        </w:trPr>
        <w:tc>
          <w:tcPr>
            <w:tcW w:w="5620" w:type="dxa"/>
            <w:vAlign w:val="bottom"/>
          </w:tcPr>
          <w:p>
            <w:pPr>
              <w:ind w:left="1280"/>
              <w:spacing w:after="0"/>
              <w:rPr>
                <w:sz w:val="20"/>
                <w:szCs w:val="20"/>
                <w:color w:val="auto"/>
              </w:rPr>
            </w:pPr>
            <w:r>
              <w:rPr>
                <w:rFonts w:ascii="Courier New" w:cs="Courier New" w:eastAsia="Courier New" w:hAnsi="Courier New"/>
                <w:sz w:val="15"/>
                <w:szCs w:val="15"/>
                <w:color w:val="auto"/>
              </w:rPr>
              <w:t>Increase in accounts receivable, net</w:t>
            </w:r>
          </w:p>
        </w:tc>
        <w:tc>
          <w:tcPr>
            <w:tcW w:w="13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(23,140)</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(1,497)</w:t>
            </w:r>
          </w:p>
        </w:tc>
      </w:tr>
      <w:tr>
        <w:trPr>
          <w:trHeight w:val="176"/>
        </w:trPr>
        <w:tc>
          <w:tcPr>
            <w:tcW w:w="5620" w:type="dxa"/>
            <w:vAlign w:val="bottom"/>
          </w:tcPr>
          <w:p>
            <w:pPr>
              <w:ind w:left="1280"/>
              <w:spacing w:after="0"/>
              <w:rPr>
                <w:sz w:val="20"/>
                <w:szCs w:val="20"/>
                <w:color w:val="auto"/>
              </w:rPr>
            </w:pPr>
            <w:r>
              <w:rPr>
                <w:rFonts w:ascii="Courier New" w:cs="Courier New" w:eastAsia="Courier New" w:hAnsi="Courier New"/>
                <w:sz w:val="15"/>
                <w:szCs w:val="15"/>
                <w:color w:val="auto"/>
              </w:rPr>
              <w:t>Increase in inventories</w:t>
            </w:r>
          </w:p>
        </w:tc>
        <w:tc>
          <w:tcPr>
            <w:tcW w:w="13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(12,085)</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(2,368)</w:t>
            </w:r>
          </w:p>
        </w:tc>
      </w:tr>
      <w:tr>
        <w:trPr>
          <w:trHeight w:val="176"/>
        </w:trPr>
        <w:tc>
          <w:tcPr>
            <w:tcW w:w="5620" w:type="dxa"/>
            <w:vAlign w:val="bottom"/>
          </w:tcPr>
          <w:p>
            <w:pPr>
              <w:ind w:left="1280"/>
              <w:spacing w:after="0"/>
              <w:rPr>
                <w:sz w:val="20"/>
                <w:szCs w:val="20"/>
                <w:color w:val="auto"/>
              </w:rPr>
            </w:pPr>
            <w:r>
              <w:rPr>
                <w:rFonts w:ascii="Courier New" w:cs="Courier New" w:eastAsia="Courier New" w:hAnsi="Courier New"/>
                <w:sz w:val="15"/>
                <w:szCs w:val="15"/>
                <w:color w:val="auto"/>
              </w:rPr>
              <w:t>Increase in accounts payable and</w:t>
            </w:r>
          </w:p>
        </w:tc>
        <w:tc>
          <w:tcPr>
            <w:tcW w:w="13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6"/>
        </w:trPr>
        <w:tc>
          <w:tcPr>
            <w:tcW w:w="5620" w:type="dxa"/>
            <w:vAlign w:val="bottom"/>
          </w:tcPr>
          <w:p>
            <w:pPr>
              <w:ind w:left="1560"/>
              <w:spacing w:after="0"/>
              <w:rPr>
                <w:sz w:val="20"/>
                <w:szCs w:val="20"/>
                <w:color w:val="auto"/>
              </w:rPr>
            </w:pPr>
            <w:r>
              <w:rPr>
                <w:rFonts w:ascii="Courier New" w:cs="Courier New" w:eastAsia="Courier New" w:hAnsi="Courier New"/>
                <w:sz w:val="15"/>
                <w:szCs w:val="15"/>
                <w:color w:val="auto"/>
              </w:rPr>
              <w:t>accrued liabilities</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9,426</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163</w:t>
            </w:r>
          </w:p>
        </w:tc>
      </w:tr>
      <w:tr>
        <w:trPr>
          <w:trHeight w:val="176"/>
        </w:trPr>
        <w:tc>
          <w:tcPr>
            <w:tcW w:w="5620" w:type="dxa"/>
            <w:vAlign w:val="bottom"/>
          </w:tcPr>
          <w:p>
            <w:pPr>
              <w:ind w:left="1280"/>
              <w:spacing w:after="0"/>
              <w:rPr>
                <w:sz w:val="20"/>
                <w:szCs w:val="20"/>
                <w:color w:val="auto"/>
              </w:rPr>
            </w:pPr>
            <w:r>
              <w:rPr>
                <w:rFonts w:ascii="Courier New" w:cs="Courier New" w:eastAsia="Courier New" w:hAnsi="Courier New"/>
                <w:sz w:val="15"/>
                <w:szCs w:val="15"/>
                <w:color w:val="auto"/>
              </w:rPr>
              <w:t>Increase (decrease) in income taxes payable</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13,590</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(1,492)</w:t>
            </w:r>
          </w:p>
        </w:tc>
      </w:tr>
      <w:tr>
        <w:trPr>
          <w:trHeight w:val="176"/>
        </w:trPr>
        <w:tc>
          <w:tcPr>
            <w:tcW w:w="5620" w:type="dxa"/>
            <w:vAlign w:val="bottom"/>
          </w:tcPr>
          <w:p>
            <w:pPr>
              <w:ind w:left="1280"/>
              <w:spacing w:after="0"/>
              <w:rPr>
                <w:sz w:val="20"/>
                <w:szCs w:val="20"/>
                <w:color w:val="auto"/>
              </w:rPr>
            </w:pPr>
            <w:r>
              <w:rPr>
                <w:rFonts w:ascii="Courier New" w:cs="Courier New" w:eastAsia="Courier New" w:hAnsi="Courier New"/>
                <w:sz w:val="15"/>
                <w:szCs w:val="15"/>
                <w:color w:val="auto"/>
              </w:rPr>
              <w:t>Increase in other assets and other</w:t>
            </w:r>
          </w:p>
        </w:tc>
        <w:tc>
          <w:tcPr>
            <w:tcW w:w="13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6"/>
        </w:trPr>
        <w:tc>
          <w:tcPr>
            <w:tcW w:w="5620" w:type="dxa"/>
            <w:vAlign w:val="bottom"/>
          </w:tcPr>
          <w:p>
            <w:pPr>
              <w:ind w:left="1560"/>
              <w:spacing w:after="0"/>
              <w:rPr>
                <w:sz w:val="20"/>
                <w:szCs w:val="20"/>
                <w:color w:val="auto"/>
              </w:rPr>
            </w:pPr>
            <w:r>
              <w:rPr>
                <w:rFonts w:ascii="Courier New" w:cs="Courier New" w:eastAsia="Courier New" w:hAnsi="Courier New"/>
                <w:sz w:val="15"/>
                <w:szCs w:val="15"/>
                <w:color w:val="auto"/>
              </w:rPr>
              <w:t>liabilities, net</w:t>
            </w:r>
          </w:p>
        </w:tc>
        <w:tc>
          <w:tcPr>
            <w:tcW w:w="13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(18,763)</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(2,644)</w:t>
            </w:r>
          </w:p>
        </w:tc>
      </w:tr>
      <w:tr>
        <w:trPr>
          <w:trHeight w:val="176"/>
        </w:trPr>
        <w:tc>
          <w:tcPr>
            <w:tcW w:w="5620" w:type="dxa"/>
            <w:vAlign w:val="bottom"/>
          </w:tcPr>
          <w:p>
            <w:pPr>
              <w:ind w:left="920"/>
              <w:spacing w:after="0"/>
              <w:rPr>
                <w:sz w:val="20"/>
                <w:szCs w:val="20"/>
                <w:color w:val="auto"/>
              </w:rPr>
            </w:pPr>
            <w:r>
              <w:rPr>
                <w:rFonts w:ascii="Courier New" w:cs="Courier New" w:eastAsia="Courier New" w:hAnsi="Courier New"/>
                <w:sz w:val="15"/>
                <w:szCs w:val="15"/>
                <w:color w:val="auto"/>
              </w:rPr>
              <w:t>Other</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8,057</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(630)</w:t>
            </w:r>
          </w:p>
        </w:tc>
      </w:tr>
      <w:tr>
        <w:trPr>
          <w:trHeight w:val="176"/>
        </w:trPr>
        <w:tc>
          <w:tcPr>
            <w:tcW w:w="5620" w:type="dxa"/>
            <w:vAlign w:val="bottom"/>
          </w:tcPr>
          <w:p>
            <w:pPr>
              <w:spacing w:after="0"/>
              <w:rPr>
                <w:sz w:val="15"/>
                <w:szCs w:val="15"/>
                <w:color w:val="auto"/>
              </w:rPr>
            </w:pP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ind w:left="82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53,161</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162,997</w:t>
            </w:r>
          </w:p>
        </w:tc>
      </w:tr>
      <w:tr>
        <w:trPr>
          <w:trHeight w:val="176"/>
        </w:trPr>
        <w:tc>
          <w:tcPr>
            <w:tcW w:w="5620" w:type="dxa"/>
            <w:vAlign w:val="bottom"/>
          </w:tcPr>
          <w:p>
            <w:pPr>
              <w:spacing w:after="0"/>
              <w:rPr>
                <w:sz w:val="15"/>
                <w:szCs w:val="15"/>
                <w:color w:val="auto"/>
              </w:rPr>
            </w:pP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76"/>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Net proceeds from sale of business</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330,473</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Purchases of property, plant and equipment</w:t>
            </w:r>
          </w:p>
        </w:tc>
        <w:tc>
          <w:tcPr>
            <w:tcW w:w="13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(86,380)</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(86,920)</w:t>
            </w:r>
          </w:p>
        </w:tc>
      </w:tr>
      <w:tr>
        <w:trPr>
          <w:trHeight w:val="176"/>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certain businesses</w:t>
            </w:r>
          </w:p>
        </w:tc>
        <w:tc>
          <w:tcPr>
            <w:tcW w:w="13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(132,483)</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(23,141)</w:t>
            </w:r>
          </w:p>
        </w:tc>
      </w:tr>
      <w:tr>
        <w:trPr>
          <w:trHeight w:val="176"/>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 of marketable securities</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5,009</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3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(664)</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9,825</w:t>
            </w:r>
          </w:p>
        </w:tc>
      </w:tr>
      <w:tr>
        <w:trPr>
          <w:trHeight w:val="176"/>
        </w:trPr>
        <w:tc>
          <w:tcPr>
            <w:tcW w:w="5620" w:type="dxa"/>
            <w:vAlign w:val="bottom"/>
          </w:tcPr>
          <w:p>
            <w:pPr>
              <w:spacing w:after="0"/>
              <w:rPr>
                <w:sz w:val="15"/>
                <w:szCs w:val="15"/>
                <w:color w:val="auto"/>
              </w:rPr>
            </w:pP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ind w:left="820"/>
              <w:spacing w:after="0"/>
              <w:rPr>
                <w:sz w:val="20"/>
                <w:szCs w:val="20"/>
                <w:color w:val="auto"/>
              </w:rPr>
            </w:pPr>
            <w:r>
              <w:rPr>
                <w:rFonts w:ascii="Courier New" w:cs="Courier New" w:eastAsia="Courier New" w:hAnsi="Courier New"/>
                <w:sz w:val="15"/>
                <w:szCs w:val="15"/>
                <w:color w:val="auto"/>
              </w:rPr>
              <w:t>Net cash provided by (used in) investing activities</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115,955</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(100,236)</w:t>
            </w:r>
          </w:p>
        </w:tc>
      </w:tr>
      <w:tr>
        <w:trPr>
          <w:trHeight w:val="176"/>
        </w:trPr>
        <w:tc>
          <w:tcPr>
            <w:tcW w:w="5620" w:type="dxa"/>
            <w:vAlign w:val="bottom"/>
          </w:tcPr>
          <w:p>
            <w:pPr>
              <w:spacing w:after="0"/>
              <w:rPr>
                <w:sz w:val="15"/>
                <w:szCs w:val="15"/>
                <w:color w:val="auto"/>
              </w:rPr>
            </w:pP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76"/>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Principal payments on debt</w:t>
            </w:r>
          </w:p>
        </w:tc>
        <w:tc>
          <w:tcPr>
            <w:tcW w:w="13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(296,394)</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Short term borrowings</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156,984</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Dividends paid</w:t>
            </w:r>
          </w:p>
        </w:tc>
        <w:tc>
          <w:tcPr>
            <w:tcW w:w="13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(25,695)</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(26,432)</w:t>
            </w:r>
          </w:p>
        </w:tc>
      </w:tr>
      <w:tr>
        <w:trPr>
          <w:trHeight w:val="176"/>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Common shares repurchased</w:t>
            </w:r>
          </w:p>
        </w:tc>
        <w:tc>
          <w:tcPr>
            <w:tcW w:w="13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(7,809)</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(75,480)</w:t>
            </w:r>
          </w:p>
        </w:tc>
      </w:tr>
      <w:tr>
        <w:trPr>
          <w:trHeight w:val="176"/>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4,359</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spacing w:after="0"/>
              <w:rPr>
                <w:sz w:val="15"/>
                <w:szCs w:val="15"/>
                <w:color w:val="auto"/>
              </w:rPr>
            </w:pP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ind w:left="540"/>
              <w:spacing w:after="0"/>
              <w:rPr>
                <w:sz w:val="20"/>
                <w:szCs w:val="20"/>
                <w:color w:val="auto"/>
              </w:rPr>
            </w:pPr>
            <w:r>
              <w:rPr>
                <w:rFonts w:ascii="Courier New" w:cs="Courier New" w:eastAsia="Courier New" w:hAnsi="Courier New"/>
                <w:sz w:val="15"/>
                <w:szCs w:val="15"/>
                <w:color w:val="auto"/>
              </w:rPr>
              <w:t>Net cash used in financing activities</w:t>
            </w:r>
          </w:p>
        </w:tc>
        <w:tc>
          <w:tcPr>
            <w:tcW w:w="13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(168,555)</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(101,912)</w:t>
            </w:r>
          </w:p>
        </w:tc>
      </w:tr>
      <w:tr>
        <w:trPr>
          <w:trHeight w:val="176"/>
        </w:trPr>
        <w:tc>
          <w:tcPr>
            <w:tcW w:w="5620" w:type="dxa"/>
            <w:vAlign w:val="bottom"/>
          </w:tcPr>
          <w:p>
            <w:pPr>
              <w:spacing w:after="0"/>
              <w:rPr>
                <w:sz w:val="15"/>
                <w:szCs w:val="15"/>
                <w:color w:val="auto"/>
              </w:rPr>
            </w:pP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561</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(39,151)</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Beginning cash and cash equivalents</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21,117</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102,278</w:t>
            </w:r>
          </w:p>
        </w:tc>
      </w:tr>
      <w:tr>
        <w:trPr>
          <w:trHeight w:val="176"/>
        </w:trPr>
        <w:tc>
          <w:tcPr>
            <w:tcW w:w="5620" w:type="dxa"/>
            <w:vAlign w:val="bottom"/>
          </w:tcPr>
          <w:p>
            <w:pPr>
              <w:spacing w:after="0"/>
              <w:rPr>
                <w:sz w:val="15"/>
                <w:szCs w:val="15"/>
                <w:color w:val="auto"/>
              </w:rPr>
            </w:pP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Ending cash and cash equivalents</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21,678</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$ 63,127</w:t>
            </w:r>
          </w:p>
        </w:tc>
      </w:tr>
      <w:tr>
        <w:trPr>
          <w:trHeight w:val="176"/>
        </w:trPr>
        <w:tc>
          <w:tcPr>
            <w:tcW w:w="5620" w:type="dxa"/>
            <w:vAlign w:val="bottom"/>
          </w:tcPr>
          <w:p>
            <w:pPr>
              <w:spacing w:after="0"/>
              <w:rPr>
                <w:sz w:val="15"/>
                <w:szCs w:val="15"/>
                <w:color w:val="auto"/>
              </w:rPr>
            </w:pP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294"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6.</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359" w:lineRule="exact"/>
        <w:rPr>
          <w:sz w:val="20"/>
          <w:szCs w:val="20"/>
          <w:color w:val="auto"/>
        </w:rPr>
      </w:pPr>
    </w:p>
    <w:p>
      <w:pPr>
        <w:ind w:right="3539"/>
        <w:spacing w:after="0" w:line="249" w:lineRule="auto"/>
        <w:rPr>
          <w:sz w:val="20"/>
          <w:szCs w:val="20"/>
          <w:color w:val="auto"/>
        </w:rPr>
      </w:pPr>
      <w:r>
        <w:rPr>
          <w:rFonts w:ascii="Courier New" w:cs="Courier New" w:eastAsia="Courier New" w:hAnsi="Courier New"/>
          <w:sz w:val="15"/>
          <w:szCs w:val="15"/>
          <w:color w:val="auto"/>
        </w:rPr>
        <w:t>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1:</w:t>
        <w:tab/>
        <w:t>Acquisitions and Dispositions</w:t>
      </w:r>
    </w:p>
    <w:p>
      <w:pPr>
        <w:spacing w:after="0" w:line="182"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Acquisitions. In January and June of 1998, the company acquired cable systems in Grenada, Mississippi and Anniston, Alabama serving approximately 7,400 and 36,000 subscribers, respectively. The aggregate purchase price for these cable system acquisitions totaled $78.0 million.</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In January 1998, the company acquired an educational services company that provides English language study programs. In June 1998, the company acquired a provider of customized information technology training, consulting and support services to law firms, financial institutions and other large corporations. The aggregate purchase price for these two educational services companies was $34.8 million.</w:t>
      </w:r>
    </w:p>
    <w:p>
      <w:pPr>
        <w:spacing w:after="0" w:line="176" w:lineRule="exact"/>
        <w:rPr>
          <w:sz w:val="20"/>
          <w:szCs w:val="20"/>
          <w:color w:val="auto"/>
        </w:rPr>
      </w:pPr>
    </w:p>
    <w:p>
      <w:pPr>
        <w:ind w:right="3439" w:firstLine="275"/>
        <w:spacing w:after="0" w:line="250" w:lineRule="auto"/>
        <w:rPr>
          <w:sz w:val="20"/>
          <w:szCs w:val="20"/>
          <w:color w:val="auto"/>
        </w:rPr>
      </w:pPr>
      <w:r>
        <w:rPr>
          <w:rFonts w:ascii="Courier New" w:cs="Courier New" w:eastAsia="Courier New" w:hAnsi="Courier New"/>
          <w:sz w:val="15"/>
          <w:szCs w:val="15"/>
          <w:color w:val="auto"/>
        </w:rPr>
        <w:t>The company also spent approximately $16.8 million during the first six months of 1998 for other small businesses.</w:t>
      </w:r>
    </w:p>
    <w:p>
      <w:pPr>
        <w:spacing w:after="0" w:line="175" w:lineRule="exact"/>
        <w:rPr>
          <w:sz w:val="20"/>
          <w:szCs w:val="20"/>
          <w:color w:val="auto"/>
        </w:rPr>
      </w:pPr>
    </w:p>
    <w:p>
      <w:pPr>
        <w:ind w:right="3719" w:firstLine="275"/>
        <w:spacing w:after="0" w:line="249" w:lineRule="auto"/>
        <w:rPr>
          <w:sz w:val="20"/>
          <w:szCs w:val="20"/>
          <w:color w:val="auto"/>
        </w:rPr>
      </w:pPr>
      <w:r>
        <w:rPr>
          <w:rFonts w:ascii="Courier New" w:cs="Courier New" w:eastAsia="Courier New" w:hAnsi="Courier New"/>
          <w:sz w:val="15"/>
          <w:szCs w:val="15"/>
          <w:color w:val="auto"/>
        </w:rPr>
        <w:t>In February 1997, the company purchased a cable system in Cleveland, Mississippi serving about 16,000 subscribers for approximately $23.0 million.</w:t>
      </w:r>
    </w:p>
    <w:p>
      <w:pPr>
        <w:spacing w:after="0" w:line="176" w:lineRule="exact"/>
        <w:rPr>
          <w:sz w:val="20"/>
          <w:szCs w:val="20"/>
          <w:color w:val="auto"/>
        </w:rPr>
      </w:pPr>
    </w:p>
    <w:p>
      <w:pPr>
        <w:ind w:right="3079"/>
        <w:spacing w:after="0" w:line="248" w:lineRule="auto"/>
        <w:rPr>
          <w:sz w:val="20"/>
          <w:szCs w:val="20"/>
          <w:color w:val="auto"/>
        </w:rPr>
      </w:pPr>
      <w:r>
        <w:rPr>
          <w:rFonts w:ascii="Courier New" w:cs="Courier New" w:eastAsia="Courier New" w:hAnsi="Courier New"/>
          <w:sz w:val="15"/>
          <w:szCs w:val="15"/>
          <w:color w:val="auto"/>
        </w:rPr>
        <w:t>Dispositions. On March 20, 1998, Cowles Media Company ("Cowles") and McClatchy Newspapers, Inc. ("McClatchy") completed a series of transactions resulting in the merger of Cowles and McClatchy. In the merger, each share of Cowles common stock was converted (based upon elections of Cowles stockholders) into shares of McClatchy stock or a combination of cash and McClatchy stock. As of the date of the Cowles and McClatchy merger transaction, a wholly-owned subsidiary of the company owned 3,893,796 (equal to about 28%) of the outstanding common stock of Cowles, most of which was acquired in 1985. As a result of this transaction, the company's subsidiary received $330.5 million in cash from McClatchy and 730,525 shares of McClatchy Class A common stock. The market value of the McClatchy stock received approximated $21.6 million. The gain resulting from this transaction, which is included in "Other, net" in the Condensed Consolidated Statements of Income, increased net income by approximately $162.8 million and basic and diluted earnings per share by $16.14 and $16.07, respectively.</w:t>
      </w:r>
    </w:p>
    <w:p>
      <w:pPr>
        <w:spacing w:after="0" w:line="18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2:</w:t>
        <w:tab/>
        <w:t>Borrowings</w:t>
      </w:r>
    </w:p>
    <w:p>
      <w:pPr>
        <w:spacing w:after="0" w:line="182"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During the second quarter and first half of 1998, the company had average short-term borrowings outstanding of approximately $15.2 million and $143.6 million, respectively, at an average interest rate of approximately 5.6 percent. During the first half of 1998, the company incurred interest costs on short-term borrowings of $4.1 million of which $2.2 million was capitalized. Interest costs for construction and upgrade of qualifying assets are capitalized. At June 28, 1998, $157.0 million in borrowings were outstanding under the company's commercial paper program which is supported by a five-year $500.0 million revolving credit facility.</w:t>
      </w:r>
    </w:p>
    <w:p>
      <w:pPr>
        <w:sectPr>
          <w:pgSz w:w="11900" w:h="16838" w:orient="portrait"/>
          <w:cols w:equalWidth="0" w:num="1">
            <w:col w:w="10219"/>
          </w:cols>
          <w:pgMar w:left="240" w:top="294"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7.</w:t>
      </w:r>
    </w:p>
    <w:p>
      <w:pPr>
        <w:spacing w:after="0" w:line="359"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3:</w:t>
        <w:tab/>
        <w:t>Stock Repurchases</w:t>
      </w:r>
    </w:p>
    <w:p>
      <w:pPr>
        <w:spacing w:after="0" w:line="182" w:lineRule="exact"/>
        <w:rPr>
          <w:sz w:val="20"/>
          <w:szCs w:val="20"/>
          <w:color w:val="auto"/>
        </w:rPr>
      </w:pPr>
    </w:p>
    <w:p>
      <w:pPr>
        <w:ind w:right="3719" w:firstLine="275"/>
        <w:spacing w:after="0" w:line="249" w:lineRule="auto"/>
        <w:rPr>
          <w:sz w:val="20"/>
          <w:szCs w:val="20"/>
          <w:color w:val="auto"/>
        </w:rPr>
      </w:pPr>
      <w:r>
        <w:rPr>
          <w:rFonts w:ascii="Courier New" w:cs="Courier New" w:eastAsia="Courier New" w:hAnsi="Courier New"/>
          <w:sz w:val="15"/>
          <w:szCs w:val="15"/>
          <w:color w:val="auto"/>
        </w:rPr>
        <w:t>During the first six months of 1998 and 1997 the company repurchased 16,010 and 217,590 shares of its Class B common stock at a cost of approximately $7.8 and $75.5 million, respectively.</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4:</w:t>
        <w:tab/>
        <w:t>Comprehensive Income</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In June 1997, the Financial Accounting Standards Board issued SFAS No. 130, "Reporting Comprehensive Income." Comprehensive income is the change in equity of a business enterprise during a period from transactions and other events and circumstances from nonowner sources. It includes all changes in equity during a period except those resulting from investments by owners and distributions to owners. For the thirteen weeks ended June 28, 1998 and June 29, 1997, comprehensive income totaled $64.2 million and $69.1 million, respectively. For the twenty-six weeks ended June 28, 1998 and June 29, 1997, comprehensive income totaled $272.1 million and $113.1 million, respectively. Comprehensive income includes net income, foreign currency translation adjustments and the change in unrealized gain on available-for-sale securities.</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5:</w:t>
        <w:tab/>
        <w:t>Subsequent Events</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In July 1998, the company completed the acquisition of Dearborn Publishing Group, Inc., a publisher and provider of licensing training for securities, insurance and real estate professionals. In July 1998, the company also completed the acquisition of cable systems in Mississippi, Texas and Oklahoma serving approximately 72,000 subscribers. The aggregate purchase price for these two acquisitions approximated $164.5 million.</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In July 1998, the company completed the sale of 14 cable systems in Texas, Missouri and Kansas serving approximately 29,000 subscribers for approximately $40 million resulting in a pre-tax gain of about $30 million. The company also completed the sale of its 80 percent interest in Moffet, Larson &amp; Johnson (MLJ), a telecommunications consulting firm; no significant gain or loss is expected to be realized from the sale of MLJ.</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In August 1998, the company and other shareholders of Junglee, a facilitator of internet commerce, agreed to exchange their shares for shares of Amazon.com. As a result of this merger transaction, the company will receive approximately 203,000 shares of Amazon.com; these shares are currently unregistered and there are limitations with respect to resale. At current market rates, these shares would be worth approximately $23.9 million. The carrying value of the company's investment is $2.5 million.</w:t>
      </w:r>
    </w:p>
    <w:p>
      <w:pPr>
        <w:sectPr>
          <w:pgSz w:w="11900" w:h="16838" w:orient="portrait"/>
          <w:cols w:equalWidth="0" w:num="1">
            <w:col w:w="10219"/>
          </w:cols>
          <w:pgMar w:left="240" w:top="294"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35" w:lineRule="exact"/>
        <w:rPr>
          <w:sz w:val="20"/>
          <w:szCs w:val="20"/>
          <w:color w:val="auto"/>
        </w:rPr>
      </w:pPr>
    </w:p>
    <w:p>
      <w:pPr>
        <w:ind w:right="4819"/>
        <w:spacing w:after="0" w:line="250" w:lineRule="auto"/>
        <w:rPr>
          <w:sz w:val="20"/>
          <w:szCs w:val="20"/>
          <w:color w:val="auto"/>
        </w:rPr>
      </w:pPr>
      <w:r>
        <w:rPr>
          <w:rFonts w:ascii="Courier New" w:cs="Courier New" w:eastAsia="Courier New" w:hAnsi="Courier New"/>
          <w:sz w:val="15"/>
          <w:szCs w:val="15"/>
          <w:color w:val="auto"/>
        </w:rPr>
        <w:t>ITEM 2. MANAGEMENT'S DISCUSSION AND ANALYSIS OF RESULTS OF OPERATIONS AND FINANCIAL CONDITION</w:t>
      </w:r>
    </w:p>
    <w:p>
      <w:pPr>
        <w:spacing w:after="0" w:line="175" w:lineRule="exact"/>
        <w:rPr>
          <w:sz w:val="20"/>
          <w:szCs w:val="20"/>
          <w:color w:val="auto"/>
        </w:rPr>
      </w:pPr>
    </w:p>
    <w:p>
      <w:pPr>
        <w:ind w:right="3719" w:firstLine="550"/>
        <w:spacing w:after="0" w:line="250" w:lineRule="auto"/>
        <w:rPr>
          <w:sz w:val="20"/>
          <w:szCs w:val="20"/>
          <w:color w:val="auto"/>
        </w:rPr>
      </w:pPr>
      <w:r>
        <w:rPr>
          <w:rFonts w:ascii="Courier New" w:cs="Courier New" w:eastAsia="Courier New" w:hAnsi="Courier New"/>
          <w:sz w:val="15"/>
          <w:szCs w:val="15"/>
          <w:color w:val="auto"/>
        </w:rPr>
        <w:t>This analysis should be read in conjunction with the consolidated financial statements and the notes thereto.</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Revenues and expenses in the first and third quarters are customarily lower than those in the second and fourth quarters because of significant seasonal fluctuations in advertising volume. For that reason, the results of operations for each quarter are compared with those of the corresponding quarter in the preceding year.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SECOND QUARTER COMPARISONS</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Net income for the second quarter of 1998 was $63.8 million, a decrease of 11 percent from net income of $71.4 million in the second quarter last year. Diluted earnings per share decreased 5 percent to $6.27, from $6.60 in the second quarter of 1997, with fewer average shares outstanding.</w:t>
      </w:r>
    </w:p>
    <w:p>
      <w:pPr>
        <w:spacing w:after="0" w:line="176"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Revenues for the second quarter of 1998 rose 5 percent to $525.8 million, from $501.4 million in the same period last year. Advertising revenues and circulation and subscriber revenues increased 4 percent and 3 percent, respectively. Other revenues increased 13 percent over the second quarter of 1997.</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Costs and expenses for the second quarter of 1998 increased 7 percent to $419.3 million, from $391.4 million in the second quarter of 1997. Operating expenses increased 12 percent due to normal expense growth and increases in newsprint expense, new media spending and expenses arising from the expansion of the printing facilities of The Washington Post. Selling, general and administrative expenses decreased 7 percent, with an increase in the company's pension credit contributing to the net decrease in expense. Depreciation expense increased 16 percent and amortization expense rose 35 percent compared to the second quarter of 1997 due to acquisitions in 1997 and 1998.</w:t>
      </w:r>
    </w:p>
    <w:p>
      <w:pPr>
        <w:spacing w:after="0" w:line="175" w:lineRule="exact"/>
        <w:rPr>
          <w:sz w:val="20"/>
          <w:szCs w:val="20"/>
          <w:color w:val="auto"/>
        </w:rPr>
      </w:pPr>
    </w:p>
    <w:p>
      <w:pPr>
        <w:ind w:right="3619" w:firstLine="550"/>
        <w:spacing w:after="0" w:line="250" w:lineRule="auto"/>
        <w:rPr>
          <w:sz w:val="20"/>
          <w:szCs w:val="20"/>
          <w:color w:val="auto"/>
        </w:rPr>
      </w:pPr>
      <w:r>
        <w:rPr>
          <w:rFonts w:ascii="Courier New" w:cs="Courier New" w:eastAsia="Courier New" w:hAnsi="Courier New"/>
          <w:sz w:val="15"/>
          <w:szCs w:val="15"/>
          <w:color w:val="auto"/>
        </w:rPr>
        <w:t>In the second quarter of 1998, operating income declined to $106.5 million, a 3 percent decrease from $109.9 million in 1997.</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NEWSPAPER DIVISION. At the newspaper division, revenues increased 4 percent in the second quarter of 1998. Advertising revenues for the division rose 4 percent in 1998 due principally to higher ad rates. Advertising volume at The Washington Post totaled 814,600 inches in the second quarter of 1998 as compared to 818,500 inches in 1997. Preprint advertising volume at The Post increased 4 percent to 394 million pieces, compared to 380 million pieces in 1997. Circulation revenues for the division decreased 2 percent in comparison to the same period last year as a result of a 1 percent decrease in both Sunday and daily circulation at The Washington Post.</w:t>
      </w:r>
    </w:p>
    <w:p>
      <w:pPr>
        <w:sectPr>
          <w:pgSz w:w="11900" w:h="16838" w:orient="portrait"/>
          <w:cols w:equalWidth="0" w:num="1">
            <w:col w:w="10219"/>
          </w:cols>
          <w:pgMar w:left="240" w:top="294" w:right="1440" w:bottom="1440" w:gutter="0" w:footer="0" w:header="0"/>
        </w:sectPr>
      </w:pPr>
    </w:p>
    <w:bookmarkStart w:id="8" w:name="page9"/>
    <w:bookmarkEnd w:id="8"/>
    <w:p>
      <w:pPr>
        <w:ind w:left="266"/>
        <w:spacing w:after="0"/>
        <w:rPr>
          <w:sz w:val="20"/>
          <w:szCs w:val="20"/>
          <w:color w:val="auto"/>
        </w:rPr>
      </w:pPr>
      <w:r>
        <w:rPr>
          <w:rFonts w:ascii="Courier New" w:cs="Courier New" w:eastAsia="Courier New" w:hAnsi="Courier New"/>
          <w:sz w:val="15"/>
          <w:szCs w:val="15"/>
          <w:color w:val="auto"/>
        </w:rPr>
        <w:t>9</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35" w:lineRule="exact"/>
        <w:rPr>
          <w:sz w:val="20"/>
          <w:szCs w:val="20"/>
          <w:color w:val="auto"/>
        </w:rPr>
      </w:pPr>
    </w:p>
    <w:p>
      <w:pPr>
        <w:ind w:left="6" w:right="3079" w:firstLine="550"/>
        <w:spacing w:after="0" w:line="250" w:lineRule="auto"/>
        <w:rPr>
          <w:sz w:val="20"/>
          <w:szCs w:val="20"/>
          <w:color w:val="auto"/>
        </w:rPr>
      </w:pPr>
      <w:r>
        <w:rPr>
          <w:rFonts w:ascii="Courier New" w:cs="Courier New" w:eastAsia="Courier New" w:hAnsi="Courier New"/>
          <w:sz w:val="15"/>
          <w:szCs w:val="15"/>
          <w:color w:val="auto"/>
        </w:rPr>
        <w:t>Newsprint expense at the Post increased 14 percent in the second quarter of 1998 compared to the second quarter of last year.</w:t>
      </w:r>
    </w:p>
    <w:p>
      <w:pPr>
        <w:spacing w:after="0" w:line="175" w:lineRule="exact"/>
        <w:rPr>
          <w:sz w:val="20"/>
          <w:szCs w:val="20"/>
          <w:color w:val="auto"/>
        </w:rPr>
      </w:pPr>
    </w:p>
    <w:p>
      <w:pPr>
        <w:ind w:left="6" w:right="3179"/>
        <w:spacing w:after="0" w:line="249" w:lineRule="auto"/>
        <w:rPr>
          <w:sz w:val="20"/>
          <w:szCs w:val="20"/>
          <w:color w:val="auto"/>
        </w:rPr>
      </w:pPr>
      <w:r>
        <w:rPr>
          <w:rFonts w:ascii="Courier New" w:cs="Courier New" w:eastAsia="Courier New" w:hAnsi="Courier New"/>
          <w:sz w:val="15"/>
          <w:szCs w:val="15"/>
          <w:color w:val="auto"/>
        </w:rPr>
        <w:t>BROADCAST DIVISION. Revenues at the broadcast division increased 5 percent in the second quarter of 1998. The increase in revenue is attributable to a 22 percent increase in national advertising revenue, partially offset by a 4 percent and 11 percent decrease in local advertising revenue and network compensation, respectively.</w:t>
      </w:r>
    </w:p>
    <w:p>
      <w:pPr>
        <w:spacing w:after="0" w:line="176"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MAGAZINE DIVISION. Revenues at the magazine division increased 3 percent in the second quarter of 1998. The increase is due to the trade periodicals acquired in the fourth quarter of 1998 partially offset by a 4 percent decrease in Newsweek's revenues, which declined as a result of lower domestic ad pages and lower revenues at the international edition resulting from the continuing economic crisis in Asia.</w:t>
      </w:r>
    </w:p>
    <w:p>
      <w:pPr>
        <w:spacing w:after="0" w:line="176"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CABLE DIVISION. At the cable division, second quarter 1998 revenues were 12 percent higher than 1997. Higher subscriber levels, resulting mainly from recent acquisitions, as well as slightly higher rates accounted for the increase. At the end of the second quarter, the number of basic subscribers totaled approximately 686,000, 8 percent higher than the subscriber levels at the same time last year.</w:t>
      </w:r>
    </w:p>
    <w:p>
      <w:pPr>
        <w:spacing w:after="0" w:line="35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OTHER BUSINESSES. In the second quarter of 1998, revenues from other businesses</w:t>
      </w:r>
    </w:p>
    <w:p>
      <w:pPr>
        <w:spacing w:after="0" w:line="6" w:lineRule="exact"/>
        <w:rPr>
          <w:sz w:val="20"/>
          <w:szCs w:val="20"/>
          <w:color w:val="auto"/>
        </w:rPr>
      </w:pPr>
    </w:p>
    <w:p>
      <w:pPr>
        <w:ind w:left="6" w:right="2899" w:hanging="6"/>
        <w:spacing w:after="0" w:line="249" w:lineRule="auto"/>
        <w:tabs>
          <w:tab w:leader="none" w:pos="18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principally Kaplan Educational Centers, Legi-Slate, Washingtonpost.Newsweek Interactive, MLJ (Moffet, Larson &amp; Johnson), and PASS Sports (1997 only) -- increased 8 percent over the prior year. Excluding PASS Sports, which was sold in the third quarter of 1997, revenue from other businesses increased 29 percent over the second quarter of 1997. Growth at Kaplan Educational Centers, from acquisitions as well as existing businesses, produced most of the gain.</w:t>
      </w:r>
    </w:p>
    <w:p>
      <w:pPr>
        <w:spacing w:after="0" w:line="176"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EQUITY IN EARNINGS AND LOSSES OF AFFILIATES. The company's equity in earnings of affiliates in the second quarter of 1998 was a loss of $0.1 million, compared with income of $3.3 million in the second quarter of 1997. The decrease resulted from the company's sale of its 35 percent interest in Bear Island Paper Company and Bear Island Timberlands Company in November 1997 and the disposition of the company's 28 percent interest in Cowles Media Company, which occurred in March 1998.</w:t>
      </w:r>
    </w:p>
    <w:p>
      <w:pPr>
        <w:spacing w:after="0" w:line="175" w:lineRule="exact"/>
        <w:rPr>
          <w:sz w:val="20"/>
          <w:szCs w:val="20"/>
          <w:color w:val="auto"/>
        </w:rPr>
      </w:pPr>
    </w:p>
    <w:p>
      <w:pPr>
        <w:ind w:left="6" w:right="2979"/>
        <w:spacing w:after="0" w:line="250" w:lineRule="auto"/>
        <w:rPr>
          <w:sz w:val="20"/>
          <w:szCs w:val="20"/>
          <w:color w:val="auto"/>
        </w:rPr>
      </w:pPr>
      <w:r>
        <w:rPr>
          <w:rFonts w:ascii="Courier New" w:cs="Courier New" w:eastAsia="Courier New" w:hAnsi="Courier New"/>
          <w:sz w:val="15"/>
          <w:szCs w:val="15"/>
          <w:color w:val="auto"/>
        </w:rPr>
        <w:t>NON-OPERATING ITEMS. Interest income, net of interest expense, was $0.1 million and $0.9 million for the second quarters of 1998 and 1997, respectively.</w:t>
      </w:r>
    </w:p>
    <w:p>
      <w:pPr>
        <w:spacing w:after="0" w:line="175" w:lineRule="exact"/>
        <w:rPr>
          <w:sz w:val="20"/>
          <w:szCs w:val="20"/>
          <w:color w:val="auto"/>
        </w:rPr>
      </w:pPr>
    </w:p>
    <w:p>
      <w:pPr>
        <w:ind w:left="6" w:right="2979"/>
        <w:spacing w:after="0" w:line="250" w:lineRule="auto"/>
        <w:rPr>
          <w:sz w:val="20"/>
          <w:szCs w:val="20"/>
          <w:color w:val="auto"/>
        </w:rPr>
      </w:pPr>
      <w:r>
        <w:rPr>
          <w:rFonts w:ascii="Courier New" w:cs="Courier New" w:eastAsia="Courier New" w:hAnsi="Courier New"/>
          <w:sz w:val="15"/>
          <w:szCs w:val="15"/>
          <w:color w:val="auto"/>
        </w:rPr>
        <w:t>INCOME TAXES. The effective tax rate in the second quarter of 1998 increased to 39.2 percent, from 38.4 percent in 1997.</w:t>
      </w:r>
    </w:p>
    <w:p>
      <w:pPr>
        <w:sectPr>
          <w:pgSz w:w="11900" w:h="16838" w:orient="portrait"/>
          <w:cols w:equalWidth="0" w:num="1">
            <w:col w:w="10225"/>
          </w:cols>
          <w:pgMar w:left="234" w:top="294"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10.</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 COMPARISONS</w:t>
      </w:r>
    </w:p>
    <w:p>
      <w:pPr>
        <w:spacing w:after="0" w:line="182"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Net income for the first six months of 1998 was $271.7 million, an increase of $152.6 million from net income of $119.1 million in the first half of 1997. Diluted earnings per share for the first half of the year were $26.74 compared to $10.94 in 1997.</w:t>
      </w:r>
    </w:p>
    <w:p>
      <w:pPr>
        <w:spacing w:after="0" w:line="176"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The company's net income included $162.8 million ($16.07 per share - diluted basis) from the disposition of its 28 percent interest in Cowles Media Company. The disposition resulted from the merger of Cowles and McClatchy Newspapers, Inc., which was completed in March of 1998. Excluding the effect of the disposition, net income decreased $10.2 million, or 9 percent; diluted earnings per share decreased 2 percent to $10.67, from $10.94 in the first half of 1997, with fewer average shares outstanding.</w:t>
      </w:r>
    </w:p>
    <w:p>
      <w:pPr>
        <w:spacing w:after="0" w:line="175" w:lineRule="exact"/>
        <w:rPr>
          <w:sz w:val="20"/>
          <w:szCs w:val="20"/>
          <w:color w:val="auto"/>
        </w:rPr>
      </w:pPr>
    </w:p>
    <w:p>
      <w:pPr>
        <w:ind w:right="3179" w:firstLine="550"/>
        <w:spacing w:after="0" w:line="249" w:lineRule="auto"/>
        <w:rPr>
          <w:sz w:val="20"/>
          <w:szCs w:val="20"/>
          <w:color w:val="auto"/>
        </w:rPr>
      </w:pPr>
      <w:r>
        <w:rPr>
          <w:rFonts w:ascii="Courier New" w:cs="Courier New" w:eastAsia="Courier New" w:hAnsi="Courier New"/>
          <w:sz w:val="15"/>
          <w:szCs w:val="15"/>
          <w:color w:val="auto"/>
        </w:rPr>
        <w:t>Revenues for the first half of 1998 increased 6 percent to $1,009.7 million, from $955.5 million in the comparable period last year. Advertising revenues increased 5 percent, circulation and subscriber revenues increased 4 percent and other revenues increased 15 percent.</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Costs and expenses increased 8 percent during the first half of 1998 to $827.9 million, from $767.6 million in the corresponding period of 1997. Operating expenses increased 11 percent due mainly to increased newsprint expense, new media spending and expenses arising from expansion of the printing facilities of The Washington Post. Selling, general and administrative expenses decreased 2 percent, with an increase in the company's pension credit, partially offset by normal growth in expenses, accounting for the net decrease in expense. Depreciation expense and amortization expense increased 15 percent and 35 percent, respectively, resulting from acquisitions completed in 1998 and 1997.</w:t>
      </w:r>
    </w:p>
    <w:p>
      <w:pPr>
        <w:spacing w:after="0" w:line="175" w:lineRule="exact"/>
        <w:rPr>
          <w:sz w:val="20"/>
          <w:szCs w:val="20"/>
          <w:color w:val="auto"/>
        </w:rPr>
      </w:pPr>
    </w:p>
    <w:p>
      <w:pPr>
        <w:ind w:right="3179" w:firstLine="550"/>
        <w:spacing w:after="0" w:line="250" w:lineRule="auto"/>
        <w:rPr>
          <w:sz w:val="20"/>
          <w:szCs w:val="20"/>
          <w:color w:val="auto"/>
        </w:rPr>
      </w:pPr>
      <w:r>
        <w:rPr>
          <w:rFonts w:ascii="Courier New" w:cs="Courier New" w:eastAsia="Courier New" w:hAnsi="Courier New"/>
          <w:sz w:val="15"/>
          <w:szCs w:val="15"/>
          <w:color w:val="auto"/>
        </w:rPr>
        <w:t>In the first half of 1998 operating income declined 3 percent to $181.8 million from $187.9 million in the same period last year.</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NEWSPAPER DIVISION. Newspaper division revenues were up 4 percent in the first half of 1998 over the comparable period of 1997. Advertising revenues for the division rose 5 percent in the period due mainly to increased rates. Advertising volume at The Washington Post totaled 1,578,200 inches, substantially unchanged from 1,581,700 inches in the first half of 1997. Circulation revenues for the division declined 1 percent as compared to the same period in the prior year. Daily and Sunday circulation at The Post both declined 1 percent from the prior year.</w:t>
      </w:r>
    </w:p>
    <w:p>
      <w:pPr>
        <w:spacing w:after="0" w:line="175" w:lineRule="exact"/>
        <w:rPr>
          <w:sz w:val="20"/>
          <w:szCs w:val="20"/>
          <w:color w:val="auto"/>
        </w:rPr>
      </w:pPr>
    </w:p>
    <w:p>
      <w:pPr>
        <w:ind w:right="2979" w:firstLine="550"/>
        <w:spacing w:after="0" w:line="250" w:lineRule="auto"/>
        <w:rPr>
          <w:sz w:val="20"/>
          <w:szCs w:val="20"/>
          <w:color w:val="auto"/>
        </w:rPr>
      </w:pPr>
      <w:r>
        <w:rPr>
          <w:rFonts w:ascii="Courier New" w:cs="Courier New" w:eastAsia="Courier New" w:hAnsi="Courier New"/>
          <w:sz w:val="15"/>
          <w:szCs w:val="15"/>
          <w:color w:val="auto"/>
        </w:rPr>
        <w:t>Newsprint expense at The Post increased 12 percent in 1998 as compared to the first six months of 1997.</w:t>
      </w:r>
    </w:p>
    <w:p>
      <w:pPr>
        <w:sectPr>
          <w:pgSz w:w="11900" w:h="16838" w:orient="portrait"/>
          <w:cols w:equalWidth="0" w:num="1">
            <w:col w:w="10219"/>
          </w:cols>
          <w:pgMar w:left="240" w:top="294"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82" w:lineRule="exact"/>
        <w:rPr>
          <w:sz w:val="20"/>
          <w:szCs w:val="20"/>
          <w:color w:val="auto"/>
        </w:rPr>
      </w:pPr>
    </w:p>
    <w:p>
      <w:pPr>
        <w:ind w:left="7040"/>
        <w:spacing w:after="0"/>
        <w:rPr>
          <w:sz w:val="20"/>
          <w:szCs w:val="20"/>
          <w:color w:val="auto"/>
        </w:rPr>
      </w:pPr>
      <w:r>
        <w:rPr>
          <w:rFonts w:ascii="Courier New" w:cs="Courier New" w:eastAsia="Courier New" w:hAnsi="Courier New"/>
          <w:sz w:val="15"/>
          <w:szCs w:val="15"/>
          <w:color w:val="auto"/>
        </w:rPr>
        <w:t>11.</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BROADCAST DIVISION. Revenues at the broadcast division increased 6 percent over the first six months of 1997. The overall increase in broadcast division revenue is the result of a 16 percent and 2 percent increase in national and local advertising revenue, respectively, partially offset by a 13 percent decrease in network compensation.</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MAGAZINE DIVISION. Magazine division revenue increased 6 percent in the first half of the year. The increase is attributable to the trade periodicals acquired in the fourth quarter of 1997, partially offset by a 3 percent decline in revenue at Newsweek. Lower domestic edition ad pages and the continuing economic crisis in Asia resulted in the Newsweek revenue decline.</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CABLE DIVISION. Cable division revenues increased 11 percent in the first half of 1998. Higher subscriber levels, resulting mainly from system acquisitions and exchanges, as well as slightly higher rates, accounted for the increase.</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OTHER BUSINESSES. At the company's other businesses - principally Kaplan Educational Centers, Legi-Slate, Washingtonpost. Newsweek Interactive, MLJ (Moffet, Larson &amp; Johnson), and PASS Sports (for 1997 only) -- revenues rose 4 percent in the first half of 1998. Excluding PASS Sports, which was sold in the third quarter of 1997, revenue from other businesses increased 23 percent. Growth at Kaplan Educational Centers, from acquisitions as well as existing businesses, produced most of the gain.</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EQUITY IN EARNINGS AND LOSSES OF AFFILIATES. The company's equity in earnings of affiliates during the first half of 1998 was $0.9 million, compared with $3.5 million in the first six months of 1997. The decline in earnings of affiliates resulted from the company's sale of its 35 percent interest in Bear Island Paper Company and Bear Island Timberlands Company in November 1997 and the disposition of the company's 28 percent interest in Cowles Media Company, which occurred in March of 1998.</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NON-OPERATING ITEMS. Interest expense, net of interest income, was $2.0 million in the first six months of 1998, compared to net interest income of $1.9 million in 1997 due to borrowings outstanding for the majority of the first quarter of 1998. There were no borrowings outstanding during the first six months of 1997. Included in other, net is a $258.4 million pre-tax gain resulting from the disposition of the company's 28 percent interest in Cowles Media Company.</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INCOME TAXES. The effective tax rate in 1998 was approximately 37.9 percent as compared to 39.0 percent in 1997. The lower state tax rate applicable to the Cowles transaction resulted in the overall decline in the effective tax rate.</w:t>
      </w:r>
    </w:p>
    <w:p>
      <w:pPr>
        <w:sectPr>
          <w:pgSz w:w="11900" w:h="16838" w:orient="portrait"/>
          <w:cols w:equalWidth="0" w:num="1">
            <w:col w:w="10219"/>
          </w:cols>
          <w:pgMar w:left="240" w:top="294"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12.</w:t>
      </w:r>
    </w:p>
    <w:p>
      <w:pPr>
        <w:spacing w:after="0" w:line="35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5"/>
          <w:szCs w:val="15"/>
          <w:color w:val="auto"/>
        </w:rPr>
        <w:t>FINANCIAL CONDITION:</w:t>
        <w:tab/>
        <w:t>CAPITAL RESOURCES AND LIQUIDITY</w:t>
      </w:r>
    </w:p>
    <w:p>
      <w:pPr>
        <w:spacing w:after="0" w:line="182"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In the first half of 1998, the company acquired various businesses for approximately $130 million. These acquisitions included, among others, a cable system in Grenada, Mississippi serving approximately 7,400 subscribers, a cable system in Anniston, Alabama serving approximately 36,000 subscribers, an educational services company that provides English language study programs, and a provider of customized information technology training and consulting.</w:t>
      </w:r>
    </w:p>
    <w:p>
      <w:pPr>
        <w:spacing w:after="0" w:line="176"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In March 1998, the company received approximately $330.5 million in cash and 730,525 shares of McClatchy Class A common stock as a result of the Cowles and McClatchy merger transaction, as previously described. The market value of the McClatchy stock received approximated $21.6 million, based upon publicly quoted market prices. During the second quarter of 1998, the company sold 167,000 shares of the McClatchy stock for approximately $5 million; no significant gain or loss was realized upon the liquidation of these shares.</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During the first six months of 1998, the company repurchased 16,010 shares of its Class B common stock at a cost of approximately $7.8 million. Approximately 800,000 Class B common shares remain available for repurchases under a November 13, 1997 authorization by the Board of Directors.</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During the second quarter and first half of 1998, the company had average short-term borrowings outstanding of approximately $15.2 million and $143.6 million, respectively, at an average interest rate of 5.6 percent. At June 28, 1998, $157 million in short-term borrowings were outstanding under the company's commercial paper program that is supported by a 5-year, $500.0 million revolving credit facility.</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In July 1998, subsequent to the end of the second quarterly period ended June 28, 1998, the company completed the acquisition of Dearborn Publishing Group, Inc., a publisher and professional licensing training provider, and the acquisition of the assets of cable systems in Mississippi, Texas and Oklahoma serving approximately 72,000 subscribers. The company also completed the sale of certain assets of 14 cable systems in Texas, Missouri and Kansas serving approximately 29,000 subscribers and the sale of MLJ (Moffet, Larson &amp; Johnson), a telecommunications consulting firm. The net cost of these transactions was approximately $120 million.</w:t>
      </w:r>
    </w:p>
    <w:p>
      <w:pPr>
        <w:spacing w:after="0" w:line="175" w:lineRule="exact"/>
        <w:rPr>
          <w:sz w:val="20"/>
          <w:szCs w:val="20"/>
          <w:color w:val="auto"/>
        </w:rPr>
      </w:pPr>
    </w:p>
    <w:p>
      <w:pPr>
        <w:ind w:right="2979" w:firstLine="550"/>
        <w:spacing w:after="0" w:line="250" w:lineRule="auto"/>
        <w:rPr>
          <w:sz w:val="20"/>
          <w:szCs w:val="20"/>
          <w:color w:val="auto"/>
        </w:rPr>
      </w:pPr>
      <w:r>
        <w:rPr>
          <w:rFonts w:ascii="Courier New" w:cs="Courier New" w:eastAsia="Courier New" w:hAnsi="Courier New"/>
          <w:sz w:val="15"/>
          <w:szCs w:val="15"/>
          <w:color w:val="auto"/>
        </w:rPr>
        <w:t>The company has experienced no other significant changes in its financial condition since the end of 1997.</w:t>
      </w:r>
    </w:p>
    <w:p>
      <w:pPr>
        <w:sectPr>
          <w:pgSz w:w="11900" w:h="16838" w:orient="portrait"/>
          <w:cols w:equalWidth="0" w:num="1">
            <w:col w:w="10219"/>
          </w:cols>
          <w:pgMar w:left="240" w:top="294"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The company continues its assessment, remediation, testing, and contingency planning efforts surrounding the Year 2000 readiness of its computer systems and non-computer equipment deemed to be susceptible to Year 2000 interruption. The company has substantially completed the assessment of its internal systems and equipment and is in the process of obtaining Year 2000 compliance confirmation from key vendors and customers.</w:t>
      </w:r>
    </w:p>
    <w:p>
      <w:pPr>
        <w:spacing w:after="0" w:line="176"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Most of the company's internal systems and equipment have been determined to be Year 2000 compliant. Certain critical internal systems, however, have been identified as incapable of accurately processing transactions beyond the year 2000, the most significant of which include some of the revenue related operating systems at The Washington Post and Newsweek. For each of the systems noted to be noncompliant, the company's replacement or remediation efforts are well under way and expected to be completed and tested before the summer of</w:t>
      </w:r>
    </w:p>
    <w:p>
      <w:pPr>
        <w:spacing w:after="0" w:line="4"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1999. The majority of the noncompliant internal systems were scheduled to be replaced prior to the year 2000 for operating efficiency reasons, and although the approaching year 2000 increases the importance of replacing such systems, it has not caused a significant acceleration in the system replacement timetable.</w:t>
      </w:r>
    </w:p>
    <w:p>
      <w:pPr>
        <w:spacing w:after="0" w:line="176" w:lineRule="exact"/>
        <w:rPr>
          <w:sz w:val="20"/>
          <w:szCs w:val="20"/>
          <w:color w:val="auto"/>
        </w:rPr>
      </w:pPr>
    </w:p>
    <w:p>
      <w:pPr>
        <w:ind w:right="3439" w:firstLine="550"/>
        <w:spacing w:after="0" w:line="249" w:lineRule="auto"/>
        <w:rPr>
          <w:sz w:val="20"/>
          <w:szCs w:val="20"/>
          <w:color w:val="auto"/>
        </w:rPr>
      </w:pPr>
      <w:r>
        <w:rPr>
          <w:rFonts w:ascii="Courier New" w:cs="Courier New" w:eastAsia="Courier New" w:hAnsi="Courier New"/>
          <w:sz w:val="15"/>
          <w:szCs w:val="15"/>
          <w:color w:val="auto"/>
        </w:rPr>
        <w:t>To-date the company's vendor and customer Year 2000 confirmation procedures have not discovered any matters that would cause the company to believe it will experience a material business interruption. As previously stated, however, these assessment procedures are ongoing.</w:t>
      </w:r>
    </w:p>
    <w:p>
      <w:pPr>
        <w:spacing w:after="0" w:line="176"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Notwithstanding the substantive work efforts described above, the company could potentially experience disruptions to some aspects of its various activities and operations as a result of noncompliant systems utilized by unrelated third party governmental and business entities. Contingency plans are therefore under development in order to mitigate the extent of such potential disruption to business operations.</w:t>
      </w:r>
    </w:p>
    <w:p>
      <w:pPr>
        <w:spacing w:after="0" w:line="176" w:lineRule="exact"/>
        <w:rPr>
          <w:sz w:val="20"/>
          <w:szCs w:val="20"/>
          <w:color w:val="auto"/>
        </w:rPr>
      </w:pPr>
    </w:p>
    <w:p>
      <w:pPr>
        <w:jc w:val="both"/>
        <w:ind w:right="3259" w:firstLine="550"/>
        <w:spacing w:after="0" w:line="249" w:lineRule="auto"/>
        <w:rPr>
          <w:sz w:val="20"/>
          <w:szCs w:val="20"/>
          <w:color w:val="auto"/>
        </w:rPr>
      </w:pPr>
      <w:r>
        <w:rPr>
          <w:rFonts w:ascii="Courier New" w:cs="Courier New" w:eastAsia="Courier New" w:hAnsi="Courier New"/>
          <w:sz w:val="15"/>
          <w:szCs w:val="15"/>
          <w:color w:val="auto"/>
        </w:rPr>
        <w:t>The company does not believe based upon present facts that the cost of achieving Year 2000 compliance will have a material effect on the company's results of operations or financial condition.</w:t>
      </w:r>
    </w:p>
    <w:p>
      <w:pPr>
        <w:sectPr>
          <w:pgSz w:w="11900" w:h="16838" w:orient="portrait"/>
          <w:cols w:equalWidth="0" w:num="1">
            <w:col w:w="10219"/>
          </w:cols>
          <w:pgMar w:left="240" w:top="294"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 OTHER INFORMATION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At the Company's May 14, 1998, Annual Meeting of Stockholders, the stockholders elected each of the nominees to its Board of Directors named in the Company's proxy statement dated March 27, 1998. The voting results are set forth below:</w:t>
      </w:r>
    </w:p>
    <w:p>
      <w:pPr>
        <w:spacing w:after="0" w:line="200" w:lineRule="exact"/>
        <w:rPr>
          <w:sz w:val="20"/>
          <w:szCs w:val="20"/>
          <w:color w:val="auto"/>
        </w:rPr>
      </w:pP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Class A Directors</w:t>
      </w:r>
    </w:p>
    <w:p>
      <w:pPr>
        <w:spacing w:after="0" w:line="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54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rPr>
              <w:t>Votes</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Votes</w:t>
            </w: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Broker</w:t>
            </w:r>
          </w:p>
        </w:tc>
      </w:tr>
      <w:tr>
        <w:trPr>
          <w:trHeight w:val="176"/>
        </w:trPr>
        <w:tc>
          <w:tcPr>
            <w:tcW w:w="2340" w:type="dxa"/>
            <w:vAlign w:val="bottom"/>
          </w:tcPr>
          <w:p>
            <w:pPr>
              <w:ind w:left="560"/>
              <w:spacing w:after="0"/>
              <w:rPr>
                <w:sz w:val="20"/>
                <w:szCs w:val="20"/>
                <w:color w:val="auto"/>
              </w:rPr>
            </w:pPr>
            <w:r>
              <w:rPr>
                <w:rFonts w:ascii="Courier New" w:cs="Courier New" w:eastAsia="Courier New" w:hAnsi="Courier New"/>
                <w:sz w:val="15"/>
                <w:szCs w:val="15"/>
                <w:color w:val="auto"/>
              </w:rPr>
              <w:t>Nominee</w:t>
            </w:r>
          </w:p>
        </w:tc>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w w:val="96"/>
              </w:rPr>
              <w:t>For</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Withheld</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Non-Votes</w:t>
            </w:r>
          </w:p>
        </w:tc>
      </w:tr>
      <w:tr>
        <w:trPr>
          <w:trHeight w:val="176"/>
        </w:trPr>
        <w:tc>
          <w:tcPr>
            <w:tcW w:w="23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w:t>
            </w:r>
          </w:p>
        </w:tc>
      </w:tr>
      <w:tr>
        <w:trPr>
          <w:trHeight w:val="352"/>
        </w:trPr>
        <w:tc>
          <w:tcPr>
            <w:tcW w:w="2340" w:type="dxa"/>
            <w:vAlign w:val="bottom"/>
          </w:tcPr>
          <w:p>
            <w:pPr>
              <w:spacing w:after="0"/>
              <w:rPr>
                <w:sz w:val="20"/>
                <w:szCs w:val="20"/>
                <w:color w:val="auto"/>
              </w:rPr>
            </w:pPr>
            <w:r>
              <w:rPr>
                <w:rFonts w:ascii="Courier New" w:cs="Courier New" w:eastAsia="Courier New" w:hAnsi="Courier New"/>
                <w:sz w:val="15"/>
                <w:szCs w:val="15"/>
                <w:color w:val="auto"/>
              </w:rPr>
              <w:t>Warren E. Buffett</w:t>
            </w:r>
          </w:p>
        </w:tc>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rPr>
              <w:t>1,739,250</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-0-</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Martin Cohen</w:t>
            </w:r>
          </w:p>
        </w:tc>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rPr>
              <w:t>1,739,250</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-0-</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George J. Gillespie III</w:t>
            </w:r>
          </w:p>
        </w:tc>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rPr>
              <w:t>1,739,250</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-0-</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Donald E. Graham</w:t>
            </w:r>
          </w:p>
        </w:tc>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rPr>
              <w:t>1,739,250</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-0-</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Katharine Graham</w:t>
            </w:r>
          </w:p>
        </w:tc>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rPr>
              <w:t>1,739,250</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-0-</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William J. Ruane</w:t>
            </w:r>
          </w:p>
        </w:tc>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rPr>
              <w:t>1,739,250</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-0-</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Richard D. Simmons</w:t>
            </w:r>
          </w:p>
        </w:tc>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rPr>
              <w:t>1,739,250</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-0-</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Alan G. Spoon</w:t>
            </w:r>
          </w:p>
        </w:tc>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rPr>
              <w:t>1,739,250</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-0-</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George W. Wilson</w:t>
            </w:r>
          </w:p>
        </w:tc>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rPr>
              <w:t>1,739,250</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-0-</w:t>
            </w:r>
          </w:p>
        </w:tc>
      </w:tr>
      <w:tr>
        <w:trPr>
          <w:trHeight w:val="881"/>
        </w:trPr>
        <w:tc>
          <w:tcPr>
            <w:tcW w:w="23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rPr>
              <w:t>Class B Directors</w:t>
            </w: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234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52"/>
        </w:trPr>
        <w:tc>
          <w:tcPr>
            <w:tcW w:w="23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rPr>
              <w:t>Votes</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Votes</w:t>
            </w: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Broker</w:t>
            </w:r>
          </w:p>
        </w:tc>
      </w:tr>
      <w:tr>
        <w:trPr>
          <w:trHeight w:val="176"/>
        </w:trPr>
        <w:tc>
          <w:tcPr>
            <w:tcW w:w="2340" w:type="dxa"/>
            <w:vAlign w:val="bottom"/>
          </w:tcPr>
          <w:p>
            <w:pPr>
              <w:ind w:left="560"/>
              <w:spacing w:after="0"/>
              <w:rPr>
                <w:sz w:val="20"/>
                <w:szCs w:val="20"/>
                <w:color w:val="auto"/>
              </w:rPr>
            </w:pPr>
            <w:r>
              <w:rPr>
                <w:rFonts w:ascii="Courier New" w:cs="Courier New" w:eastAsia="Courier New" w:hAnsi="Courier New"/>
                <w:sz w:val="15"/>
                <w:szCs w:val="15"/>
                <w:color w:val="auto"/>
              </w:rPr>
              <w:t>Nominee</w:t>
            </w:r>
          </w:p>
        </w:tc>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w w:val="96"/>
              </w:rPr>
              <w:t>For</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Withheld</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Non-Votes</w:t>
            </w:r>
          </w:p>
        </w:tc>
      </w:tr>
      <w:tr>
        <w:trPr>
          <w:trHeight w:val="176"/>
        </w:trPr>
        <w:tc>
          <w:tcPr>
            <w:tcW w:w="23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w:t>
            </w:r>
          </w:p>
        </w:tc>
      </w:tr>
      <w:tr>
        <w:trPr>
          <w:trHeight w:val="352"/>
        </w:trPr>
        <w:tc>
          <w:tcPr>
            <w:tcW w:w="2340" w:type="dxa"/>
            <w:vAlign w:val="bottom"/>
          </w:tcPr>
          <w:p>
            <w:pPr>
              <w:spacing w:after="0"/>
              <w:rPr>
                <w:sz w:val="20"/>
                <w:szCs w:val="20"/>
                <w:color w:val="auto"/>
              </w:rPr>
            </w:pPr>
            <w:r>
              <w:rPr>
                <w:rFonts w:ascii="Courier New" w:cs="Courier New" w:eastAsia="Courier New" w:hAnsi="Courier New"/>
                <w:sz w:val="15"/>
                <w:szCs w:val="15"/>
                <w:color w:val="auto"/>
              </w:rPr>
              <w:t>Daniel B. Burke</w:t>
            </w:r>
          </w:p>
        </w:tc>
        <w:tc>
          <w:tcPr>
            <w:tcW w:w="20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6,585,492</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13,106</w:t>
            </w:r>
          </w:p>
        </w:tc>
        <w:tc>
          <w:tcPr>
            <w:tcW w:w="110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-0-</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James E. Burke</w:t>
            </w:r>
          </w:p>
        </w:tc>
        <w:tc>
          <w:tcPr>
            <w:tcW w:w="20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6,584,918</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13,680</w:t>
            </w:r>
          </w:p>
        </w:tc>
        <w:tc>
          <w:tcPr>
            <w:tcW w:w="110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-0-</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Ralph E. Gomory</w:t>
            </w:r>
          </w:p>
        </w:tc>
        <w:tc>
          <w:tcPr>
            <w:tcW w:w="20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6,586,118</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12,480</w:t>
            </w:r>
          </w:p>
        </w:tc>
        <w:tc>
          <w:tcPr>
            <w:tcW w:w="110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-0-</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Donald R. Keough</w:t>
            </w:r>
          </w:p>
        </w:tc>
        <w:tc>
          <w:tcPr>
            <w:tcW w:w="20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6,586,064</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12,534</w:t>
            </w:r>
          </w:p>
        </w:tc>
        <w:tc>
          <w:tcPr>
            <w:tcW w:w="110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-0-</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Barbara Scott Preiskel</w:t>
            </w:r>
          </w:p>
        </w:tc>
        <w:tc>
          <w:tcPr>
            <w:tcW w:w="20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6,584,552</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14,046</w:t>
            </w:r>
          </w:p>
        </w:tc>
        <w:tc>
          <w:tcPr>
            <w:tcW w:w="110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-0-</w:t>
            </w:r>
          </w:p>
        </w:tc>
      </w:tr>
    </w:tbl>
    <w:p>
      <w:pPr>
        <w:sectPr>
          <w:pgSz w:w="11900" w:h="16838" w:orient="portrait"/>
          <w:cols w:equalWidth="0" w:num="1">
            <w:col w:w="10219"/>
          </w:cols>
          <w:pgMar w:left="240" w:top="294"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15.</w:t>
      </w:r>
    </w:p>
    <w:p>
      <w:pPr>
        <w:spacing w:after="0" w:line="359"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359" w:lineRule="exact"/>
        <w:rPr>
          <w:sz w:val="20"/>
          <w:szCs w:val="20"/>
          <w:color w:val="auto"/>
        </w:rPr>
      </w:pPr>
    </w:p>
    <w:p>
      <w:pPr>
        <w:ind w:left="1100" w:hanging="556"/>
        <w:spacing w:after="0"/>
        <w:tabs>
          <w:tab w:leader="none" w:pos="11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documents are filed as exhibits to this report:</w:t>
      </w:r>
    </w:p>
    <w:p>
      <w:pPr>
        <w:sectPr>
          <w:pgSz w:w="11900" w:h="16838" w:orient="portrait"/>
          <w:cols w:equalWidth="0" w:num="1">
            <w:col w:w="10219"/>
          </w:cols>
          <w:pgMar w:left="240" w:top="294" w:right="1440" w:bottom="1440" w:gutter="0" w:footer="0" w:header="0"/>
        </w:sectPr>
      </w:pPr>
    </w:p>
    <w:p>
      <w:pPr>
        <w:spacing w:after="0" w:line="359" w:lineRule="exact"/>
        <w:rPr>
          <w:sz w:val="20"/>
          <w:szCs w:val="20"/>
          <w:color w:val="auto"/>
        </w:rPr>
      </w:pPr>
    </w:p>
    <w:p>
      <w:pPr>
        <w:ind w:right="1380"/>
        <w:spacing w:after="0" w:line="250" w:lineRule="auto"/>
        <w:rPr>
          <w:sz w:val="20"/>
          <w:szCs w:val="20"/>
          <w:color w:val="auto"/>
        </w:rPr>
      </w:pPr>
      <w:r>
        <w:rPr>
          <w:rFonts w:ascii="Courier New" w:cs="Courier New" w:eastAsia="Courier New" w:hAnsi="Courier New"/>
          <w:sz w:val="15"/>
          <w:szCs w:val="15"/>
          <w:color w:val="auto"/>
        </w:rPr>
        <w:t>EXHIBIT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182" w:lineRule="exact"/>
        <w:rPr>
          <w:sz w:val="20"/>
          <w:szCs w:val="20"/>
          <w:color w:val="auto"/>
        </w:rPr>
      </w:pPr>
    </w:p>
    <w:p>
      <w:pPr>
        <w:sectPr>
          <w:pgSz w:w="11900" w:h="16838" w:orient="portrait"/>
          <w:cols w:equalWidth="0" w:num="2">
            <w:col w:w="2020" w:space="720"/>
            <w:col w:w="7479"/>
          </w:cols>
          <w:pgMar w:left="240" w:top="294" w:right="1440" w:bottom="1440" w:gutter="0" w:footer="0" w:header="0"/>
          <w:type w:val="continuous"/>
        </w:sectPr>
      </w:pPr>
    </w:p>
    <w:p>
      <w:pPr>
        <w:ind w:left="1100" w:right="5819" w:hanging="831"/>
        <w:spacing w:after="0" w:line="250" w:lineRule="auto"/>
        <w:tabs>
          <w:tab w:leader="none" w:pos="11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Calculation of Earnings Per Share of Common Stock</w:t>
      </w:r>
    </w:p>
    <w:p>
      <w:pPr>
        <w:spacing w:after="0" w:line="175" w:lineRule="exact"/>
        <w:rPr>
          <w:sz w:val="20"/>
          <w:szCs w:val="20"/>
          <w:color w:val="auto"/>
        </w:rPr>
      </w:pPr>
    </w:p>
    <w:p>
      <w:pPr>
        <w:ind w:left="1100" w:hanging="831"/>
        <w:spacing w:after="0"/>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 (Electronic Filing Only)</w:t>
      </w:r>
    </w:p>
    <w:p>
      <w:pPr>
        <w:spacing w:after="0" w:line="358" w:lineRule="exact"/>
        <w:rPr>
          <w:rFonts w:ascii="Courier New" w:cs="Courier New" w:eastAsia="Courier New" w:hAnsi="Courier New"/>
          <w:sz w:val="15"/>
          <w:szCs w:val="15"/>
          <w:color w:val="auto"/>
        </w:rPr>
      </w:pPr>
    </w:p>
    <w:p>
      <w:pPr>
        <w:ind w:left="1100" w:right="2979" w:hanging="556"/>
        <w:spacing w:after="0" w:line="250" w:lineRule="auto"/>
        <w:tabs>
          <w:tab w:leader="none" w:pos="110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during the period covered by this report.</w:t>
      </w:r>
    </w:p>
    <w:p>
      <w:pPr>
        <w:sectPr>
          <w:pgSz w:w="11900" w:h="16838" w:orient="portrait"/>
          <w:cols w:equalWidth="0" w:num="1">
            <w:col w:w="10219"/>
          </w:cols>
          <w:pgMar w:left="240" w:top="294"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33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SIGNATURES</w:t>
      </w:r>
    </w:p>
    <w:p>
      <w:pPr>
        <w:spacing w:after="0" w:line="200" w:lineRule="exact"/>
        <w:rPr>
          <w:sz w:val="20"/>
          <w:szCs w:val="20"/>
          <w:color w:val="auto"/>
        </w:rPr>
      </w:pPr>
    </w:p>
    <w:p>
      <w:pPr>
        <w:spacing w:after="0" w:line="335"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THE WASHINGTON POST COMPANY</w:t>
      </w:r>
    </w:p>
    <w:p>
      <w:pPr>
        <w:spacing w:after="0" w:line="6"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jc w:val="both"/>
        <w:ind w:right="380"/>
        <w:spacing w:after="0" w:line="250" w:lineRule="auto"/>
        <w:rPr>
          <w:sz w:val="20"/>
          <w:szCs w:val="20"/>
          <w:color w:val="auto"/>
        </w:rPr>
      </w:pPr>
      <w:r>
        <w:rPr>
          <w:rFonts w:ascii="Courier New" w:cs="Courier New" w:eastAsia="Courier New" w:hAnsi="Courier New"/>
          <w:sz w:val="15"/>
          <w:szCs w:val="15"/>
          <w:color w:val="auto"/>
        </w:rPr>
        <w:t>August 7, 1998 --------------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Donald E. Graham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Donald E. Graham, Chairman &amp;</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Chief Executive Officer</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(Principal Executive Officer)</w:t>
      </w:r>
    </w:p>
    <w:p>
      <w:pPr>
        <w:spacing w:after="0" w:line="200" w:lineRule="exact"/>
        <w:rPr>
          <w:sz w:val="20"/>
          <w:szCs w:val="20"/>
          <w:color w:val="auto"/>
        </w:rPr>
      </w:pPr>
    </w:p>
    <w:p>
      <w:pPr>
        <w:sectPr>
          <w:pgSz w:w="11900" w:h="16838" w:orient="portrait"/>
          <w:cols w:equalWidth="0" w:num="3">
            <w:col w:w="460" w:space="180"/>
            <w:col w:w="1660" w:space="720"/>
            <w:col w:w="7199"/>
          </w:cols>
          <w:pgMar w:left="240" w:top="294" w:right="1440"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jc w:val="both"/>
        <w:ind w:right="380"/>
        <w:spacing w:after="0" w:line="250" w:lineRule="auto"/>
        <w:rPr>
          <w:sz w:val="20"/>
          <w:szCs w:val="20"/>
          <w:color w:val="auto"/>
        </w:rPr>
      </w:pPr>
      <w:r>
        <w:rPr>
          <w:rFonts w:ascii="Courier New" w:cs="Courier New" w:eastAsia="Courier New" w:hAnsi="Courier New"/>
          <w:sz w:val="15"/>
          <w:szCs w:val="15"/>
          <w:color w:val="auto"/>
        </w:rPr>
        <w:t>August 7, 1998 --------------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B. Morse, Jr.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B. Morse, Jr., Vice President-Finance</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(Principal Financial Officer)</w:t>
      </w:r>
    </w:p>
    <w:p>
      <w:pPr>
        <w:sectPr>
          <w:pgSz w:w="11900" w:h="16838" w:orient="portrait"/>
          <w:cols w:equalWidth="0" w:num="3">
            <w:col w:w="460" w:space="180"/>
            <w:col w:w="1660" w:space="720"/>
            <w:col w:w="7199"/>
          </w:cols>
          <w:pgMar w:left="240" w:top="294"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20" w:type="dxa"/>
            <w:vAlign w:val="bottom"/>
          </w:tcPr>
          <w:p>
            <w:pPr>
              <w:jc w:val="right"/>
              <w:ind w:right="1584"/>
              <w:spacing w:after="0"/>
              <w:rPr>
                <w:sz w:val="20"/>
                <w:szCs w:val="20"/>
                <w:color w:val="auto"/>
              </w:rPr>
            </w:pPr>
            <w:r>
              <w:rPr>
                <w:rFonts w:ascii="Courier New" w:cs="Courier New" w:eastAsia="Courier New" w:hAnsi="Courier New"/>
                <w:sz w:val="15"/>
                <w:szCs w:val="15"/>
                <w:color w:val="auto"/>
              </w:rPr>
              <w:t>EXHIBIT 11</w:t>
            </w:r>
          </w:p>
        </w:tc>
        <w:tc>
          <w:tcPr>
            <w:tcW w:w="1360" w:type="dxa"/>
            <w:vAlign w:val="bottom"/>
          </w:tcPr>
          <w:p>
            <w:pPr>
              <w:spacing w:after="0"/>
              <w:rPr>
                <w:sz w:val="14"/>
                <w:szCs w:val="14"/>
                <w:color w:val="auto"/>
              </w:rPr>
            </w:pPr>
          </w:p>
        </w:tc>
      </w:tr>
      <w:tr>
        <w:trPr>
          <w:trHeight w:val="529"/>
        </w:trPr>
        <w:tc>
          <w:tcPr>
            <w:tcW w:w="5180" w:type="dxa"/>
            <w:vAlign w:val="bottom"/>
            <w:gridSpan w:val="2"/>
          </w:tcPr>
          <w:p>
            <w:pPr>
              <w:ind w:left="2660"/>
              <w:spacing w:after="0"/>
              <w:rPr>
                <w:sz w:val="20"/>
                <w:szCs w:val="20"/>
                <w:color w:val="auto"/>
              </w:rPr>
            </w:pPr>
            <w:r>
              <w:rPr>
                <w:rFonts w:ascii="Courier New" w:cs="Courier New" w:eastAsia="Courier New" w:hAnsi="Courier New"/>
                <w:sz w:val="15"/>
                <w:szCs w:val="15"/>
                <w:color w:val="auto"/>
              </w:rPr>
              <w:t>CALCULATION OF EARNINGS</w:t>
            </w:r>
          </w:p>
        </w:tc>
        <w:tc>
          <w:tcPr>
            <w:tcW w:w="1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6"/>
        </w:trPr>
        <w:tc>
          <w:tcPr>
            <w:tcW w:w="5180" w:type="dxa"/>
            <w:vAlign w:val="bottom"/>
            <w:gridSpan w:val="2"/>
          </w:tcPr>
          <w:p>
            <w:pPr>
              <w:ind w:left="2560"/>
              <w:spacing w:after="0"/>
              <w:rPr>
                <w:sz w:val="20"/>
                <w:szCs w:val="20"/>
                <w:color w:val="auto"/>
              </w:rPr>
            </w:pPr>
            <w:r>
              <w:rPr>
                <w:rFonts w:ascii="Courier New" w:cs="Courier New" w:eastAsia="Courier New" w:hAnsi="Courier New"/>
                <w:sz w:val="15"/>
                <w:szCs w:val="15"/>
                <w:color w:val="auto"/>
              </w:rPr>
              <w:t>PER SHARE OF COMMON STOCK</w:t>
            </w:r>
          </w:p>
        </w:tc>
        <w:tc>
          <w:tcPr>
            <w:tcW w:w="1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5180" w:type="dxa"/>
            <w:vAlign w:val="bottom"/>
            <w:gridSpan w:val="2"/>
          </w:tcPr>
          <w:p>
            <w:pPr>
              <w:ind w:left="2560"/>
              <w:spacing w:after="0"/>
              <w:rPr>
                <w:sz w:val="20"/>
                <w:szCs w:val="20"/>
                <w:color w:val="auto"/>
              </w:rPr>
            </w:pPr>
            <w:r>
              <w:rPr>
                <w:rFonts w:ascii="Courier New" w:cs="Courier New" w:eastAsia="Courier New" w:hAnsi="Courier New"/>
                <w:sz w:val="15"/>
                <w:szCs w:val="15"/>
                <w:color w:val="auto"/>
              </w:rPr>
              <w:t>(In thousands of shares)</w:t>
            </w:r>
          </w:p>
        </w:tc>
        <w:tc>
          <w:tcPr>
            <w:tcW w:w="1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881"/>
        </w:trPr>
        <w:tc>
          <w:tcPr>
            <w:tcW w:w="3200" w:type="dxa"/>
            <w:vAlign w:val="bottom"/>
          </w:tcPr>
          <w:p>
            <w:pPr>
              <w:spacing w:after="0"/>
              <w:rPr>
                <w:sz w:val="24"/>
                <w:szCs w:val="24"/>
                <w:color w:val="auto"/>
              </w:rPr>
            </w:pPr>
          </w:p>
        </w:tc>
        <w:tc>
          <w:tcPr>
            <w:tcW w:w="31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Thirteen Weeks Ended</w:t>
            </w:r>
          </w:p>
        </w:tc>
        <w:tc>
          <w:tcPr>
            <w:tcW w:w="39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Twenty-Six Weeks Ended</w:t>
            </w:r>
          </w:p>
        </w:tc>
      </w:tr>
      <w:tr>
        <w:trPr>
          <w:trHeight w:val="176"/>
        </w:trPr>
        <w:tc>
          <w:tcPr>
            <w:tcW w:w="3200" w:type="dxa"/>
            <w:vAlign w:val="bottom"/>
          </w:tcPr>
          <w:p>
            <w:pPr>
              <w:spacing w:after="0"/>
              <w:rPr>
                <w:sz w:val="15"/>
                <w:szCs w:val="15"/>
                <w:color w:val="auto"/>
              </w:rPr>
            </w:pPr>
          </w:p>
        </w:tc>
        <w:tc>
          <w:tcPr>
            <w:tcW w:w="3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15"/>
                <w:szCs w:val="15"/>
                <w:color w:val="auto"/>
              </w:rPr>
            </w:pPr>
          </w:p>
        </w:tc>
        <w:tc>
          <w:tcPr>
            <w:tcW w:w="19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June 28,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June 29,</w:t>
            </w:r>
          </w:p>
        </w:tc>
        <w:tc>
          <w:tcPr>
            <w:tcW w:w="2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June 28,</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June 29,</w:t>
            </w:r>
          </w:p>
        </w:tc>
      </w:tr>
      <w:tr>
        <w:trPr>
          <w:trHeight w:val="176"/>
        </w:trPr>
        <w:tc>
          <w:tcPr>
            <w:tcW w:w="3200" w:type="dxa"/>
            <w:vAlign w:val="bottom"/>
          </w:tcPr>
          <w:p>
            <w:pPr>
              <w:spacing w:after="0"/>
              <w:rPr>
                <w:sz w:val="15"/>
                <w:szCs w:val="15"/>
                <w:color w:val="auto"/>
              </w:rPr>
            </w:pPr>
          </w:p>
        </w:tc>
        <w:tc>
          <w:tcPr>
            <w:tcW w:w="1980" w:type="dxa"/>
            <w:vAlign w:val="bottom"/>
          </w:tcPr>
          <w:p>
            <w:pPr>
              <w:jc w:val="right"/>
              <w:ind w:right="904"/>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26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1998</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3200" w:type="dxa"/>
            <w:vAlign w:val="bottom"/>
          </w:tcPr>
          <w:p>
            <w:pPr>
              <w:spacing w:after="0"/>
              <w:rPr>
                <w:sz w:val="15"/>
                <w:szCs w:val="15"/>
                <w:color w:val="auto"/>
              </w:rPr>
            </w:pPr>
          </w:p>
        </w:tc>
        <w:tc>
          <w:tcPr>
            <w:tcW w:w="19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200" w:type="dxa"/>
            <w:vAlign w:val="bottom"/>
          </w:tcPr>
          <w:p>
            <w:pPr>
              <w:spacing w:after="0"/>
              <w:rPr>
                <w:sz w:val="20"/>
                <w:szCs w:val="20"/>
                <w:color w:val="auto"/>
              </w:rPr>
            </w:pPr>
            <w:r>
              <w:rPr>
                <w:rFonts w:ascii="Courier New" w:cs="Courier New" w:eastAsia="Courier New" w:hAnsi="Courier New"/>
                <w:sz w:val="15"/>
                <w:szCs w:val="15"/>
                <w:color w:val="auto"/>
              </w:rPr>
              <w:t>Number of shares of</w:t>
            </w:r>
          </w:p>
        </w:tc>
        <w:tc>
          <w:tcPr>
            <w:tcW w:w="1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Class A and Class B</w:t>
            </w:r>
          </w:p>
        </w:tc>
        <w:tc>
          <w:tcPr>
            <w:tcW w:w="1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Common stock outstanding</w:t>
            </w:r>
          </w:p>
        </w:tc>
        <w:tc>
          <w:tcPr>
            <w:tcW w:w="1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at beginning of</w:t>
            </w:r>
          </w:p>
        </w:tc>
        <w:tc>
          <w:tcPr>
            <w:tcW w:w="1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198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10,081</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10,805</w:t>
            </w:r>
          </w:p>
        </w:tc>
        <w:tc>
          <w:tcPr>
            <w:tcW w:w="2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10,089</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10,910</w:t>
            </w:r>
          </w:p>
        </w:tc>
      </w:tr>
      <w:tr>
        <w:trPr>
          <w:trHeight w:val="352"/>
        </w:trPr>
        <w:tc>
          <w:tcPr>
            <w:tcW w:w="3200" w:type="dxa"/>
            <w:vAlign w:val="bottom"/>
          </w:tcPr>
          <w:p>
            <w:pPr>
              <w:spacing w:after="0"/>
              <w:rPr>
                <w:sz w:val="20"/>
                <w:szCs w:val="20"/>
                <w:color w:val="auto"/>
              </w:rPr>
            </w:pPr>
            <w:r>
              <w:rPr>
                <w:rFonts w:ascii="Courier New" w:cs="Courier New" w:eastAsia="Courier New" w:hAnsi="Courier New"/>
                <w:sz w:val="15"/>
                <w:szCs w:val="15"/>
                <w:color w:val="auto"/>
              </w:rPr>
              <w:t>Issuance of shares of</w:t>
            </w:r>
          </w:p>
        </w:tc>
        <w:tc>
          <w:tcPr>
            <w:tcW w:w="1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Class B common stock</w:t>
            </w:r>
          </w:p>
        </w:tc>
        <w:tc>
          <w:tcPr>
            <w:tcW w:w="1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(weighted), net of</w:t>
            </w:r>
          </w:p>
        </w:tc>
        <w:tc>
          <w:tcPr>
            <w:tcW w:w="1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forfeiture of re-</w:t>
            </w:r>
          </w:p>
        </w:tc>
        <w:tc>
          <w:tcPr>
            <w:tcW w:w="1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stricted stock awards</w:t>
            </w:r>
          </w:p>
        </w:tc>
        <w:tc>
          <w:tcPr>
            <w:tcW w:w="198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10</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w:t>
            </w:r>
          </w:p>
        </w:tc>
        <w:tc>
          <w:tcPr>
            <w:tcW w:w="2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8</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w:t>
            </w:r>
          </w:p>
        </w:tc>
      </w:tr>
      <w:tr>
        <w:trPr>
          <w:trHeight w:val="352"/>
        </w:trPr>
        <w:tc>
          <w:tcPr>
            <w:tcW w:w="3200" w:type="dxa"/>
            <w:vAlign w:val="bottom"/>
          </w:tcPr>
          <w:p>
            <w:pPr>
              <w:spacing w:after="0"/>
              <w:rPr>
                <w:sz w:val="20"/>
                <w:szCs w:val="20"/>
                <w:color w:val="auto"/>
              </w:rPr>
            </w:pPr>
            <w:r>
              <w:rPr>
                <w:rFonts w:ascii="Courier New" w:cs="Courier New" w:eastAsia="Courier New" w:hAnsi="Courier New"/>
                <w:sz w:val="15"/>
                <w:szCs w:val="15"/>
                <w:color w:val="auto"/>
              </w:rPr>
              <w:t>Repurchase of Class B</w:t>
            </w:r>
          </w:p>
        </w:tc>
        <w:tc>
          <w:tcPr>
            <w:tcW w:w="1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common stock (weighted)</w:t>
            </w:r>
          </w:p>
        </w:tc>
        <w:tc>
          <w:tcPr>
            <w:tcW w:w="19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w:t>
            </w:r>
          </w:p>
        </w:tc>
        <w:tc>
          <w:tcPr>
            <w:tcW w:w="2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(132)</w:t>
            </w:r>
          </w:p>
        </w:tc>
      </w:tr>
      <w:tr>
        <w:trPr>
          <w:trHeight w:val="176"/>
        </w:trPr>
        <w:tc>
          <w:tcPr>
            <w:tcW w:w="3200" w:type="dxa"/>
            <w:vAlign w:val="bottom"/>
          </w:tcPr>
          <w:p>
            <w:pPr>
              <w:spacing w:after="0"/>
              <w:rPr>
                <w:sz w:val="15"/>
                <w:szCs w:val="15"/>
                <w:color w:val="auto"/>
              </w:rPr>
            </w:pPr>
          </w:p>
        </w:tc>
        <w:tc>
          <w:tcPr>
            <w:tcW w:w="198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3200" w:type="dxa"/>
            <w:vAlign w:val="bottom"/>
          </w:tcPr>
          <w:p>
            <w:pPr>
              <w:spacing w:after="0"/>
              <w:rPr>
                <w:sz w:val="20"/>
                <w:szCs w:val="20"/>
                <w:color w:val="auto"/>
              </w:rPr>
            </w:pPr>
            <w:r>
              <w:rPr>
                <w:rFonts w:ascii="Courier New" w:cs="Courier New" w:eastAsia="Courier New" w:hAnsi="Courier New"/>
                <w:sz w:val="15"/>
                <w:szCs w:val="15"/>
                <w:color w:val="auto"/>
              </w:rPr>
              <w:t>Shares used in the computation</w:t>
            </w:r>
          </w:p>
        </w:tc>
        <w:tc>
          <w:tcPr>
            <w:tcW w:w="1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of basic earnings per share</w:t>
            </w:r>
          </w:p>
        </w:tc>
        <w:tc>
          <w:tcPr>
            <w:tcW w:w="198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10,088</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10,743</w:t>
            </w:r>
          </w:p>
        </w:tc>
        <w:tc>
          <w:tcPr>
            <w:tcW w:w="2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10,086</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10,797</w:t>
            </w:r>
          </w:p>
        </w:tc>
      </w:tr>
      <w:tr>
        <w:trPr>
          <w:trHeight w:val="352"/>
        </w:trPr>
        <w:tc>
          <w:tcPr>
            <w:tcW w:w="3200" w:type="dxa"/>
            <w:vAlign w:val="bottom"/>
          </w:tcPr>
          <w:p>
            <w:pPr>
              <w:spacing w:after="0"/>
              <w:rPr>
                <w:sz w:val="20"/>
                <w:szCs w:val="20"/>
                <w:color w:val="auto"/>
              </w:rPr>
            </w:pPr>
            <w:r>
              <w:rPr>
                <w:rFonts w:ascii="Courier New" w:cs="Courier New" w:eastAsia="Courier New" w:hAnsi="Courier New"/>
                <w:sz w:val="15"/>
                <w:szCs w:val="15"/>
                <w:color w:val="auto"/>
              </w:rPr>
              <w:t>Adjustment to reflect</w:t>
            </w:r>
          </w:p>
        </w:tc>
        <w:tc>
          <w:tcPr>
            <w:tcW w:w="1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dilution from common stock</w:t>
            </w:r>
          </w:p>
        </w:tc>
        <w:tc>
          <w:tcPr>
            <w:tcW w:w="1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equivalents</w:t>
            </w:r>
          </w:p>
        </w:tc>
        <w:tc>
          <w:tcPr>
            <w:tcW w:w="198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48</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w:t>
            </w:r>
          </w:p>
        </w:tc>
        <w:tc>
          <w:tcPr>
            <w:tcW w:w="2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46</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w:t>
            </w:r>
          </w:p>
        </w:tc>
      </w:tr>
      <w:tr>
        <w:trPr>
          <w:trHeight w:val="176"/>
        </w:trPr>
        <w:tc>
          <w:tcPr>
            <w:tcW w:w="3200" w:type="dxa"/>
            <w:vAlign w:val="bottom"/>
          </w:tcPr>
          <w:p>
            <w:pPr>
              <w:spacing w:after="0"/>
              <w:rPr>
                <w:sz w:val="15"/>
                <w:szCs w:val="15"/>
                <w:color w:val="auto"/>
              </w:rPr>
            </w:pPr>
          </w:p>
        </w:tc>
        <w:tc>
          <w:tcPr>
            <w:tcW w:w="198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3200" w:type="dxa"/>
            <w:vAlign w:val="bottom"/>
          </w:tcPr>
          <w:p>
            <w:pPr>
              <w:spacing w:after="0"/>
              <w:rPr>
                <w:sz w:val="20"/>
                <w:szCs w:val="20"/>
                <w:color w:val="auto"/>
              </w:rPr>
            </w:pPr>
            <w:r>
              <w:rPr>
                <w:rFonts w:ascii="Courier New" w:cs="Courier New" w:eastAsia="Courier New" w:hAnsi="Courier New"/>
                <w:sz w:val="15"/>
                <w:szCs w:val="15"/>
                <w:color w:val="auto"/>
              </w:rPr>
              <w:t>Shares used in the computation</w:t>
            </w:r>
          </w:p>
        </w:tc>
        <w:tc>
          <w:tcPr>
            <w:tcW w:w="1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Of diluted earnings per share</w:t>
            </w:r>
          </w:p>
        </w:tc>
        <w:tc>
          <w:tcPr>
            <w:tcW w:w="198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10,136</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10,772</w:t>
            </w:r>
          </w:p>
        </w:tc>
        <w:tc>
          <w:tcPr>
            <w:tcW w:w="2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10,132</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10,819</w:t>
            </w:r>
          </w:p>
        </w:tc>
      </w:tr>
      <w:tr>
        <w:trPr>
          <w:trHeight w:val="176"/>
        </w:trPr>
        <w:tc>
          <w:tcPr>
            <w:tcW w:w="3200" w:type="dxa"/>
            <w:vAlign w:val="bottom"/>
          </w:tcPr>
          <w:p>
            <w:pPr>
              <w:spacing w:after="0"/>
              <w:rPr>
                <w:sz w:val="15"/>
                <w:szCs w:val="15"/>
                <w:color w:val="auto"/>
              </w:rPr>
            </w:pPr>
          </w:p>
        </w:tc>
        <w:tc>
          <w:tcPr>
            <w:tcW w:w="198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3200" w:type="dxa"/>
            <w:vAlign w:val="bottom"/>
          </w:tcPr>
          <w:p>
            <w:pPr>
              <w:spacing w:after="0"/>
              <w:rPr>
                <w:sz w:val="20"/>
                <w:szCs w:val="20"/>
                <w:color w:val="auto"/>
              </w:rPr>
            </w:pPr>
            <w:r>
              <w:rPr>
                <w:rFonts w:ascii="Courier New" w:cs="Courier New" w:eastAsia="Courier New" w:hAnsi="Courier New"/>
                <w:sz w:val="15"/>
                <w:szCs w:val="15"/>
                <w:color w:val="auto"/>
              </w:rPr>
              <w:t>Net income available for</w:t>
            </w:r>
          </w:p>
        </w:tc>
        <w:tc>
          <w:tcPr>
            <w:tcW w:w="1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common shares</w:t>
            </w:r>
          </w:p>
        </w:tc>
        <w:tc>
          <w:tcPr>
            <w:tcW w:w="198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$63,543</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$71,118</w:t>
            </w:r>
          </w:p>
        </w:tc>
        <w:tc>
          <w:tcPr>
            <w:tcW w:w="2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$270,940</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$118,334</w:t>
            </w:r>
          </w:p>
        </w:tc>
      </w:tr>
      <w:tr>
        <w:trPr>
          <w:trHeight w:val="176"/>
        </w:trPr>
        <w:tc>
          <w:tcPr>
            <w:tcW w:w="3200" w:type="dxa"/>
            <w:vAlign w:val="bottom"/>
          </w:tcPr>
          <w:p>
            <w:pPr>
              <w:spacing w:after="0"/>
              <w:rPr>
                <w:sz w:val="15"/>
                <w:szCs w:val="15"/>
                <w:color w:val="auto"/>
              </w:rPr>
            </w:pPr>
          </w:p>
        </w:tc>
        <w:tc>
          <w:tcPr>
            <w:tcW w:w="198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3200" w:type="dxa"/>
            <w:vAlign w:val="bottom"/>
          </w:tcPr>
          <w:p>
            <w:pPr>
              <w:spacing w:after="0"/>
              <w:rPr>
                <w:sz w:val="20"/>
                <w:szCs w:val="20"/>
                <w:color w:val="auto"/>
              </w:rPr>
            </w:pPr>
            <w:r>
              <w:rPr>
                <w:rFonts w:ascii="Courier New" w:cs="Courier New" w:eastAsia="Courier New" w:hAnsi="Courier New"/>
                <w:sz w:val="15"/>
                <w:szCs w:val="15"/>
                <w:color w:val="auto"/>
              </w:rPr>
              <w:t>Basic earnings per common</w:t>
            </w:r>
          </w:p>
        </w:tc>
        <w:tc>
          <w:tcPr>
            <w:tcW w:w="1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share</w:t>
            </w:r>
          </w:p>
        </w:tc>
        <w:tc>
          <w:tcPr>
            <w:tcW w:w="198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$6.30</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$ 6.62</w:t>
            </w:r>
          </w:p>
        </w:tc>
        <w:tc>
          <w:tcPr>
            <w:tcW w:w="2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$26.86</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$10.96</w:t>
            </w:r>
          </w:p>
        </w:tc>
      </w:tr>
      <w:tr>
        <w:trPr>
          <w:trHeight w:val="176"/>
        </w:trPr>
        <w:tc>
          <w:tcPr>
            <w:tcW w:w="3200" w:type="dxa"/>
            <w:vAlign w:val="bottom"/>
          </w:tcPr>
          <w:p>
            <w:pPr>
              <w:spacing w:after="0"/>
              <w:rPr>
                <w:sz w:val="15"/>
                <w:szCs w:val="15"/>
                <w:color w:val="auto"/>
              </w:rPr>
            </w:pPr>
          </w:p>
        </w:tc>
        <w:tc>
          <w:tcPr>
            <w:tcW w:w="198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3200" w:type="dxa"/>
            <w:vAlign w:val="bottom"/>
          </w:tcPr>
          <w:p>
            <w:pPr>
              <w:spacing w:after="0"/>
              <w:rPr>
                <w:sz w:val="20"/>
                <w:szCs w:val="20"/>
                <w:color w:val="auto"/>
              </w:rPr>
            </w:pPr>
            <w:r>
              <w:rPr>
                <w:rFonts w:ascii="Courier New" w:cs="Courier New" w:eastAsia="Courier New" w:hAnsi="Courier New"/>
                <w:sz w:val="15"/>
                <w:szCs w:val="15"/>
                <w:color w:val="auto"/>
              </w:rPr>
              <w:t>Diluted earnings</w:t>
            </w:r>
          </w:p>
        </w:tc>
        <w:tc>
          <w:tcPr>
            <w:tcW w:w="1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per common share</w:t>
            </w:r>
          </w:p>
        </w:tc>
        <w:tc>
          <w:tcPr>
            <w:tcW w:w="198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$6.27</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$ 6.60</w:t>
            </w:r>
          </w:p>
        </w:tc>
        <w:tc>
          <w:tcPr>
            <w:tcW w:w="2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$26.74</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$10.94</w:t>
            </w:r>
          </w:p>
        </w:tc>
      </w:tr>
      <w:tr>
        <w:trPr>
          <w:trHeight w:val="176"/>
        </w:trPr>
        <w:tc>
          <w:tcPr>
            <w:tcW w:w="3200" w:type="dxa"/>
            <w:vAlign w:val="bottom"/>
          </w:tcPr>
          <w:p>
            <w:pPr>
              <w:spacing w:after="0"/>
              <w:rPr>
                <w:sz w:val="15"/>
                <w:szCs w:val="15"/>
                <w:color w:val="auto"/>
              </w:rPr>
            </w:pPr>
          </w:p>
        </w:tc>
        <w:tc>
          <w:tcPr>
            <w:tcW w:w="198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340"/>
          </w:cols>
          <w:pgMar w:left="240" w:top="142" w:right="1319" w:bottom="1440" w:gutter="0" w:footer="0" w:header="0"/>
        </w:sectPr>
      </w:pPr>
    </w:p>
    <w:bookmarkStart w:id="17" w:name="page18"/>
    <w:bookmarkEnd w:id="17"/>
    <w:p>
      <w:pPr>
        <w:ind w:left="60"/>
        <w:spacing w:after="0"/>
        <w:rPr>
          <w:sz w:val="20"/>
          <w:szCs w:val="20"/>
          <w:color w:val="auto"/>
        </w:rPr>
      </w:pPr>
      <w:r>
        <w:rPr>
          <w:rFonts w:ascii="Courier New" w:cs="Courier New" w:eastAsia="Courier New" w:hAnsi="Courier New"/>
          <w:sz w:val="15"/>
          <w:szCs w:val="15"/>
          <w:color w:val="auto"/>
        </w:rPr>
        <w:t>5</w:t>
      </w:r>
    </w:p>
    <w:p>
      <w:pPr>
        <w:spacing w:after="0" w:line="182" w:lineRule="exact"/>
        <w:rPr>
          <w:sz w:val="20"/>
          <w:szCs w:val="20"/>
          <w:color w:val="auto"/>
        </w:rPr>
      </w:pPr>
    </w:p>
    <w:p>
      <w:pPr>
        <w:ind w:right="2879"/>
        <w:spacing w:after="0" w:line="249"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Condensed Consolidated Statement of Income for the twenty-six weeks ended June 28, 1998 and the Condensed Consolidated Balance Sheet as of June 28, 1998 and is qualified in its entirety by the reference to such financial statements.</w:t>
      </w:r>
    </w:p>
    <w:p>
      <w:pPr>
        <w:spacing w:after="0" w:line="176"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59"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6-MOS</w:t>
      </w:r>
    </w:p>
    <w:p>
      <w:pPr>
        <w:spacing w:after="0" w:line="6"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JAN-03-1999</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JUN-28-1998</w:t>
      </w:r>
    </w:p>
    <w:p>
      <w:pPr>
        <w:spacing w:after="0" w:line="6"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21,678</w:t>
      </w:r>
    </w:p>
    <w:p>
      <w:pPr>
        <w:spacing w:after="0" w:line="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319,192</w:t>
      </w:r>
    </w:p>
    <w:p>
      <w:pPr>
        <w:spacing w:after="0" w:line="6"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51,849</w:t>
      </w:r>
    </w:p>
    <w:p>
      <w:pPr>
        <w:spacing w:after="0" w:line="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31,298</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354,397</w:t>
      </w:r>
    </w:p>
    <w:p>
      <w:pPr>
        <w:spacing w:after="0" w:line="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1,321,205</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607,073</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2,216,434</w:t>
      </w:r>
    </w:p>
    <w:p>
      <w:pPr>
        <w:spacing w:after="0" w:line="6"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507,128</w:t>
      </w:r>
    </w:p>
    <w:p>
      <w:pPr>
        <w:spacing w:after="0" w:line="6"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11,873</w:t>
      </w:r>
    </w:p>
    <w:p>
      <w:pPr>
        <w:spacing w:after="0" w:line="6"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20,000</w:t>
      </w:r>
    </w:p>
    <w:p>
      <w:pPr>
        <w:spacing w:after="0" w:line="6"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1,394,996</w:t>
      </w:r>
    </w:p>
    <w:p>
      <w:pPr>
        <w:spacing w:after="0" w:line="6"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2,216,434</w:t>
      </w:r>
    </w:p>
    <w:p>
      <w:pPr>
        <w:spacing w:after="0" w:line="6"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1,009,712</w:t>
      </w:r>
    </w:p>
    <w:p>
      <w:pPr>
        <w:spacing w:after="0" w:line="6"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543,986</w:t>
      </w:r>
    </w:p>
    <w:p>
      <w:pPr>
        <w:spacing w:after="0" w:line="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32,241</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2,574</w:t>
      </w:r>
    </w:p>
    <w:p>
      <w:pPr>
        <w:spacing w:after="0" w:line="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437,257</w:t>
      </w:r>
    </w:p>
    <w:p>
      <w:pPr>
        <w:spacing w:after="0" w:line="6"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165,600</w:t>
      </w:r>
    </w:p>
    <w:p>
      <w:pPr>
        <w:spacing w:after="0" w:line="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271,657</w:t>
      </w:r>
    </w:p>
    <w:p>
      <w:pPr>
        <w:spacing w:after="0" w:line="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271,657</w:t>
      </w:r>
    </w:p>
    <w:p>
      <w:pPr>
        <w:spacing w:after="0" w:line="6"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26.86</w:t>
      </w:r>
    </w:p>
    <w:p>
      <w:pPr>
        <w:spacing w:after="0" w:line="6"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26.74</w:t>
      </w:r>
    </w:p>
    <w:sectPr>
      <w:pgSz w:w="11900" w:h="16838" w:orient="portrait"/>
      <w:cols w:equalWidth="0" w:num="1">
        <w:col w:w="10199"/>
      </w:cols>
      <w:pgMar w:left="260" w:top="4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decimal"/>
      <w:start w:val="202"/>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11"/>
    </w:lvl>
  </w:abstractNum>
  <w:abstractNum w:abstractNumId="5">
    <w:nsid w:val="507ED7AB"/>
    <w:multiLevelType w:val="hybridMultilevel"/>
    <w:lvl w:ilvl="0">
      <w:lvlJc w:val="left"/>
      <w:lvlText w:val="%1"/>
      <w:numFmt w:val="decimal"/>
      <w:start w:val="27"/>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2019-12-12T07:04:24Z</dcterms:created>
  <dcterms:modified xsi:type="dcterms:W3CDTF">2019-12-12T07:04:24Z</dcterms:modified>
</cp:coreProperties>
</file>