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30,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020" w:type="dxa"/>
            <w:vAlign w:val="bottom"/>
          </w:tcPr>
          <w:p>
            <w:pPr>
              <w:jc w:val="center"/>
              <w:ind w:right="164"/>
              <w:spacing w:after="0"/>
              <w:rPr>
                <w:sz w:val="20"/>
                <w:szCs w:val="20"/>
                <w:color w:val="auto"/>
              </w:rPr>
            </w:pPr>
            <w:r>
              <w:rPr>
                <w:rFonts w:ascii="Arial" w:cs="Arial" w:eastAsia="Arial" w:hAnsi="Arial"/>
                <w:sz w:val="18"/>
                <w:szCs w:val="18"/>
                <w:b w:val="1"/>
                <w:bCs w:val="1"/>
                <w:color w:val="auto"/>
                <w:w w:val="88"/>
              </w:rPr>
              <w:t>Delaware</w:t>
            </w:r>
          </w:p>
        </w:tc>
        <w:tc>
          <w:tcPr>
            <w:tcW w:w="3820" w:type="dxa"/>
            <w:vAlign w:val="bottom"/>
          </w:tcPr>
          <w:p>
            <w:pPr>
              <w:jc w:val="right"/>
              <w:ind w:right="1742"/>
              <w:spacing w:after="0"/>
              <w:rPr>
                <w:sz w:val="20"/>
                <w:szCs w:val="20"/>
                <w:color w:val="auto"/>
              </w:rPr>
            </w:pPr>
            <w:r>
              <w:rPr>
                <w:rFonts w:ascii="Arial" w:cs="Arial" w:eastAsia="Arial" w:hAnsi="Arial"/>
                <w:sz w:val="18"/>
                <w:szCs w:val="18"/>
                <w:b w:val="1"/>
                <w:bCs w:val="1"/>
                <w:color w:val="auto"/>
              </w:rPr>
              <w:t>1-6714</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7"/>
              </w:rPr>
              <w:t>53-0182885</w:t>
            </w:r>
          </w:p>
        </w:tc>
      </w:tr>
      <w:tr>
        <w:trPr>
          <w:trHeight w:val="149"/>
        </w:trPr>
        <w:tc>
          <w:tcPr>
            <w:tcW w:w="402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82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358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20" w:type="dxa"/>
            <w:vAlign w:val="bottom"/>
          </w:tcPr>
          <w:p>
            <w:pPr>
              <w:jc w:val="center"/>
              <w:ind w:right="164"/>
              <w:spacing w:after="0"/>
              <w:rPr>
                <w:sz w:val="20"/>
                <w:szCs w:val="20"/>
                <w:color w:val="auto"/>
              </w:rPr>
            </w:pPr>
            <w:r>
              <w:rPr>
                <w:rFonts w:ascii="Arial" w:cs="Arial" w:eastAsia="Arial" w:hAnsi="Arial"/>
                <w:sz w:val="14"/>
                <w:szCs w:val="14"/>
                <w:b w:val="1"/>
                <w:bCs w:val="1"/>
                <w:color w:val="auto"/>
                <w:w w:val="87"/>
              </w:rPr>
              <w:t>of incorporation)</w:t>
            </w:r>
          </w:p>
        </w:tc>
        <w:tc>
          <w:tcPr>
            <w:tcW w:w="3820" w:type="dxa"/>
            <w:vAlign w:val="bottom"/>
          </w:tcPr>
          <w:p>
            <w:pPr>
              <w:spacing w:after="0"/>
              <w:rPr>
                <w:sz w:val="15"/>
                <w:szCs w:val="15"/>
                <w:color w:val="auto"/>
              </w:rPr>
            </w:pPr>
          </w:p>
        </w:tc>
        <w:tc>
          <w:tcPr>
            <w:tcW w:w="3580" w:type="dxa"/>
            <w:vAlign w:val="bottom"/>
          </w:tcPr>
          <w:p>
            <w:pPr>
              <w:jc w:val="center"/>
              <w:ind w:right="4"/>
              <w:spacing w:after="0"/>
              <w:rPr>
                <w:sz w:val="20"/>
                <w:szCs w:val="20"/>
                <w:color w:val="auto"/>
              </w:rPr>
            </w:pPr>
            <w:r>
              <w:rPr>
                <w:rFonts w:ascii="Arial" w:cs="Arial" w:eastAsia="Arial" w:hAnsi="Arial"/>
                <w:sz w:val="14"/>
                <w:szCs w:val="14"/>
                <w:b w:val="1"/>
                <w:bCs w:val="1"/>
                <w:color w:val="auto"/>
                <w:w w:val="89"/>
              </w:rPr>
              <w:t>Identification No.)</w:t>
            </w:r>
          </w:p>
        </w:tc>
      </w:tr>
      <w:tr>
        <w:trPr>
          <w:trHeight w:val="352"/>
        </w:trPr>
        <w:tc>
          <w:tcPr>
            <w:tcW w:w="7840" w:type="dxa"/>
            <w:vAlign w:val="bottom"/>
            <w:gridSpan w:val="2"/>
          </w:tcPr>
          <w:p>
            <w:pPr>
              <w:jc w:val="center"/>
              <w:ind w:right="2262"/>
              <w:spacing w:after="0"/>
              <w:rPr>
                <w:sz w:val="20"/>
                <w:szCs w:val="20"/>
                <w:color w:val="auto"/>
              </w:rPr>
            </w:pPr>
            <w:r>
              <w:rPr>
                <w:rFonts w:ascii="Arial" w:cs="Arial" w:eastAsia="Arial" w:hAnsi="Arial"/>
                <w:sz w:val="18"/>
                <w:szCs w:val="18"/>
                <w:b w:val="1"/>
                <w:bCs w:val="1"/>
                <w:color w:val="auto"/>
                <w:w w:val="88"/>
              </w:rPr>
              <w:t>1150 15th Street, N.W. Washington, D.C.</w:t>
            </w:r>
          </w:p>
        </w:tc>
        <w:tc>
          <w:tcPr>
            <w:tcW w:w="3580" w:type="dxa"/>
            <w:vAlign w:val="bottom"/>
          </w:tcPr>
          <w:p>
            <w:pPr>
              <w:jc w:val="right"/>
              <w:ind w:right="2384"/>
              <w:spacing w:after="0"/>
              <w:rPr>
                <w:sz w:val="20"/>
                <w:szCs w:val="20"/>
                <w:color w:val="auto"/>
              </w:rPr>
            </w:pPr>
            <w:r>
              <w:rPr>
                <w:rFonts w:ascii="Arial" w:cs="Arial" w:eastAsia="Arial" w:hAnsi="Arial"/>
                <w:sz w:val="18"/>
                <w:szCs w:val="18"/>
                <w:b w:val="1"/>
                <w:bCs w:val="1"/>
                <w:color w:val="auto"/>
              </w:rPr>
              <w:t>20071</w:t>
            </w:r>
          </w:p>
        </w:tc>
      </w:tr>
      <w:tr>
        <w:trPr>
          <w:trHeight w:val="174"/>
        </w:trPr>
        <w:tc>
          <w:tcPr>
            <w:tcW w:w="4020" w:type="dxa"/>
            <w:vAlign w:val="bottom"/>
          </w:tcPr>
          <w:p>
            <w:pPr>
              <w:jc w:val="center"/>
              <w:ind w:left="140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820" w:type="dxa"/>
            <w:vAlign w:val="bottom"/>
          </w:tcPr>
          <w:p>
            <w:pPr>
              <w:spacing w:after="0"/>
              <w:rPr>
                <w:sz w:val="15"/>
                <w:szCs w:val="15"/>
                <w:color w:val="auto"/>
              </w:rPr>
            </w:pPr>
          </w:p>
        </w:tc>
        <w:tc>
          <w:tcPr>
            <w:tcW w:w="3580" w:type="dxa"/>
            <w:vAlign w:val="bottom"/>
          </w:tcPr>
          <w:p>
            <w:pPr>
              <w:jc w:val="center"/>
              <w:ind w:right="1704"/>
              <w:spacing w:after="0"/>
              <w:rPr>
                <w:sz w:val="20"/>
                <w:szCs w:val="20"/>
                <w:color w:val="auto"/>
              </w:rPr>
            </w:pPr>
            <w:r>
              <w:rPr>
                <w:rFonts w:ascii="Arial" w:cs="Arial" w:eastAsia="Arial" w:hAnsi="Arial"/>
                <w:sz w:val="14"/>
                <w:szCs w:val="14"/>
                <w:b w:val="1"/>
                <w:bCs w:val="1"/>
                <w:color w:val="auto"/>
                <w:w w:val="92"/>
              </w:rPr>
              <w:t>(Zip Code)</w:t>
            </w:r>
          </w:p>
        </w:tc>
      </w:tr>
      <w:tr>
        <w:trPr>
          <w:trHeight w:val="339"/>
        </w:trPr>
        <w:tc>
          <w:tcPr>
            <w:tcW w:w="4020" w:type="dxa"/>
            <w:vAlign w:val="bottom"/>
          </w:tcPr>
          <w:p>
            <w:pPr>
              <w:spacing w:after="0"/>
              <w:rPr>
                <w:sz w:val="24"/>
                <w:szCs w:val="24"/>
                <w:color w:val="auto"/>
              </w:rPr>
            </w:pPr>
          </w:p>
        </w:tc>
        <w:tc>
          <w:tcPr>
            <w:tcW w:w="3820" w:type="dxa"/>
            <w:vAlign w:val="bottom"/>
          </w:tcPr>
          <w:p>
            <w:pPr>
              <w:jc w:val="right"/>
              <w:ind w:right="1502"/>
              <w:spacing w:after="0"/>
              <w:rPr>
                <w:sz w:val="20"/>
                <w:szCs w:val="20"/>
                <w:color w:val="auto"/>
              </w:rPr>
            </w:pPr>
            <w:r>
              <w:rPr>
                <w:rFonts w:ascii="Arial" w:cs="Arial" w:eastAsia="Arial" w:hAnsi="Arial"/>
                <w:sz w:val="18"/>
                <w:szCs w:val="18"/>
                <w:b w:val="1"/>
                <w:bCs w:val="1"/>
                <w:color w:val="auto"/>
              </w:rPr>
              <w:t>(202) 334-6000</w:t>
            </w:r>
          </w:p>
        </w:tc>
        <w:tc>
          <w:tcPr>
            <w:tcW w:w="3580" w:type="dxa"/>
            <w:vAlign w:val="bottom"/>
          </w:tcPr>
          <w:p>
            <w:pPr>
              <w:spacing w:after="0"/>
              <w:rPr>
                <w:sz w:val="24"/>
                <w:szCs w:val="24"/>
                <w:color w:val="auto"/>
              </w:rPr>
            </w:pPr>
          </w:p>
        </w:tc>
      </w:tr>
      <w:tr>
        <w:trPr>
          <w:trHeight w:val="174"/>
        </w:trPr>
        <w:tc>
          <w:tcPr>
            <w:tcW w:w="4020" w:type="dxa"/>
            <w:vAlign w:val="bottom"/>
          </w:tcPr>
          <w:p>
            <w:pPr>
              <w:spacing w:after="0"/>
              <w:rPr>
                <w:sz w:val="15"/>
                <w:szCs w:val="15"/>
                <w:color w:val="auto"/>
              </w:rPr>
            </w:pPr>
          </w:p>
        </w:tc>
        <w:tc>
          <w:tcPr>
            <w:tcW w:w="3820" w:type="dxa"/>
            <w:vAlign w:val="bottom"/>
          </w:tcPr>
          <w:p>
            <w:pPr>
              <w:jc w:val="center"/>
              <w:ind w:right="36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3580" w:type="dxa"/>
            <w:vAlign w:val="bottom"/>
          </w:tcPr>
          <w:p>
            <w:pPr>
              <w:spacing w:after="0"/>
              <w:rPr>
                <w:sz w:val="15"/>
                <w:szCs w:val="15"/>
                <w:color w:val="auto"/>
              </w:rPr>
            </w:pPr>
          </w:p>
        </w:tc>
      </w:tr>
      <w:tr>
        <w:trPr>
          <w:trHeight w:val="186"/>
        </w:trPr>
        <w:tc>
          <w:tcPr>
            <w:tcW w:w="402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 Financial Statements and Exhibits</w:t>
      </w:r>
    </w:p>
    <w:p>
      <w:pPr>
        <w:spacing w:after="0" w:line="83"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ind w:right="4580" w:firstLine="918"/>
        <w:spacing w:after="0" w:line="375" w:lineRule="auto"/>
        <w:rPr>
          <w:sz w:val="20"/>
          <w:szCs w:val="20"/>
          <w:color w:val="auto"/>
        </w:rPr>
      </w:pPr>
      <w:r>
        <w:rPr>
          <w:rFonts w:ascii="Arial" w:cs="Arial" w:eastAsia="Arial" w:hAnsi="Arial"/>
          <w:sz w:val="18"/>
          <w:szCs w:val="18"/>
          <w:color w:val="auto"/>
        </w:rPr>
        <w:t xml:space="preserve">99.1 The Washington Post Company Earnings Press Release dated July 30, 2004 </w:t>
      </w:r>
      <w:r>
        <w:rPr>
          <w:rFonts w:ascii="Arial" w:cs="Arial" w:eastAsia="Arial" w:hAnsi="Arial"/>
          <w:sz w:val="18"/>
          <w:szCs w:val="18"/>
          <w:b w:val="1"/>
          <w:bCs w:val="1"/>
          <w:color w:val="auto"/>
        </w:rPr>
        <w:t>Item 12. Results of Operations and Financial Condition</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July 30, 2004, The Washington Post Company issued a press release announcing the Company’s earnings for the quarter ended June 27, 2004. A copy of this press release is furnished with this report as an exhibit to this Form 8-K.</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74" w:right="3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980" w:val="left"/>
        </w:tabs>
        <w:rPr>
          <w:sz w:val="20"/>
          <w:szCs w:val="20"/>
          <w:color w:val="auto"/>
        </w:rPr>
      </w:pPr>
      <w:r>
        <w:rPr>
          <w:rFonts w:ascii="Arial" w:cs="Arial" w:eastAsia="Arial" w:hAnsi="Arial"/>
          <w:sz w:val="18"/>
          <w:szCs w:val="18"/>
          <w:color w:val="auto"/>
        </w:rPr>
        <w:t>Date July 30, 2004</w:t>
      </w:r>
      <w:r>
        <w:rPr>
          <w:sz w:val="20"/>
          <w:szCs w:val="20"/>
          <w:color w:val="auto"/>
        </w:rPr>
        <w:tab/>
      </w:r>
      <w:r>
        <w:rPr>
          <w:rFonts w:ascii="Arial" w:cs="Arial" w:eastAsia="Arial" w:hAnsi="Arial"/>
          <w:sz w:val="15"/>
          <w:szCs w:val="15"/>
          <w:color w:val="auto"/>
        </w:rPr>
        <w:t>/s/ John B.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Vice President - Finance</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6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July 30, 2004.</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2160" w:type="dxa"/>
            <w:vAlign w:val="bottom"/>
            <w:gridSpan w:val="2"/>
          </w:tcPr>
          <w:p>
            <w:pPr>
              <w:ind w:left="1260"/>
              <w:spacing w:after="0"/>
              <w:rPr>
                <w:sz w:val="20"/>
                <w:szCs w:val="20"/>
                <w:color w:val="auto"/>
              </w:rPr>
            </w:pPr>
            <w:r>
              <w:rPr>
                <w:rFonts w:ascii="Arial" w:cs="Arial" w:eastAsia="Arial" w:hAnsi="Arial"/>
                <w:sz w:val="18"/>
                <w:szCs w:val="18"/>
                <w:b w:val="1"/>
                <w:bCs w:val="1"/>
                <w:color w:val="auto"/>
                <w:w w:val="87"/>
              </w:rPr>
              <w:t>Exhibit 99.1</w:t>
            </w:r>
          </w:p>
        </w:tc>
      </w:tr>
      <w:tr>
        <w:trPr>
          <w:trHeight w:val="245"/>
        </w:trPr>
        <w:tc>
          <w:tcPr>
            <w:tcW w:w="820" w:type="dxa"/>
            <w:vAlign w:val="bottom"/>
          </w:tcPr>
          <w:p>
            <w:pPr>
              <w:spacing w:after="0"/>
              <w:rPr>
                <w:sz w:val="20"/>
                <w:szCs w:val="20"/>
                <w:color w:val="auto"/>
              </w:rPr>
            </w:pPr>
            <w:r>
              <w:rPr>
                <w:rFonts w:ascii="Arial" w:cs="Arial" w:eastAsia="Arial" w:hAnsi="Arial"/>
                <w:sz w:val="18"/>
                <w:szCs w:val="18"/>
                <w:color w:val="auto"/>
              </w:rPr>
              <w:t>Contact:</w:t>
            </w:r>
          </w:p>
        </w:tc>
        <w:tc>
          <w:tcPr>
            <w:tcW w:w="2260" w:type="dxa"/>
            <w:vAlign w:val="bottom"/>
          </w:tcPr>
          <w:p>
            <w:pPr>
              <w:ind w:left="220"/>
              <w:spacing w:after="0"/>
              <w:rPr>
                <w:sz w:val="20"/>
                <w:szCs w:val="20"/>
                <w:color w:val="auto"/>
              </w:rPr>
            </w:pPr>
            <w:r>
              <w:rPr>
                <w:rFonts w:ascii="Arial" w:cs="Arial" w:eastAsia="Arial" w:hAnsi="Arial"/>
                <w:sz w:val="18"/>
                <w:szCs w:val="18"/>
                <w:color w:val="auto"/>
              </w:rPr>
              <w:t>John B. Morse, Jr.</w:t>
            </w:r>
          </w:p>
        </w:tc>
        <w:tc>
          <w:tcPr>
            <w:tcW w:w="6180" w:type="dxa"/>
            <w:vAlign w:val="bottom"/>
          </w:tcPr>
          <w:p>
            <w:pPr>
              <w:spacing w:after="0"/>
              <w:rPr>
                <w:sz w:val="21"/>
                <w:szCs w:val="21"/>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For Immediate Release</w:t>
            </w:r>
          </w:p>
        </w:tc>
      </w:tr>
      <w:tr>
        <w:trPr>
          <w:trHeight w:val="235"/>
        </w:trPr>
        <w:tc>
          <w:tcPr>
            <w:tcW w:w="820" w:type="dxa"/>
            <w:vAlign w:val="bottom"/>
          </w:tcPr>
          <w:p>
            <w:pPr>
              <w:spacing w:after="0"/>
              <w:rPr>
                <w:sz w:val="20"/>
                <w:szCs w:val="20"/>
                <w:color w:val="auto"/>
              </w:rPr>
            </w:pPr>
          </w:p>
        </w:tc>
        <w:tc>
          <w:tcPr>
            <w:tcW w:w="2260" w:type="dxa"/>
            <w:vAlign w:val="bottom"/>
          </w:tcPr>
          <w:p>
            <w:pPr>
              <w:ind w:left="220"/>
              <w:spacing w:after="0"/>
              <w:rPr>
                <w:sz w:val="20"/>
                <w:szCs w:val="20"/>
                <w:color w:val="auto"/>
              </w:rPr>
            </w:pPr>
            <w:r>
              <w:rPr>
                <w:rFonts w:ascii="Arial" w:cs="Arial" w:eastAsia="Arial" w:hAnsi="Arial"/>
                <w:sz w:val="18"/>
                <w:szCs w:val="18"/>
                <w:color w:val="auto"/>
              </w:rPr>
              <w:t>(202) 334-6662</w:t>
            </w:r>
          </w:p>
        </w:tc>
        <w:tc>
          <w:tcPr>
            <w:tcW w:w="618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July 30, 2004</w:t>
            </w:r>
          </w:p>
        </w:tc>
        <w:tc>
          <w:tcPr>
            <w:tcW w:w="540" w:type="dxa"/>
            <w:vAlign w:val="bottom"/>
          </w:tcPr>
          <w:p>
            <w:pPr>
              <w:spacing w:after="0"/>
              <w:rPr>
                <w:sz w:val="20"/>
                <w:szCs w:val="20"/>
                <w:color w:val="auto"/>
              </w:rPr>
            </w:pPr>
          </w:p>
        </w:tc>
      </w:tr>
      <w:tr>
        <w:trPr>
          <w:trHeight w:val="358"/>
        </w:trPr>
        <w:tc>
          <w:tcPr>
            <w:tcW w:w="8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340" w:type="dxa"/>
            <w:vAlign w:val="bottom"/>
            <w:gridSpan w:val="3"/>
          </w:tcPr>
          <w:p>
            <w:pPr>
              <w:jc w:val="center"/>
              <w:ind w:right="3080"/>
              <w:spacing w:after="0"/>
              <w:rPr>
                <w:sz w:val="20"/>
                <w:szCs w:val="20"/>
                <w:color w:val="auto"/>
              </w:rPr>
            </w:pPr>
            <w:r>
              <w:rPr>
                <w:rFonts w:ascii="Arial" w:cs="Arial" w:eastAsia="Arial" w:hAnsi="Arial"/>
                <w:sz w:val="18"/>
                <w:szCs w:val="18"/>
                <w:color w:val="auto"/>
                <w:w w:val="91"/>
              </w:rPr>
              <w:t>THE WASHINGTON POST COMPANY REPORTS</w:t>
            </w:r>
          </w:p>
        </w:tc>
      </w:tr>
      <w:tr>
        <w:trPr>
          <w:trHeight w:val="222"/>
        </w:trPr>
        <w:tc>
          <w:tcPr>
            <w:tcW w:w="8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340" w:type="dxa"/>
            <w:vAlign w:val="bottom"/>
            <w:gridSpan w:val="3"/>
          </w:tcPr>
          <w:p>
            <w:pPr>
              <w:jc w:val="center"/>
              <w:ind w:right="3080"/>
              <w:spacing w:after="0"/>
              <w:rPr>
                <w:sz w:val="20"/>
                <w:szCs w:val="20"/>
                <w:color w:val="auto"/>
              </w:rPr>
            </w:pPr>
            <w:r>
              <w:rPr>
                <w:rFonts w:ascii="Arial" w:cs="Arial" w:eastAsia="Arial" w:hAnsi="Arial"/>
                <w:sz w:val="18"/>
                <w:szCs w:val="18"/>
                <w:color w:val="auto"/>
                <w:w w:val="92"/>
              </w:rPr>
              <w:t>SECOND QUARTER EARNINGS</w:t>
            </w:r>
          </w:p>
        </w:tc>
      </w:tr>
    </w:tbl>
    <w:p>
      <w:pPr>
        <w:spacing w:after="0" w:line="14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WASHINGTON – The Washington Post Company (NYSE: WPO) today reported net income of $84.9 million ($8.82 per share) for its second quarter ended June 27, 2004, up from net income of $60.6 million ($6.32 per share) for the second quarter of last year.</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Results for the second quarter of 2003 included an early retirement program charge at The Washington Post newspaper (after-tax impact of $1.3 million, or $0.14 per share).</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Revenue for the second quarter of 2004 was $818.4 million, up 16% from $706.9 million in 2003. The increase in revenue is due mostly to significant revenue growth at the education division. Revenue at the Company’s cable, broadcast and newspaper publishing divisions also increased for the second quarter of 2004, while revenues were down slightly at the magazine publishing division.</w:t>
      </w:r>
    </w:p>
    <w:p>
      <w:pPr>
        <w:spacing w:after="0" w:line="12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Operating income was up 37% for the second quarter of 2004 to $146.0 million, from $106.9 million in 2003. The Company benefited from improved results at each of its operating divisions, particularly at the education division, offset by a reduced net pension credit.</w:t>
      </w:r>
    </w:p>
    <w:p>
      <w:pPr>
        <w:spacing w:after="0" w:line="118"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For the first six months of 2004, net income totaled $144.3 million ($14.98 per share), compared with $133.7 million ($13.91 per share) for the same period of 2003. Results for the first six months of 2003 included an after-tax non-operating gain from the sale of the Company’s 50 percent interest in the International Herald Tribune (after-tax impact of $32.3 million, or $3.38 per share) and an early retirement program charge at The Washington Post newspaper (after-tax impact of $1.3 million, or $0.14 per share).</w:t>
      </w:r>
    </w:p>
    <w:p>
      <w:pPr>
        <w:spacing w:after="0" w:line="13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Revenue for the first half of 2004 was $1,577.4 million, up 17% over revenue of $1,347.4 million for the first six months of 2003. Operating income increased 35% to $250.9 million, from $186.0 million in 2003. Consistent with the Company’s results for the second quarter of 2004, the Company’s year-to-date results benefited from improved operating results at each of its operating divisions, particularly at the education division.</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Excluding charges related to early retirement programs, the Company’s operating income for the second quarter and first six months of 2004 includes $10.0 million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5" w:name="page6"/>
    <w:bookmarkEnd w:id="5"/>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$20.1 million of net pension credits, respectively, compared to $13.4 million and $26.9 million for the same periods of 2003. At December 28, 2003, the Company reduced its assumption on the discount rate from 6.75% to 6.25%. Overall, the pension credit for 2004 is expected to be down by approximately $14 million compared to 2003, excluding charges related to early retirement programs.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Divisional Results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Newspaper Publishing</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Newspaper publishing division revenue totaled $234.0 million for the second quarter of 2004, an increase of 5% from $223.1 million in the second quarter of 2003; division revenue increased 6% to $452.8 million for the first six months of 2004, from $427.2 million for the first six months of 2003. Division operating income for the second quarter increased 2% to $37.7 million, from $37.0 million in the second quarter of 2003; operating income increased 19% to $69.7 million for the first six months of 2004, compared to $58.4 million for the first six months of 2003. Second quarter operating results in 2004 reflect higher print and online advertising revenue, payroll savings from early retirement programs implemented at The Post in 2003, an 8% increase in newsprint expense at The Post, and a $3.2 million reduction in the net pension credit, excluding charges related to early retirement programs. Second quarter operating results in 2003 included a $2.2 million pre-tax early retirement program charge at The Washington Post newspaper and incremental costs associated with the war in Iraq. The increase in operating income for the first six months of 2004 is due to increased advertising revenue and cost control initiatives employed throughout the division, the early retirement program charge noted above, offset by a 7% increase in newsprint expense at The Post, and a $6.4 million reduction in the net pension credit, excluding charges related to early retirement programs.</w:t>
      </w:r>
    </w:p>
    <w:p>
      <w:pPr>
        <w:spacing w:after="0" w:line="109"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Print advertising revenue at The Washington Post newspaper in the second quarter increased 1% to $150.0 million, from $148.1 million in 2003, and increased 4% to $292.2 million for the first six months of 2004, from $280.6 million for the first six months of 2003. Classified recruitment advertising revenue was up 21% to $19.0 million in the second quarter of 2004, a $3.3 million increase compared to the second quarter of 2003. The increase in print advertising revenue for the first six months of 2003 is primarily due to increases in preprint, general and classified recruitment. Classified recruitment advertising revenue was up 20% to $38.6 million, a $6.5 million increase compared to the first half of 2003.</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first six months of 2004, Post daily and Sunday circulation declined 3.3% and 2.6%, respectively, compared to the same period of the prior year.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27, 2004, average daily circulation at The Post totaled 721,100 and average Sunday circulation totaled 1,021,000.</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generated by the Company’s online publishing activities, primarily washingtonpost.com, increased 39% to $15.4 million for the second quarter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jc w:val="both"/>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$11.1 million in the second quarter of 2003; online revenues increased 40% to $28.8 million for the first six months of 2004, from $20.6 million in the first six months of 2003. Local and national online advertising revenues grew 61% and 62% for the second quarter and first six months of 2004, respectively. Online classified advertising revenue on washingtonpost.com increased 37% in the second quarter of 2004 and 41% for the first six months of 2004.</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May 2004, the Company announced the acquisition of El Tiempo Latino, a leading Spanish-language weekly newspaper in the greater Washington area.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 is published on Friday of each week and has ABC-audited weekly free circulation of 34,000.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Broadcasting</w:t>
      </w:r>
    </w:p>
    <w:p>
      <w:pPr>
        <w:spacing w:after="0" w:line="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Revenue for the television broadcasting division increased 10% in the second quarter of 2004 to $90.2 million, from $81.8 million in 2003, due primarily to $4.5 million in political advertising. For the first six months of 2004, revenue increased 9% to $166.6 million, from $152.6 million in 2003, due to $7.2 million in political advertising in the first half of 2004 and several days of commercial-free coverage in connection with the Iraq war in March 2003.</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Operating income for the second quarter and first six months of 2004 increased 12% and 15%, respectively, to $43.7 million and $75.0 million, respectively, from $39.0 million and $65.3 million for the second quarter and first six months of 2003, respectively. The operating income increases are primarily related to the revenue growth discussed above.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Magazine Publishing</w:t>
      </w:r>
    </w:p>
    <w:p>
      <w:pPr>
        <w:spacing w:after="0" w:line="77"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Revenue for the magazine publishing division totaled $91.0 million for the second quarter of 2004, a 1% decline from $91.9 million for the second quarter of 2003; division revenue totaled $175.6 million for the first six months of 2004, a 4% increase from $169.4 million for the first six months of 2003. The revenue decrease for the second quarter was primarily due to the timing of the primary trade show of PostNewsweek Tech Media, which was in the first quarter of 2004 versus the second quarter of 2003. Advertising revenue at Newsweek increased 14% in the second quarter of 2004 due to increases in ad pages at both the domestic and international editions, despite one fewer issue of the international edition. Travel-related advertising revenues at the Pacific edition of Newsweek suffered in the second quarter of 2003 due to the SARS outbreak. The increase in revenues for the first six months of 2004 is primarily due to increased advertising revenue at Newsweek as a result of increased ad pages at the domestic and international editions, despite one fewer international edition issue in 2004.</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 w:name="page8"/>
    <w:bookmarkEnd w:id="7"/>
    <w:p>
      <w:pPr>
        <w:ind w:right="20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income totaled $17.6 million for the second quarter of 2004, a 42% increase from $12.4 million in the second quarter of 2003. The increase in operating income is primarily due to the increase in Newsweek advertising revenue and a reduction in subscription, manufacturing and distribution expenses at the international editions of Newsweek, offset by operating income from the primary trade show of PostNewsweek Tech Media in the second quarter of 2003. Operating income totaled $24.5 million for the first six months of 2004, up 85% from $13.2 million for the first six months of 2003. The year-to-date improvement in operating results is primarily attributable to increased advertising revenue and continued cost controls at Newsweek.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Television</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Cable division revenue of $126.4 million for the second quarter of 2004 represents a 10% increase over 2003 second quarter revenue of $114.6 million; for the first six months of 2004, revenue increased 10% to $247.4 million, from $224.9 million in 2003. The 2004 revenue increase is due to continued growth in the division’s cable modem and digital service revenues and a $2 monthly rate increase for basic cable service, effective March 1, 2004, at most of the cable division’s systems.</w:t>
      </w:r>
    </w:p>
    <w:p>
      <w:pPr>
        <w:spacing w:after="0" w:line="130" w:lineRule="exact"/>
        <w:rPr>
          <w:sz w:val="20"/>
          <w:szCs w:val="20"/>
          <w:color w:val="auto"/>
        </w:rPr>
      </w:pPr>
    </w:p>
    <w:p>
      <w:pPr>
        <w:jc w:val="both"/>
        <w:ind w:right="160" w:firstLine="456"/>
        <w:spacing w:after="0" w:line="255" w:lineRule="auto"/>
        <w:rPr>
          <w:sz w:val="20"/>
          <w:szCs w:val="20"/>
          <w:color w:val="auto"/>
        </w:rPr>
      </w:pPr>
      <w:r>
        <w:rPr>
          <w:rFonts w:ascii="Arial" w:cs="Arial" w:eastAsia="Arial" w:hAnsi="Arial"/>
          <w:sz w:val="18"/>
          <w:szCs w:val="18"/>
          <w:color w:val="auto"/>
        </w:rPr>
        <w:t>Cable division operating income for the second quarter of 2004 increased 19% to $25.2 million, from $21.2 million for the second quarter of 2003. The increase in operating income is due mostly to the division’s revenue growth, offset by higher depreciation and programming expenses and increases in internet costs. Cable division operating income for the first six months of 2004 increased 14% to $47.8 million, from $42.0 million for the first six months of 2003. The increase is due mostly to the division’s significant revenue growth, offset by higher depreciation and programming expenses, along with an increase in internet and employee benefits costs.</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increase in depreciation expense is due to significant capital spending in recent years that has enabled the cable division to offer digital and broadband cable services to its subscribers. At June 30, 2004, the cable division had approximately 220,400 digital cable subscribers, down slightly from 222,900 at December 31, 2003, but up from 203,900 at the end of June 2003. This represents a 31% penetration of the subscriber base. At June 30, 2004, the cable division had 152,300 CableONE.net service subscribers, compared to 106,600 at the end of June 2003. Both digital and cable modem services are now offered in virtually all of the cable division’s markets.</w:t>
      </w:r>
    </w:p>
    <w:p>
      <w:pPr>
        <w:spacing w:after="0" w:line="129"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At June 30, 2004, the cable division had 711,900 basic subscribers, compared to 714,500 at the end of June 2003. The decrease is due to small losses associated with the basic rate increase discussed above.</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June 30, 2004, Revenue Generating Units (RGUs), as defined by the NCTA Standard Reporting Categories, totaled 1,084,600 compared to 1,025,400 as of June 30, 2003. The increase is due to an increase in the number of digital cable and high speed data customers.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Education</w:t>
      </w:r>
    </w:p>
    <w:p>
      <w:pPr>
        <w:spacing w:after="0" w:line="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Education division revenue totaled $276.7 million for the second quarter of 2004, a 41% increase over revenue of $195.6 million for the same period of 2003. Kaplan reported operating income for the second quarter of 2004 of $29.4 million, compared to $3.5 million in the second quarter of 2003. Approximately 27% of the increase in Kaplan revenue is from acquired businesses, primarily in the higher education division and the professional training schools that are part of supplemental education. Excluding revenue from acquired businesses, education division revenue increased 30% for the second quarter of 2004. For the first six months of 2004, education division revenue totaled $535.0 million, a 43% increase over revenue of $373.3 million for the same period of 2003. Kaplan reported operating income of $50.1 million for the first six months of 2004, compared to $19.5 million for the first six months of 2003. Approximately 41% of the increase in Kaplan revenue is from acquired businesses, primarily in the higher education division and the professional training schools that are part of supplemental education. Excluding revenue from acquired businesses, education division revenue increased 26% for the first six months of 2004. A summary of operating results for the second quarter and the first six months of 2004 compared to 2003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59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Second Quarter</w:t>
            </w: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4"/>
          </w:tcPr>
          <w:p>
            <w:pPr>
              <w:ind w:left="60"/>
              <w:spacing w:after="0"/>
              <w:rPr>
                <w:sz w:val="20"/>
                <w:szCs w:val="20"/>
                <w:color w:val="auto"/>
              </w:rPr>
            </w:pPr>
            <w:r>
              <w:rPr>
                <w:rFonts w:ascii="Arial" w:cs="Arial" w:eastAsia="Arial" w:hAnsi="Arial"/>
                <w:sz w:val="14"/>
                <w:szCs w:val="14"/>
                <w:b w:val="1"/>
                <w:bCs w:val="1"/>
                <w:color w:val="auto"/>
              </w:rPr>
              <w:t>YTD</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2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420" w:type="dxa"/>
            <w:vAlign w:val="bottom"/>
            <w:gridSpan w:val="6"/>
          </w:tcPr>
          <w:p>
            <w:pPr>
              <w:spacing w:after="0"/>
              <w:rPr>
                <w:sz w:val="20"/>
                <w:szCs w:val="20"/>
                <w:color w:val="auto"/>
              </w:rPr>
            </w:pPr>
            <w:r>
              <w:rPr>
                <w:rFonts w:ascii="Arial" w:cs="Arial" w:eastAsia="Arial" w:hAnsi="Arial"/>
                <w:sz w:val="14"/>
                <w:szCs w:val="14"/>
                <w:b w:val="1"/>
                <w:bCs w:val="1"/>
                <w:color w:val="auto"/>
              </w:rPr>
              <w:t>(In thousands)</w:t>
            </w:r>
          </w:p>
        </w:tc>
        <w:tc>
          <w:tcPr>
            <w:tcW w:w="90" w:type="dxa"/>
            <w:vAlign w:val="bottom"/>
          </w:tcPr>
          <w:p>
            <w:pPr>
              <w:spacing w:after="0"/>
              <w:rPr>
                <w:sz w:val="22"/>
                <w:szCs w:val="22"/>
                <w:color w:val="auto"/>
              </w:rPr>
            </w:pPr>
          </w:p>
        </w:tc>
        <w:tc>
          <w:tcPr>
            <w:tcW w:w="59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8"/>
              </w:rPr>
              <w:t>% Change</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Revenue</w:t>
            </w:r>
          </w:p>
        </w:tc>
        <w:tc>
          <w:tcPr>
            <w:tcW w:w="90" w:type="dxa"/>
            <w:vAlign w:val="bottom"/>
            <w:shd w:val="clear" w:color="auto" w:fill="CCEEFF"/>
          </w:tcPr>
          <w:p>
            <w:pPr>
              <w:spacing w:after="0"/>
              <w:rPr>
                <w:sz w:val="15"/>
                <w:szCs w:val="15"/>
                <w:color w:val="auto"/>
              </w:rPr>
            </w:pPr>
          </w:p>
        </w:tc>
        <w:tc>
          <w:tcPr>
            <w:tcW w:w="59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 w:type="dxa"/>
            <w:vAlign w:val="bottom"/>
            <w:tcBorders>
              <w:top w:val="single" w:sz="8" w:color="CCEEFF"/>
            </w:tcBorders>
            <w:shd w:val="clear" w:color="auto" w:fill="CCEEFF"/>
          </w:tcPr>
          <w:p>
            <w:pPr>
              <w:spacing w:after="0" w:line="20" w:lineRule="exact"/>
              <w:rPr>
                <w:sz w:val="1"/>
                <w:szCs w:val="1"/>
                <w:color w:val="auto"/>
              </w:rPr>
            </w:pPr>
          </w:p>
        </w:tc>
        <w:tc>
          <w:tcPr>
            <w:tcW w:w="59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5"/>
          </w:tcPr>
          <w:p>
            <w:pPr>
              <w:ind w:left="420"/>
              <w:spacing w:after="0"/>
              <w:rPr>
                <w:sz w:val="20"/>
                <w:szCs w:val="20"/>
                <w:color w:val="auto"/>
              </w:rPr>
            </w:pPr>
            <w:r>
              <w:rPr>
                <w:rFonts w:ascii="Arial" w:cs="Arial" w:eastAsia="Arial" w:hAnsi="Arial"/>
                <w:sz w:val="18"/>
                <w:szCs w:val="18"/>
                <w:color w:val="auto"/>
              </w:rPr>
              <w:t>Supplemental education</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tcPr>
          <w:p>
            <w:pPr>
              <w:jc w:val="right"/>
              <w:spacing w:after="0"/>
              <w:rPr>
                <w:sz w:val="20"/>
                <w:szCs w:val="20"/>
                <w:color w:val="auto"/>
              </w:rPr>
            </w:pPr>
            <w:r>
              <w:rPr>
                <w:rFonts w:ascii="Arial" w:cs="Arial" w:eastAsia="Arial" w:hAnsi="Arial"/>
                <w:sz w:val="18"/>
                <w:szCs w:val="18"/>
                <w:color w:val="auto"/>
                <w:w w:val="86"/>
              </w:rPr>
              <w:t>143,410</w:t>
            </w:r>
          </w:p>
        </w:tc>
        <w:tc>
          <w:tcPr>
            <w:tcW w:w="2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115,708</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56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279,010</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213,890</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133,286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255,957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159,448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276,696</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195,560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534,967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373,338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Operating income (loss)</w:t>
            </w:r>
          </w:p>
        </w:tc>
        <w:tc>
          <w:tcPr>
            <w:tcW w:w="90" w:type="dxa"/>
            <w:vAlign w:val="bottom"/>
            <w:shd w:val="clear" w:color="auto" w:fill="CCEEFF"/>
          </w:tcPr>
          <w:p>
            <w:pPr>
              <w:spacing w:after="0"/>
              <w:rPr>
                <w:sz w:val="15"/>
                <w:szCs w:val="15"/>
                <w:color w:val="auto"/>
              </w:rPr>
            </w:pPr>
          </w:p>
        </w:tc>
        <w:tc>
          <w:tcPr>
            <w:tcW w:w="59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 w:type="dxa"/>
            <w:vAlign w:val="bottom"/>
            <w:tcBorders>
              <w:top w:val="single" w:sz="8" w:color="CCEEFF"/>
            </w:tcBorders>
            <w:shd w:val="clear" w:color="auto" w:fill="CCEEFF"/>
          </w:tcPr>
          <w:p>
            <w:pPr>
              <w:spacing w:after="0" w:line="20" w:lineRule="exact"/>
              <w:rPr>
                <w:sz w:val="1"/>
                <w:szCs w:val="1"/>
                <w:color w:val="auto"/>
              </w:rPr>
            </w:pPr>
          </w:p>
        </w:tc>
        <w:tc>
          <w:tcPr>
            <w:tcW w:w="59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5"/>
          </w:tcPr>
          <w:p>
            <w:pPr>
              <w:ind w:left="420"/>
              <w:spacing w:after="0"/>
              <w:rPr>
                <w:sz w:val="20"/>
                <w:szCs w:val="20"/>
                <w:color w:val="auto"/>
              </w:rPr>
            </w:pPr>
            <w:r>
              <w:rPr>
                <w:rFonts w:ascii="Arial" w:cs="Arial" w:eastAsia="Arial" w:hAnsi="Arial"/>
                <w:sz w:val="18"/>
                <w:szCs w:val="18"/>
                <w:color w:val="auto"/>
              </w:rPr>
              <w:t>Supplemental education</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tcPr>
          <w:p>
            <w:pPr>
              <w:jc w:val="right"/>
              <w:spacing w:after="0"/>
              <w:rPr>
                <w:sz w:val="20"/>
                <w:szCs w:val="20"/>
                <w:color w:val="auto"/>
              </w:rPr>
            </w:pPr>
            <w:r>
              <w:rPr>
                <w:rFonts w:ascii="Arial" w:cs="Arial" w:eastAsia="Arial" w:hAnsi="Arial"/>
                <w:sz w:val="18"/>
                <w:szCs w:val="18"/>
                <w:color w:val="auto"/>
              </w:rPr>
              <w:t>25,102</w:t>
            </w:r>
          </w:p>
        </w:tc>
        <w:tc>
          <w:tcPr>
            <w:tcW w:w="2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21,643</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45,694</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40,195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24,021</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5"/>
          </w:tcPr>
          <w:p>
            <w:pPr>
              <w:ind w:left="420"/>
              <w:spacing w:after="0"/>
              <w:rPr>
                <w:sz w:val="20"/>
                <w:szCs w:val="20"/>
                <w:color w:val="auto"/>
              </w:rPr>
            </w:pPr>
            <w:r>
              <w:rPr>
                <w:rFonts w:ascii="Arial" w:cs="Arial" w:eastAsia="Arial" w:hAnsi="Arial"/>
                <w:sz w:val="18"/>
                <w:szCs w:val="18"/>
                <w:color w:val="auto"/>
              </w:rPr>
              <w:t>Kaplan corporate overhead</w:t>
            </w:r>
          </w:p>
        </w:tc>
        <w:tc>
          <w:tcPr>
            <w:tcW w:w="90" w:type="dxa"/>
            <w:vAlign w:val="bottom"/>
          </w:tcPr>
          <w:p>
            <w:pPr>
              <w:spacing w:after="0"/>
              <w:rPr>
                <w:sz w:val="18"/>
                <w:szCs w:val="18"/>
                <w:color w:val="auto"/>
              </w:rPr>
            </w:pPr>
          </w:p>
        </w:tc>
        <w:tc>
          <w:tcPr>
            <w:tcW w:w="830" w:type="dxa"/>
            <w:vAlign w:val="bottom"/>
            <w:gridSpan w:val="2"/>
          </w:tcPr>
          <w:p>
            <w:pPr>
              <w:jc w:val="right"/>
              <w:ind w:right="180"/>
              <w:spacing w:after="0"/>
              <w:rPr>
                <w:sz w:val="20"/>
                <w:szCs w:val="20"/>
                <w:color w:val="auto"/>
              </w:rPr>
            </w:pPr>
            <w:r>
              <w:rPr>
                <w:rFonts w:ascii="Arial" w:cs="Arial" w:eastAsia="Arial" w:hAnsi="Arial"/>
                <w:sz w:val="18"/>
                <w:szCs w:val="18"/>
                <w:color w:val="auto"/>
              </w:rPr>
              <w:t>(7,213)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rPr>
              <w:t>(6,893)</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(15,190)</w:t>
            </w:r>
          </w:p>
        </w:tc>
        <w:tc>
          <w:tcPr>
            <w:tcW w:w="100" w:type="dxa"/>
            <w:vAlign w:val="bottom"/>
          </w:tcPr>
          <w:p>
            <w:pPr>
              <w:spacing w:after="0"/>
              <w:rPr>
                <w:sz w:val="18"/>
                <w:szCs w:val="18"/>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w w:val="92"/>
              </w:rPr>
              <w:t>(14,333)</w:t>
            </w:r>
          </w:p>
        </w:tc>
        <w:tc>
          <w:tcPr>
            <w:tcW w:w="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90" w:type="dxa"/>
            <w:vAlign w:val="bottom"/>
            <w:shd w:val="clear" w:color="auto" w:fill="CCEEFF"/>
          </w:tcPr>
          <w:p>
            <w:pPr>
              <w:spacing w:after="0"/>
              <w:rPr>
                <w:sz w:val="18"/>
                <w:szCs w:val="18"/>
                <w:color w:val="auto"/>
              </w:rPr>
            </w:pPr>
          </w:p>
        </w:tc>
        <w:tc>
          <w:tcPr>
            <w:tcW w:w="83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(11,789)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2"/>
              </w:rPr>
              <w:t>(20,322)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(23,939)</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2"/>
              </w:rPr>
              <w:t>(30,429)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29,443</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5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19,454</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-1304925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-1304925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-1304925</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-1304925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-1304925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-1304925</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-1304925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-1304925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-1304925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-1304925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-1304925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-1304925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-1304925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-1304925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-1304925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-1304925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-172720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-172720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-172720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-172720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-172720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-172720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-172720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-172720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-172720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-172720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-172720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-172720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-172720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-172720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-172720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-172720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Other includes charges accrued for stock-based incentive compensation and amortization of certain intangibles.</w:t>
      </w:r>
    </w:p>
    <w:p>
      <w:pPr>
        <w:spacing w:after="0" w:line="158" w:lineRule="exact"/>
        <w:rPr>
          <w:sz w:val="20"/>
          <w:szCs w:val="20"/>
          <w:color w:val="auto"/>
        </w:rPr>
      </w:pPr>
    </w:p>
    <w:p>
      <w:pPr>
        <w:ind w:right="320" w:firstLine="456"/>
        <w:spacing w:after="0" w:line="290" w:lineRule="auto"/>
        <w:rPr>
          <w:sz w:val="20"/>
          <w:szCs w:val="20"/>
          <w:color w:val="auto"/>
        </w:rPr>
      </w:pPr>
      <w:r>
        <w:rPr>
          <w:rFonts w:ascii="Arial" w:cs="Arial" w:eastAsia="Arial" w:hAnsi="Arial"/>
          <w:sz w:val="16"/>
          <w:szCs w:val="16"/>
          <w:color w:val="auto"/>
        </w:rPr>
        <w:t>Supplemental education includes Kaplan’s test preparation, professional training and Score! businesses. A large portion of the increase in supplemental education revenue for the first six months of 2004 is from Financial Training Company (FTC), which was acquired in March 2003. Headquartered in London, FTC provides test preparation services for accountants and financial services professionals, with training centers in the United Kingdom and Asia. However, FTC’s business is seasonal and while FTC’s operating income improved in the second quarter of 2004 compared to the prior year, FTC typically incurs an operating loss in the first quarter of the year; therefore, supplemental education operating income comparisons for the first six months of 2004 were adversely affected by FTC. The improvement in supplemental education results for 2004 is due to increased enrollment at Kaplan’s traditional test preparation business (particularly the SAT/PSAT) and increases from the professional real estate courses.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 w:name="page10"/>
    <w:bookmarkEnd w:id="9"/>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Score! also contributed to the improved revenue and operating results due to higher rates and nine new centers compared to 2003. Score! experienced a small decrease in enrollments during the first six months of 2004.</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Higher education includes all of Kaplan’s post-secondary education businesses, including fixed-facility colleges as well as online post-secondary and career programs (various distance-learning businesses). Higher education results are showing significant growth, due to student enrollment increases and several acquisitions.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overhead represents unallocated expenses of Kaplan, Inc.’s corporate office.</w:t>
      </w:r>
    </w:p>
    <w:p>
      <w:pPr>
        <w:spacing w:after="0" w:line="158" w:lineRule="exact"/>
        <w:rPr>
          <w:sz w:val="20"/>
          <w:szCs w:val="20"/>
          <w:color w:val="auto"/>
        </w:rPr>
      </w:pPr>
    </w:p>
    <w:p>
      <w:pPr>
        <w:jc w:val="both"/>
        <w:ind w:right="60" w:firstLine="456"/>
        <w:spacing w:after="0" w:line="302" w:lineRule="auto"/>
        <w:rPr>
          <w:sz w:val="20"/>
          <w:szCs w:val="20"/>
          <w:color w:val="auto"/>
        </w:rPr>
      </w:pPr>
      <w:r>
        <w:rPr>
          <w:rFonts w:ascii="Arial" w:cs="Arial" w:eastAsia="Arial" w:hAnsi="Arial"/>
          <w:sz w:val="15"/>
          <w:szCs w:val="15"/>
          <w:color w:val="auto"/>
        </w:rPr>
        <w:t>Other expense is comprised of accrued charges for stock-based incentive compensation arising from a stock option plan established for certain members of Kaplan’s management and amortization of certain intangibles. Under the stock-based incentive plan, the amount of compensation expense varies directly with the estimated fair value of Kaplan’s common stock and the number of options outstanding. For the second quarter of 2004 and 2003, the Company recorded expense of $8.0 million and $20.0 million, respectively, and $17.8 million and $30.0 million for the first six months of 2004 and 2003, respectively, related to this plan.</w:t>
      </w:r>
    </w:p>
    <w:p>
      <w:pPr>
        <w:spacing w:after="0" w:line="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stock compensation expense for the first six months of 2003 was based on stock options outstanding before the third quarter 2003 buyout offer for approximately 55% of the stock options outstanding at Kaplan. The stock compensation expense in 2004 is based on the remaining Kaplan stock options held by a small number of Kaplan executives after the 2003 buyout.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 Losses of Affiliates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equity in losses of affiliates for the second quarter of 2004 was $0.4 million, compared to losses of $5.5 million for the second quarter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2003. For the first six months of 2004, the Company’s equity in losses of affiliates totaled $2.1 million, compared to losses of $8.2 million for the same period of</w:t>
      </w:r>
    </w:p>
    <w:p>
      <w:pPr>
        <w:spacing w:after="0" w:line="32" w:lineRule="exact"/>
        <w:rPr>
          <w:sz w:val="20"/>
          <w:szCs w:val="20"/>
          <w:color w:val="auto"/>
        </w:rPr>
      </w:pPr>
    </w:p>
    <w:p>
      <w:pPr>
        <w:ind w:right="560"/>
        <w:spacing w:after="0" w:line="323" w:lineRule="auto"/>
        <w:rPr>
          <w:sz w:val="20"/>
          <w:szCs w:val="20"/>
          <w:color w:val="auto"/>
        </w:rPr>
      </w:pPr>
      <w:r>
        <w:rPr>
          <w:rFonts w:ascii="Arial" w:cs="Arial" w:eastAsia="Arial" w:hAnsi="Arial"/>
          <w:sz w:val="16"/>
          <w:szCs w:val="16"/>
          <w:color w:val="auto"/>
        </w:rPr>
        <w:t>2003. The Company’s affiliate investments consist of a 49 percent interest in BrassRing LLC and a 49 percent interest in Bowater Mersey Paper Company Limited. The reduction in affiliate losses for 2004 is attributable to improved operating results at both BrassRing and Bowater.</w:t>
      </w:r>
    </w:p>
    <w:p>
      <w:pPr>
        <w:spacing w:after="0" w:line="79"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January 1, 2003, the Company sold its 50 percent interest in the International Herald Tribune for $65 million and the Company recorded an after-tax non-operating gain of $32.3 million in the first quarter of 2003.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Non-Operating Income (Expense)</w:t>
      </w:r>
    </w:p>
    <w:p>
      <w:pPr>
        <w:spacing w:after="0" w:line="15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Company recorded other non-operating expense, net, of $0.1 million for the second quarter of 2004, compared to $2.3 million of other non-operating income, net, in the second quarter of 2003. The 2003 non-operating income, net, is primarily related to foreign currency gains.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0" w:name="page11"/>
    <w:bookmarkEnd w:id="10"/>
    <w:p>
      <w:pPr>
        <w:jc w:val="both"/>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recorded other non-operating income, net, of $0.7 million for the first six months of 2004, compared to other non-operating income, net, of $50.4 million for the same period of the prior year. The 2003 non-operating income, net, is comprised mostly of a $49.8 million pre-tax gain from the sale of the Company’s 50 percent interest in the International Herald Tribune.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Interest Expense</w:t>
      </w:r>
    </w:p>
    <w:p>
      <w:pPr>
        <w:spacing w:after="0" w:line="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incurred net interest expense of $6.4 million and $12.9 million for the second quarter and first six months of 2004, respectively, compared to $6.2 million and $13.3 million for the same periods of 2003. At June 27, 2004, the Company had $504.9 million in borrowings outstanding at an average interest rate of 4.9%.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for Income Taxes</w:t>
      </w:r>
    </w:p>
    <w:p>
      <w:pPr>
        <w:spacing w:after="0" w:line="7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effective tax rate for the second quarter and first six months of 2004 was 39.0%, compared to 37.8% for the same periods of 2003. The 2003 rate benefited from the 35.1% effective tax rate applicable to the one-time gain arising from the sale of the Company’s interest in the International Herald Tribune.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calculation of diluted earnings per share for the second quarter and first six months of 2004 was based on 9,596,000 and 9,588,000 weighted average shares outstanding, respectively, compared to 9,555,000 and 9,554,000, respectively, for the second quarter and first six months of 2003. The Company made no significant repurchases of its stock during the first half of 2004.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Second Quarter</w:t>
            </w: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74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818,391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706,940</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w w:val="95"/>
              </w:rPr>
              <w:t>(623,741)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w w:val="95"/>
              </w:rPr>
              <w:t>(556,467)</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(44,769)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(43,212)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9"/>
                <w:szCs w:val="19"/>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(3,881)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(363)</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146,000</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106,898</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Equity in losses of affiliates, net</w:t>
            </w:r>
          </w:p>
        </w:tc>
        <w:tc>
          <w:tcPr>
            <w:tcW w:w="10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(5,524)</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(6,830)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(6,658)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139,204</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97,448</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(54,300)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(36,800)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84,904</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60,648</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tcPr>
          <w:p>
            <w:pPr>
              <w:spacing w:after="0"/>
              <w:rPr>
                <w:sz w:val="19"/>
                <w:szCs w:val="19"/>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(258)</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84,659</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60,390</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9,563,000</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9,527,000</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9,596,000</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9,555,000</w:t>
            </w: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-974725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-974725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-974725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-974725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-974725</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-974725</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-674370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-674370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-674370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-674370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-674370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-674370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-374015</wp:posOffset>
            </wp:positionV>
            <wp:extent cx="54419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-374015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-374015</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-374015</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Year-to-Date</w:t>
            </w: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2003</w:t>
            </w:r>
          </w:p>
        </w:tc>
        <w:tc>
          <w:tcPr>
            <w:tcW w:w="66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1,577,360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1,347,380</w:t>
            </w: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(1,231,554)</w:t>
            </w:r>
          </w:p>
        </w:tc>
        <w:tc>
          <w:tcPr>
            <w:tcW w:w="10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(1,074,271)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(88,628)</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(86,607)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9"/>
                <w:szCs w:val="19"/>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(6,261)</w:t>
            </w:r>
          </w:p>
        </w:tc>
        <w:tc>
          <w:tcPr>
            <w:tcW w:w="100" w:type="dxa"/>
            <w:vAlign w:val="bottom"/>
          </w:tcPr>
          <w:p>
            <w:pPr>
              <w:spacing w:after="0"/>
              <w:rPr>
                <w:sz w:val="19"/>
                <w:szCs w:val="19"/>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(512)</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250,917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185,990</w:t>
            </w: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Equity in losses of affiliates, net</w:t>
            </w:r>
          </w:p>
        </w:tc>
        <w:tc>
          <w:tcPr>
            <w:tcW w:w="10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(8,166)</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(13,691)</w:t>
            </w:r>
          </w:p>
        </w:tc>
        <w:tc>
          <w:tcPr>
            <w:tcW w:w="10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(13,896)</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50,409</w:t>
            </w: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236,630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214,910</w:t>
            </w: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(92,300)</w:t>
            </w:r>
          </w:p>
        </w:tc>
        <w:tc>
          <w:tcPr>
            <w:tcW w:w="100" w:type="dxa"/>
            <w:vAlign w:val="bottom"/>
          </w:tcPr>
          <w:p>
            <w:pPr>
              <w:spacing w:after="0"/>
              <w:rPr>
                <w:sz w:val="19"/>
                <w:szCs w:val="19"/>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(81,200)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144,330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133,710</w:t>
            </w: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tcPr>
          <w:p>
            <w:pPr>
              <w:spacing w:after="0"/>
              <w:rPr>
                <w:sz w:val="19"/>
                <w:szCs w:val="19"/>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(775)</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143,583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132,935</w:t>
            </w: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9,557,000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9,527,000</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9,588,000</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9,554,000</w:t>
            </w: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-974725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-974725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-974725</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-974725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-974725</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-974725</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-674370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-674370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-674370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-674370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-674370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-674370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-374015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-374015</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-374015</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-374015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-374015</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-374015</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Second Quarter</w:t>
            </w: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233,979</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223,142</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452,804</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427,182</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81,825</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166,560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152,577</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91,047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91,861</w:t>
            </w:r>
          </w:p>
        </w:tc>
        <w:tc>
          <w:tcPr>
            <w:tcW w:w="5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175,589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169,363</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126,426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114,552</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247,440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224,920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276,696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195,560</w:t>
            </w:r>
          </w:p>
        </w:tc>
        <w:tc>
          <w:tcPr>
            <w:tcW w:w="5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534,967</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373,338</w:t>
            </w: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818,391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706,940</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1,577,360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1,347,380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196,301</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186,112</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383,137</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368,794</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42,839</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91,579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87,244</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73,414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79,457</w:t>
            </w:r>
          </w:p>
        </w:tc>
        <w:tc>
          <w:tcPr>
            <w:tcW w:w="5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151,135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156,122</w:t>
            </w:r>
          </w:p>
        </w:tc>
        <w:tc>
          <w:tcPr>
            <w:tcW w:w="5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101,229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93,304</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199,601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182,910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247,253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192,033</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484,887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353,884</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12,436</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672,391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600,042</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1,326,443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1,161,390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37,678</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37,030</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69,667</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58,388</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38,986</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74,981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65,333</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17,633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12,404</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24,454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13,241</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21,248</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29,443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3,527</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735</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50,080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19,454</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(7,657)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(6,297)</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(16,104)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(12,436)</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106,898</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250,917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185,990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9,358</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10,451</w:t>
            </w:r>
          </w:p>
        </w:tc>
        <w:tc>
          <w:tcPr>
            <w:tcW w:w="5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19,021</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21,748</w:t>
            </w:r>
          </w:p>
        </w:tc>
        <w:tc>
          <w:tcPr>
            <w:tcW w:w="5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929</w:t>
            </w:r>
          </w:p>
        </w:tc>
        <w:tc>
          <w:tcPr>
            <w:tcW w:w="5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1,881</w:t>
            </w:r>
          </w:p>
        </w:tc>
        <w:tc>
          <w:tcPr>
            <w:tcW w:w="5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22,964</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45,677</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6,862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6,094</w:t>
            </w:r>
          </w:p>
        </w:tc>
        <w:tc>
          <w:tcPr>
            <w:tcW w:w="5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13,201</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11,781</w:t>
            </w: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43,212</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88,628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86,607</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3,842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322</w:t>
            </w:r>
          </w:p>
        </w:tc>
        <w:tc>
          <w:tcPr>
            <w:tcW w:w="500" w:type="dxa"/>
            <w:vAlign w:val="bottom"/>
          </w:tcPr>
          <w:p>
            <w:pPr>
              <w:spacing w:after="0"/>
              <w:rPr>
                <w:sz w:val="19"/>
                <w:szCs w:val="19"/>
                <w:color w:val="auto"/>
              </w:rPr>
            </w:pPr>
          </w:p>
        </w:tc>
        <w:tc>
          <w:tcPr>
            <w:tcW w:w="9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6,180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429</w:t>
            </w:r>
          </w:p>
        </w:tc>
        <w:tc>
          <w:tcPr>
            <w:tcW w:w="52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 # #</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-6277610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-6277610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-6277610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-6277610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-6277610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-6277610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-6277610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-6277610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-6277610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-6277610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-6277610</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-6277610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-6277610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-6277610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-6277610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-6277610</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-5977255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-5977255</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-5977255</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-5977255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-5977255</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-5977255</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-5977255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-5977255</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-5977255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-5977255</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-5977255</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-5977255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-5977255</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-5977255</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-5977255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-5977255</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-4853940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-4853940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-4853940</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-4853940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-4853940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-4853940</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-4853940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-4853940</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-4853940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-4853940</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-4853940</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-4853940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-4853940</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-4853940</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-4853940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-4853940</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-4554220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-4554220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-4554220</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-4554220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-4554220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-4554220</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-4554220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-4554220</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-4554220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-4554220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-4554220</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-4554220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-4554220</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-4554220</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-4554220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-4554220</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-3430270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-3430270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-3430270</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-3430270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-3430270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-3430270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-3430270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-3430270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-3430270</wp:posOffset>
            </wp:positionV>
            <wp:extent cx="54419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-3430270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-3430270</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-3430270</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-3430270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-3430270</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-3130550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-3130550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-3130550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-3130550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-3130550</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-3130550</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-3130550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-3130550</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-3130550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-3130550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-3130550</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-3130550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-3130550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-3130550</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-3130550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-3130550</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-2144395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-2144395</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-2144395</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-2144395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-2144395</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-2144395</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-2144395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-2144395</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-2144395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-2144395</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-2144395</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-2144395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-2144395</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-2144395</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-2144395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-2144395</wp:posOffset>
            </wp:positionV>
            <wp:extent cx="3873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-1844040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-1844040</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-1844040</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-1844040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-1844040</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-1844040</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-1844040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-1844040</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-1844040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-1844040</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-1844040</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-1844040</wp:posOffset>
            </wp:positionV>
            <wp:extent cx="54419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-1844040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-1844040</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-857885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-857885</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-857885</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-857885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-857885</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-857885</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-857885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-857885</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-857885</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-857885</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-857885</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-857885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-857885</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-857885</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-857885</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-857885</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-557530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-557530</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-557530</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-557530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-557530</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-557530</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-557530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-557530</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-557530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-557530</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-557530</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-557530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-557530</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-557530</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-557530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2019-12-13T07:55:29Z</dcterms:created>
  <dcterms:modified xsi:type="dcterms:W3CDTF">2019-12-13T07:55:29Z</dcterms:modified>
</cp:coreProperties>
</file>